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166EC" w:rsidRPr="003D4816" w14:paraId="62D2E51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4A13B0" w14:textId="77777777" w:rsidR="00B13D6F" w:rsidRPr="003D4816" w:rsidRDefault="00413A6D" w:rsidP="00413A6D">
            <w:pPr>
              <w:pStyle w:val="EPName"/>
              <w:jc w:val="both"/>
            </w:pPr>
            <w:r w:rsidRPr="003D4816">
              <w:t>Parlamento Europeu</w:t>
            </w:r>
          </w:p>
          <w:p w14:paraId="25E1FF36" w14:textId="637A93EB" w:rsidR="00B13D6F" w:rsidRPr="003D4816" w:rsidRDefault="00413A6D" w:rsidP="00C85D0F">
            <w:pPr>
              <w:pStyle w:val="EPTerm"/>
            </w:pPr>
            <w:r w:rsidRPr="003D4816">
              <w:t>2024</w:t>
            </w:r>
            <w:r>
              <w:noBreakHyphen/>
            </w:r>
            <w:r w:rsidRPr="003D4816">
              <w:t>2029</w:t>
            </w:r>
          </w:p>
        </w:tc>
        <w:tc>
          <w:tcPr>
            <w:tcW w:w="2268" w:type="dxa"/>
            <w:shd w:val="clear" w:color="auto" w:fill="auto"/>
          </w:tcPr>
          <w:p w14:paraId="6A087DE7" w14:textId="77777777" w:rsidR="00B13D6F" w:rsidRPr="003D4816" w:rsidRDefault="00413A6D" w:rsidP="00C85D0F">
            <w:pPr>
              <w:pStyle w:val="EPLogo"/>
            </w:pPr>
            <w:r w:rsidRPr="003D4816">
              <w:rPr>
                <w:noProof/>
                <w:lang w:eastAsia="ja-JP"/>
              </w:rPr>
              <w:drawing>
                <wp:inline distT="0" distB="0" distL="0" distR="0" wp14:anchorId="72BEA86D" wp14:editId="175053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BFCA6" w14:textId="77777777" w:rsidR="00461601" w:rsidRPr="003D4816" w:rsidRDefault="00461601" w:rsidP="00461601">
      <w:pPr>
        <w:pStyle w:val="LineTop"/>
      </w:pPr>
    </w:p>
    <w:p w14:paraId="14083CDB" w14:textId="77777777" w:rsidR="00461601" w:rsidRPr="003D4816" w:rsidRDefault="00413A6D" w:rsidP="00461601">
      <w:pPr>
        <w:pStyle w:val="EPBody"/>
      </w:pPr>
      <w:r w:rsidRPr="003D4816">
        <w:rPr>
          <w:rStyle w:val="HideTWBExt"/>
        </w:rPr>
        <w:t>&lt;</w:t>
      </w:r>
      <w:r w:rsidRPr="003D4816">
        <w:rPr>
          <w:rStyle w:val="HideTWBExt"/>
          <w:i w:val="0"/>
        </w:rPr>
        <w:t>Commission</w:t>
      </w:r>
      <w:r w:rsidRPr="003D4816">
        <w:rPr>
          <w:rStyle w:val="HideTWBExt"/>
        </w:rPr>
        <w:t>&gt;</w:t>
      </w:r>
      <w:r w:rsidRPr="003D4816">
        <w:rPr>
          <w:rStyle w:val="HideTWBInt"/>
          <w:color w:val="auto"/>
        </w:rPr>
        <w:t>{LIBE}</w:t>
      </w:r>
      <w:r w:rsidRPr="003D4816">
        <w:t>Comissão das Liberdades Cívicas, da Justiça e dos Assuntos Internos</w:t>
      </w:r>
      <w:r w:rsidRPr="003D4816">
        <w:rPr>
          <w:rStyle w:val="HideTWBExt"/>
        </w:rPr>
        <w:t>&lt;/</w:t>
      </w:r>
      <w:r w:rsidRPr="003D4816">
        <w:rPr>
          <w:rStyle w:val="HideTWBExt"/>
          <w:i w:val="0"/>
        </w:rPr>
        <w:t>Commission</w:t>
      </w:r>
      <w:r w:rsidRPr="003D4816">
        <w:rPr>
          <w:rStyle w:val="HideTWBExt"/>
        </w:rPr>
        <w:t>&gt;</w:t>
      </w:r>
    </w:p>
    <w:p w14:paraId="1B135B27" w14:textId="77777777" w:rsidR="00461601" w:rsidRPr="003D4816" w:rsidRDefault="00461601" w:rsidP="00461601">
      <w:pPr>
        <w:pStyle w:val="LineBottom"/>
      </w:pPr>
    </w:p>
    <w:p w14:paraId="509CA67B" w14:textId="77777777" w:rsidR="00793EA9" w:rsidRPr="003D4816" w:rsidRDefault="00413A6D">
      <w:pPr>
        <w:pStyle w:val="CoverReference"/>
      </w:pPr>
      <w:r w:rsidRPr="003D4816">
        <w:rPr>
          <w:rStyle w:val="HideTWBExt"/>
          <w:b w:val="0"/>
        </w:rPr>
        <w:t>&lt;RefProc&gt;</w:t>
      </w:r>
      <w:r w:rsidRPr="003D4816">
        <w:t>2025/0542</w:t>
      </w:r>
      <w:r w:rsidRPr="003D4816">
        <w:rPr>
          <w:rStyle w:val="HideTWBExt"/>
          <w:b w:val="0"/>
        </w:rPr>
        <w:t>&lt;/RefProc&gt;&lt;RefTypeProc&gt;</w:t>
      </w:r>
      <w:r w:rsidRPr="003D4816">
        <w:t>(COD)</w:t>
      </w:r>
      <w:r w:rsidRPr="003D4816">
        <w:rPr>
          <w:rStyle w:val="HideTWBExt"/>
          <w:b w:val="0"/>
        </w:rPr>
        <w:t>&lt;/RefTypeProc&gt;</w:t>
      </w:r>
    </w:p>
    <w:p w14:paraId="24ABA92F" w14:textId="77777777" w:rsidR="00793EA9" w:rsidRPr="003D4816" w:rsidRDefault="00413A6D">
      <w:pPr>
        <w:pStyle w:val="CoverDate"/>
      </w:pPr>
      <w:r w:rsidRPr="003D4816">
        <w:rPr>
          <w:rStyle w:val="HideTWBExt"/>
        </w:rPr>
        <w:t>&lt;Date&gt;</w:t>
      </w:r>
      <w:r w:rsidRPr="003D4816">
        <w:rPr>
          <w:rStyle w:val="HideTWBInt"/>
          <w:color w:val="auto"/>
        </w:rPr>
        <w:t>{19/05/2026}</w:t>
      </w:r>
      <w:r w:rsidRPr="003D4816">
        <w:t>19.5.2026</w:t>
      </w:r>
      <w:r w:rsidRPr="003D4816">
        <w:rPr>
          <w:rStyle w:val="HideTWBExt"/>
        </w:rPr>
        <w:t>&lt;/Date&gt;</w:t>
      </w:r>
    </w:p>
    <w:p w14:paraId="68862426" w14:textId="77777777" w:rsidR="00793EA9" w:rsidRPr="003D4816" w:rsidRDefault="00413A6D">
      <w:pPr>
        <w:pStyle w:val="CoverDocType"/>
      </w:pPr>
      <w:r w:rsidRPr="003D4816">
        <w:rPr>
          <w:rStyle w:val="HideTWBExt"/>
          <w:b w:val="0"/>
        </w:rPr>
        <w:t>&lt;RefProcLect&gt;</w:t>
      </w:r>
      <w:r w:rsidRPr="003D4816">
        <w:t>***I</w:t>
      </w:r>
      <w:r w:rsidRPr="003D4816">
        <w:rPr>
          <w:rStyle w:val="HideTWBExt"/>
          <w:b w:val="0"/>
        </w:rPr>
        <w:t>&lt;/RefProcLect&gt;</w:t>
      </w:r>
    </w:p>
    <w:p w14:paraId="7D25A8DB" w14:textId="77777777" w:rsidR="00793EA9" w:rsidRPr="003D4816" w:rsidRDefault="00413A6D">
      <w:pPr>
        <w:pStyle w:val="CoverDocType24a"/>
      </w:pPr>
      <w:r w:rsidRPr="003D4816">
        <w:rPr>
          <w:rStyle w:val="HideTWBExt"/>
          <w:b w:val="0"/>
        </w:rPr>
        <w:t>&lt;TitreType&gt;</w:t>
      </w:r>
      <w:r w:rsidRPr="003D4816">
        <w:t>PROJETO DE RELATÓRIO</w:t>
      </w:r>
      <w:r w:rsidRPr="003D4816">
        <w:rPr>
          <w:rStyle w:val="HideTWBExt"/>
          <w:b w:val="0"/>
        </w:rPr>
        <w:t>&lt;/TitreType&gt;</w:t>
      </w:r>
    </w:p>
    <w:p w14:paraId="28CBDEB5" w14:textId="77777777" w:rsidR="00793EA9" w:rsidRPr="003D4816" w:rsidRDefault="00413A6D">
      <w:pPr>
        <w:pStyle w:val="CoverNormal"/>
      </w:pPr>
      <w:r w:rsidRPr="003D4816">
        <w:rPr>
          <w:rStyle w:val="HideTWBExt"/>
        </w:rPr>
        <w:t>&lt;Titre&gt;</w:t>
      </w:r>
      <w:r w:rsidRPr="003D4816">
        <w:t>sobre a proposta de regulamento do Parlamento Europeu e do Conselho que estabelece o apoio da União à segurança interna para o período de 2028 a 2034</w:t>
      </w:r>
      <w:r w:rsidRPr="003D4816">
        <w:rPr>
          <w:rStyle w:val="HideTWBExt"/>
        </w:rPr>
        <w:t>&lt;/Titre&gt;</w:t>
      </w:r>
    </w:p>
    <w:p w14:paraId="302B970D" w14:textId="659338C0" w:rsidR="00793EA9" w:rsidRPr="003D4816" w:rsidRDefault="00413A6D">
      <w:pPr>
        <w:pStyle w:val="CoverNormal24a"/>
      </w:pPr>
      <w:r w:rsidRPr="003D4816">
        <w:rPr>
          <w:rStyle w:val="HideTWBExt"/>
        </w:rPr>
        <w:t>&lt;DocRef&gt;</w:t>
      </w:r>
      <w:r w:rsidRPr="003D4816">
        <w:t>(COM(2025)0542 – C10</w:t>
      </w:r>
      <w:r>
        <w:noBreakHyphen/>
      </w:r>
      <w:r w:rsidRPr="003D4816">
        <w:t>178/2025 – 2025/0542(COD))</w:t>
      </w:r>
      <w:r w:rsidRPr="003D4816">
        <w:rPr>
          <w:rStyle w:val="HideTWBExt"/>
        </w:rPr>
        <w:t>&lt;/DocRef&gt;</w:t>
      </w:r>
    </w:p>
    <w:p w14:paraId="134EAAA3" w14:textId="77777777" w:rsidR="00793EA9" w:rsidRPr="003D4816" w:rsidRDefault="00413A6D">
      <w:pPr>
        <w:pStyle w:val="CoverNormal24a"/>
      </w:pPr>
      <w:r w:rsidRPr="003D4816">
        <w:rPr>
          <w:rStyle w:val="HideTWBExt"/>
        </w:rPr>
        <w:t>&lt;Commission&gt;</w:t>
      </w:r>
      <w:r w:rsidRPr="003D4816">
        <w:rPr>
          <w:rStyle w:val="HideTWBInt"/>
          <w:color w:val="auto"/>
        </w:rPr>
        <w:t>{LIBE}</w:t>
      </w:r>
      <w:r w:rsidRPr="003D4816">
        <w:t>Comissão das Liberdades Cívicas, da Justiça e dos Assuntos Internos</w:t>
      </w:r>
      <w:r w:rsidRPr="003D4816">
        <w:rPr>
          <w:rStyle w:val="HideTWBExt"/>
        </w:rPr>
        <w:t>&lt;/Commission&gt;</w:t>
      </w:r>
    </w:p>
    <w:p w14:paraId="4BF4EBAE" w14:textId="77777777" w:rsidR="00793EA9" w:rsidRPr="003D4816" w:rsidRDefault="00413A6D">
      <w:pPr>
        <w:pStyle w:val="CoverNormal24a"/>
      </w:pPr>
      <w:r w:rsidRPr="003D4816">
        <w:t xml:space="preserve">Relatora: </w:t>
      </w:r>
      <w:r w:rsidRPr="003D4816">
        <w:rPr>
          <w:rStyle w:val="HideTWBExt"/>
        </w:rPr>
        <w:t>&lt;Depute&gt;</w:t>
      </w:r>
      <w:r w:rsidRPr="003D4816">
        <w:t>Assita Kanko</w:t>
      </w:r>
      <w:r w:rsidRPr="003D4816">
        <w:rPr>
          <w:rStyle w:val="HideTWBExt"/>
        </w:rPr>
        <w:t>&lt;/Depute&gt;</w:t>
      </w:r>
    </w:p>
    <w:p w14:paraId="0E026275" w14:textId="77777777" w:rsidR="001C5B44" w:rsidRPr="003D4816" w:rsidRDefault="001C5B44" w:rsidP="001C5B44">
      <w:pPr>
        <w:pStyle w:val="CoverNormal"/>
      </w:pPr>
    </w:p>
    <w:p w14:paraId="0C87D9BB" w14:textId="3E254039" w:rsidR="00613C4B" w:rsidRPr="003D4816" w:rsidRDefault="00413A6D" w:rsidP="00894923">
      <w:r w:rsidRPr="003D4816">
        <w:br w:type="page"/>
      </w:r>
      <w:r w:rsidRPr="003D4816">
        <w:lastRenderedPageBreak/>
        <w:fldChar w:fldCharType="begin"/>
      </w:r>
      <w:r w:rsidRPr="003D4816">
        <w:instrText xml:space="preserve"> TITLE  \* MERGEFORMAT </w:instrText>
      </w:r>
      <w:r w:rsidRPr="003D4816">
        <w:fldChar w:fldCharType="separate"/>
      </w:r>
      <w:r>
        <w:t>PR_COD_1amCom</w:t>
      </w:r>
      <w:r w:rsidRPr="003D4816">
        <w:fldChar w:fldCharType="end"/>
      </w:r>
    </w:p>
    <w:p w14:paraId="52B88963" w14:textId="77777777" w:rsidR="00613C4B" w:rsidRPr="003D4816" w:rsidRDefault="00613C4B" w:rsidP="00894923"/>
    <w:p w14:paraId="0C7B8C7C" w14:textId="77777777" w:rsidR="00613C4B" w:rsidRPr="003D4816" w:rsidRDefault="00613C4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166EC" w:rsidRPr="003D4816" w14:paraId="129C0E12" w14:textId="77777777">
        <w:tc>
          <w:tcPr>
            <w:tcW w:w="5811" w:type="dxa"/>
          </w:tcPr>
          <w:p w14:paraId="7AC92BA3" w14:textId="77777777" w:rsidR="00613C4B" w:rsidRPr="003D4816" w:rsidRDefault="00413A6D" w:rsidP="00894923">
            <w:pPr>
              <w:pStyle w:val="Lgendetitre"/>
            </w:pPr>
            <w:r w:rsidRPr="003D4816">
              <w:t xml:space="preserve">Legenda dos símbolos </w:t>
            </w:r>
            <w:r w:rsidRPr="003D4816">
              <w:t>utilizados</w:t>
            </w:r>
          </w:p>
        </w:tc>
      </w:tr>
      <w:tr w:rsidR="005166EC" w:rsidRPr="003D4816" w14:paraId="13C8487E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07D473C7" w14:textId="77777777" w:rsidR="00613C4B" w:rsidRPr="003D4816" w:rsidRDefault="00413A6D" w:rsidP="003506ED">
            <w:pPr>
              <w:pStyle w:val="Lgendesigne"/>
            </w:pPr>
            <w:r w:rsidRPr="003D4816">
              <w:tab/>
              <w:t>*</w:t>
            </w:r>
            <w:r w:rsidRPr="003D4816">
              <w:tab/>
              <w:t>Processo de consulta</w:t>
            </w:r>
          </w:p>
          <w:p w14:paraId="7C6A4559" w14:textId="77777777" w:rsidR="00613C4B" w:rsidRPr="003D4816" w:rsidRDefault="00413A6D" w:rsidP="003506ED">
            <w:pPr>
              <w:pStyle w:val="Lgendesigne"/>
            </w:pPr>
            <w:r w:rsidRPr="003D4816">
              <w:tab/>
              <w:t>***</w:t>
            </w:r>
            <w:r w:rsidRPr="003D4816">
              <w:tab/>
              <w:t>Processo de aprovação</w:t>
            </w:r>
          </w:p>
          <w:p w14:paraId="13F3600B" w14:textId="77777777" w:rsidR="00613C4B" w:rsidRPr="003D4816" w:rsidRDefault="00413A6D" w:rsidP="003506ED">
            <w:pPr>
              <w:pStyle w:val="Lgendesigne"/>
            </w:pPr>
            <w:r w:rsidRPr="003D4816">
              <w:tab/>
              <w:t>***I</w:t>
            </w:r>
            <w:r w:rsidRPr="003D4816">
              <w:tab/>
              <w:t>Processo legislativo ordinário (primeira leitura)</w:t>
            </w:r>
          </w:p>
          <w:p w14:paraId="7AB85172" w14:textId="77777777" w:rsidR="00613C4B" w:rsidRPr="003D4816" w:rsidRDefault="00413A6D" w:rsidP="003506ED">
            <w:pPr>
              <w:pStyle w:val="Lgendesigne"/>
            </w:pPr>
            <w:r w:rsidRPr="003D4816">
              <w:tab/>
              <w:t>***II</w:t>
            </w:r>
            <w:r w:rsidRPr="003D4816">
              <w:tab/>
              <w:t>Processo legislativo ordinário (segunda leitura)</w:t>
            </w:r>
          </w:p>
          <w:p w14:paraId="0C197F40" w14:textId="77777777" w:rsidR="00613C4B" w:rsidRPr="003D4816" w:rsidRDefault="00413A6D" w:rsidP="003506ED">
            <w:pPr>
              <w:pStyle w:val="Lgendesigne"/>
            </w:pPr>
            <w:r w:rsidRPr="003D4816">
              <w:tab/>
              <w:t>***III</w:t>
            </w:r>
            <w:r w:rsidRPr="003D4816">
              <w:tab/>
              <w:t>Processo legislativo ordinário (terceira leitura)</w:t>
            </w:r>
          </w:p>
          <w:p w14:paraId="49335F0A" w14:textId="77777777" w:rsidR="00613C4B" w:rsidRPr="003D4816" w:rsidRDefault="00613C4B" w:rsidP="003506ED">
            <w:pPr>
              <w:pStyle w:val="Lgendestandard"/>
            </w:pPr>
          </w:p>
          <w:p w14:paraId="52D1E397" w14:textId="77777777" w:rsidR="00613C4B" w:rsidRPr="003D4816" w:rsidRDefault="00413A6D" w:rsidP="003506ED">
            <w:pPr>
              <w:pStyle w:val="Lgendestandard"/>
            </w:pPr>
            <w:r w:rsidRPr="003D4816">
              <w:t>(O processo indicado tem por fundamento a base jurídica proposta no projeto de ato.)</w:t>
            </w:r>
          </w:p>
          <w:p w14:paraId="5914F357" w14:textId="77777777" w:rsidR="00613C4B" w:rsidRPr="003D4816" w:rsidRDefault="00613C4B" w:rsidP="00B54EAF">
            <w:pPr>
              <w:pStyle w:val="Lgendestandard"/>
            </w:pPr>
          </w:p>
        </w:tc>
      </w:tr>
    </w:tbl>
    <w:p w14:paraId="0591D53B" w14:textId="77777777" w:rsidR="00613C4B" w:rsidRPr="003D4816" w:rsidRDefault="00613C4B" w:rsidP="00894923"/>
    <w:p w14:paraId="46ADE88A" w14:textId="77777777" w:rsidR="00613C4B" w:rsidRPr="003D4816" w:rsidRDefault="00613C4B" w:rsidP="00894923"/>
    <w:p w14:paraId="18BEC124" w14:textId="77777777" w:rsidR="00613C4B" w:rsidRPr="003D4816" w:rsidRDefault="00613C4B" w:rsidP="00894923"/>
    <w:p w14:paraId="69042EBC" w14:textId="77777777" w:rsidR="00613C4B" w:rsidRPr="003D4816" w:rsidRDefault="00613C4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166EC" w:rsidRPr="003D4816" w14:paraId="6D96CB50" w14:textId="77777777">
        <w:tc>
          <w:tcPr>
            <w:tcW w:w="5811" w:type="dxa"/>
          </w:tcPr>
          <w:p w14:paraId="6081C606" w14:textId="77777777" w:rsidR="00613C4B" w:rsidRPr="003D4816" w:rsidRDefault="00413A6D" w:rsidP="00894923">
            <w:pPr>
              <w:pStyle w:val="Lgendetitre"/>
            </w:pPr>
            <w:r w:rsidRPr="003D4816">
              <w:t>Alterações a um projeto de ato</w:t>
            </w:r>
          </w:p>
        </w:tc>
      </w:tr>
      <w:tr w:rsidR="005166EC" w:rsidRPr="003D4816" w14:paraId="74EC765C" w14:textId="77777777" w:rsidTr="00554250">
        <w:trPr>
          <w:trHeight w:val="4496"/>
        </w:trPr>
        <w:tc>
          <w:tcPr>
            <w:tcW w:w="5811" w:type="dxa"/>
          </w:tcPr>
          <w:p w14:paraId="4D02B4EC" w14:textId="77777777" w:rsidR="00613C4B" w:rsidRPr="003D4816" w:rsidRDefault="00413A6D" w:rsidP="003506ED">
            <w:pPr>
              <w:pStyle w:val="Lgendestandard"/>
              <w:rPr>
                <w:szCs w:val="24"/>
              </w:rPr>
            </w:pPr>
            <w:r w:rsidRPr="003D4816">
              <w:rPr>
                <w:b/>
              </w:rPr>
              <w:t>Alterações do Parlamento apresentadas em duas colunas</w:t>
            </w:r>
          </w:p>
          <w:p w14:paraId="7BE39B1F" w14:textId="77777777" w:rsidR="00613C4B" w:rsidRPr="003D4816" w:rsidRDefault="00613C4B" w:rsidP="003506ED">
            <w:pPr>
              <w:pStyle w:val="Lgendestandard"/>
              <w:rPr>
                <w:szCs w:val="24"/>
              </w:rPr>
            </w:pPr>
          </w:p>
          <w:p w14:paraId="65C2E8D9" w14:textId="77777777" w:rsidR="00613C4B" w:rsidRPr="003D4816" w:rsidRDefault="00413A6D" w:rsidP="003506ED">
            <w:pPr>
              <w:pStyle w:val="Lgendestandard"/>
              <w:rPr>
                <w:szCs w:val="24"/>
              </w:rPr>
            </w:pPr>
            <w:r w:rsidRPr="003D4816">
              <w:t xml:space="preserve">As supressões são assinaladas </w:t>
            </w:r>
            <w:r w:rsidRPr="003D4816">
              <w:rPr>
                <w:b/>
                <w:bCs/>
                <w:i/>
                <w:iCs/>
              </w:rPr>
              <w:t>em itálico e a negrito</w:t>
            </w:r>
            <w:r w:rsidRPr="003D4816">
              <w:t xml:space="preserve"> na coluna da esquerda. </w:t>
            </w:r>
            <w:r w:rsidRPr="003D4816">
              <w:t xml:space="preserve">As substituições são assinaladas </w:t>
            </w:r>
            <w:r w:rsidRPr="003D4816">
              <w:rPr>
                <w:b/>
                <w:bCs/>
                <w:i/>
                <w:iCs/>
              </w:rPr>
              <w:t>em itálico e a negrito</w:t>
            </w:r>
            <w:r w:rsidRPr="003D4816">
              <w:t xml:space="preserve"> na coluna da esquerda e na coluna da direita. O texto novo é assinalado </w:t>
            </w:r>
            <w:r w:rsidRPr="003D4816">
              <w:rPr>
                <w:b/>
                <w:bCs/>
                <w:i/>
                <w:iCs/>
              </w:rPr>
              <w:t>em itálico e a negrito</w:t>
            </w:r>
            <w:r w:rsidRPr="003D4816">
              <w:t xml:space="preserve"> na coluna da direita.</w:t>
            </w:r>
          </w:p>
          <w:p w14:paraId="016BBEF4" w14:textId="77777777" w:rsidR="00613C4B" w:rsidRPr="003D4816" w:rsidRDefault="00613C4B" w:rsidP="003506ED">
            <w:pPr>
              <w:pStyle w:val="Lgendestandard"/>
              <w:rPr>
                <w:szCs w:val="24"/>
              </w:rPr>
            </w:pPr>
          </w:p>
          <w:p w14:paraId="1D893C42" w14:textId="77777777" w:rsidR="00613C4B" w:rsidRPr="003D4816" w:rsidRDefault="00413A6D" w:rsidP="003506ED">
            <w:pPr>
              <w:pStyle w:val="Lgendestandard"/>
              <w:rPr>
                <w:szCs w:val="24"/>
              </w:rPr>
            </w:pPr>
            <w:r w:rsidRPr="003D4816">
              <w:t>A primeira e a segunda linhas do cabeçalho de cada alteração identificam o passo relevante do projeto de ato em apreço. Se uma alteração disser respeito a um ato já existente, que o projeto de ato pretenda modificar, o cabeçalho comporta ainda uma terceira e uma quarta linhas, que identificam, respetivamente, o ato existente e a disposição visada do ato em causa.</w:t>
            </w:r>
          </w:p>
          <w:p w14:paraId="34D96A7F" w14:textId="77777777" w:rsidR="00613C4B" w:rsidRPr="003D4816" w:rsidRDefault="00613C4B" w:rsidP="003506ED">
            <w:pPr>
              <w:pStyle w:val="Lgendestandard"/>
              <w:rPr>
                <w:szCs w:val="24"/>
              </w:rPr>
            </w:pPr>
          </w:p>
          <w:p w14:paraId="13D76A29" w14:textId="77777777" w:rsidR="00613C4B" w:rsidRPr="003D4816" w:rsidRDefault="00413A6D" w:rsidP="003506ED">
            <w:pPr>
              <w:pStyle w:val="Lgendestandard"/>
              <w:rPr>
                <w:b/>
                <w:szCs w:val="24"/>
              </w:rPr>
            </w:pPr>
            <w:r w:rsidRPr="003D4816">
              <w:rPr>
                <w:b/>
              </w:rPr>
              <w:t>Alterações do Parlamento apresentadas sob a forma de texto consolidado</w:t>
            </w:r>
          </w:p>
          <w:p w14:paraId="4A1064D3" w14:textId="77777777" w:rsidR="00613C4B" w:rsidRPr="003D4816" w:rsidRDefault="00613C4B" w:rsidP="003506ED">
            <w:pPr>
              <w:pStyle w:val="Lgendestandard"/>
              <w:rPr>
                <w:szCs w:val="24"/>
              </w:rPr>
            </w:pPr>
          </w:p>
          <w:p w14:paraId="71F8BE24" w14:textId="77777777" w:rsidR="00613C4B" w:rsidRPr="003D4816" w:rsidRDefault="00413A6D" w:rsidP="003506ED">
            <w:pPr>
              <w:pStyle w:val="Lgendestandard"/>
              <w:rPr>
                <w:szCs w:val="24"/>
              </w:rPr>
            </w:pPr>
            <w:r w:rsidRPr="003D4816">
              <w:t xml:space="preserve">Os trechos novos são assinalados </w:t>
            </w:r>
            <w:r w:rsidRPr="003D4816">
              <w:rPr>
                <w:b/>
                <w:bCs/>
                <w:i/>
                <w:iCs/>
              </w:rPr>
              <w:t>em itálico e a negrito</w:t>
            </w:r>
            <w:r w:rsidRPr="003D4816">
              <w:t xml:space="preserve">. Os trechos suprimidos são assinalados pelo símbolo ▌ou rasurados. As substituições são assinaladas formatando o texto novo </w:t>
            </w:r>
            <w:r w:rsidRPr="003D4816">
              <w:rPr>
                <w:b/>
                <w:bCs/>
                <w:i/>
                <w:iCs/>
              </w:rPr>
              <w:t>em itálico e a negrito</w:t>
            </w:r>
            <w:r w:rsidRPr="003D4816">
              <w:t xml:space="preserve"> e suprimindo, ou rasurando, o texto substituído. </w:t>
            </w:r>
          </w:p>
          <w:p w14:paraId="6EA3582C" w14:textId="77777777" w:rsidR="00613C4B" w:rsidRPr="003D4816" w:rsidRDefault="00413A6D" w:rsidP="003506ED">
            <w:pPr>
              <w:pStyle w:val="Lgendestandard"/>
            </w:pPr>
            <w:r w:rsidRPr="003D4816">
              <w:t>Exceção: as modificações de natureza estritamente técnica introduzidas pelos serviços com vista à elaboração do texto final não são assinaladas.</w:t>
            </w:r>
          </w:p>
          <w:p w14:paraId="0B7A7BCF" w14:textId="77777777" w:rsidR="00613C4B" w:rsidRPr="003D4816" w:rsidRDefault="00613C4B" w:rsidP="0069092A">
            <w:pPr>
              <w:pStyle w:val="Lgendestandard"/>
            </w:pPr>
          </w:p>
        </w:tc>
      </w:tr>
    </w:tbl>
    <w:p w14:paraId="2E85902C" w14:textId="77777777" w:rsidR="00613C4B" w:rsidRPr="003D4816" w:rsidRDefault="00613C4B" w:rsidP="00894923"/>
    <w:p w14:paraId="54F8BF6D" w14:textId="77777777" w:rsidR="00793EA9" w:rsidRPr="003D4816" w:rsidRDefault="00793EA9" w:rsidP="00012351">
      <w:pPr>
        <w:widowControl/>
        <w:tabs>
          <w:tab w:val="center" w:pos="4677"/>
        </w:tabs>
      </w:pPr>
    </w:p>
    <w:p w14:paraId="65D49176" w14:textId="77777777" w:rsidR="00793EA9" w:rsidRPr="003D4816" w:rsidRDefault="00413A6D">
      <w:pPr>
        <w:pStyle w:val="TOCHeading"/>
      </w:pPr>
      <w:r w:rsidRPr="003D4816">
        <w:br w:type="page"/>
      </w:r>
      <w:r w:rsidRPr="003D4816">
        <w:lastRenderedPageBreak/>
        <w:t>ÍNDICE</w:t>
      </w:r>
    </w:p>
    <w:p w14:paraId="26DD460B" w14:textId="77777777" w:rsidR="00793EA9" w:rsidRPr="003D4816" w:rsidRDefault="00413A6D">
      <w:pPr>
        <w:pStyle w:val="TOCPage"/>
      </w:pPr>
      <w:r w:rsidRPr="003D4816">
        <w:t>Página</w:t>
      </w:r>
    </w:p>
    <w:p w14:paraId="77AB6812" w14:textId="292D4CD2" w:rsidR="00413A6D" w:rsidRDefault="00413A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pt-PT"/>
          <w14:ligatures w14:val="standardContextual"/>
        </w:rPr>
      </w:pPr>
      <w:r w:rsidRPr="003D4816">
        <w:rPr>
          <w:b/>
        </w:rPr>
        <w:fldChar w:fldCharType="begin"/>
      </w:r>
      <w:r w:rsidRPr="003D4816">
        <w:rPr>
          <w:b/>
        </w:rPr>
        <w:instrText xml:space="preserve"> TOC \t "PageHeading</w:instrText>
      </w:r>
      <w:r w:rsidR="00D8539B" w:rsidRPr="003D4816">
        <w:rPr>
          <w:b/>
        </w:rPr>
        <w:instrText>;</w:instrText>
      </w:r>
      <w:r w:rsidRPr="003D4816">
        <w:rPr>
          <w:b/>
        </w:rPr>
        <w:instrText xml:space="preserve">1" </w:instrText>
      </w:r>
      <w:r w:rsidRPr="003D4816">
        <w:rPr>
          <w:b/>
        </w:rPr>
        <w:fldChar w:fldCharType="separate"/>
      </w:r>
      <w:r>
        <w:rPr>
          <w:noProof/>
        </w:rPr>
        <w:t>PROJETO DE RESOLUÇÃO LEGISLATIVA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_Toc231291059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5C475A6" w14:textId="03610F13" w:rsidR="00413A6D" w:rsidRDefault="00413A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pt-PT"/>
          <w14:ligatures w14:val="standardContextual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_Toc231291060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14:paraId="799FFC56" w14:textId="5CE22590" w:rsidR="002346B0" w:rsidRPr="003D4816" w:rsidRDefault="00413A6D" w:rsidP="00C23324">
      <w:r w:rsidRPr="003D4816">
        <w:rPr>
          <w:b/>
        </w:rPr>
        <w:fldChar w:fldCharType="end"/>
      </w:r>
    </w:p>
    <w:p w14:paraId="09A060E9" w14:textId="77777777" w:rsidR="00793EA9" w:rsidRPr="003D4816" w:rsidRDefault="00413A6D">
      <w:pPr>
        <w:pStyle w:val="PageHeading"/>
      </w:pPr>
      <w:r w:rsidRPr="003D4816">
        <w:br w:type="page"/>
      </w:r>
      <w:r w:rsidRPr="003D4816">
        <w:lastRenderedPageBreak/>
        <w:br w:type="page"/>
      </w:r>
      <w:bookmarkStart w:id="0" w:name="_Toc231291059"/>
      <w:r w:rsidRPr="003D4816">
        <w:lastRenderedPageBreak/>
        <w:t>PROJETO DE RESOLUÇÃO LEGISLATIVA DO PARLAMENTO EUROPEU</w:t>
      </w:r>
      <w:bookmarkEnd w:id="0"/>
    </w:p>
    <w:p w14:paraId="68B2933F" w14:textId="77777777" w:rsidR="00793EA9" w:rsidRPr="003D4816" w:rsidRDefault="00413A6D">
      <w:pPr>
        <w:pStyle w:val="NormalBold"/>
      </w:pPr>
      <w:r w:rsidRPr="003D4816">
        <w:t>sobre a proposta de regulamento do Parlamento Europeu e do Conselho que estabelece o apoio da União à segurança interna para o período de 2028 a 2034</w:t>
      </w:r>
    </w:p>
    <w:p w14:paraId="25C7D877" w14:textId="64F57209" w:rsidR="00793EA9" w:rsidRPr="003D4816" w:rsidRDefault="00413A6D">
      <w:pPr>
        <w:pStyle w:val="NormalBold12a"/>
      </w:pPr>
      <w:r w:rsidRPr="003D4816">
        <w:t>(COM(2025)0542 – C10</w:t>
      </w:r>
      <w:r>
        <w:noBreakHyphen/>
      </w:r>
      <w:r w:rsidRPr="003D4816">
        <w:t>178/2025 – 2025/0542(COD))</w:t>
      </w:r>
    </w:p>
    <w:p w14:paraId="7EC81B61" w14:textId="77777777" w:rsidR="00793EA9" w:rsidRPr="003D4816" w:rsidRDefault="00413A6D" w:rsidP="00A910C9">
      <w:pPr>
        <w:pStyle w:val="NormalBold"/>
      </w:pPr>
      <w:r w:rsidRPr="003D4816">
        <w:t>(Processo legislativo ordinário: primeira leitura)</w:t>
      </w:r>
    </w:p>
    <w:p w14:paraId="5DCF4362" w14:textId="77777777" w:rsidR="00793EA9" w:rsidRPr="003D4816" w:rsidRDefault="00413A6D" w:rsidP="00A910C9">
      <w:pPr>
        <w:pStyle w:val="EPComma"/>
      </w:pPr>
      <w:r w:rsidRPr="003D4816">
        <w:rPr>
          <w:i/>
          <w:iCs/>
        </w:rPr>
        <w:t>O Parlamento Europeu</w:t>
      </w:r>
      <w:r w:rsidRPr="003D4816">
        <w:t>,</w:t>
      </w:r>
    </w:p>
    <w:p w14:paraId="7358FD36" w14:textId="77777777" w:rsidR="00793EA9" w:rsidRPr="003D4816" w:rsidRDefault="00413A6D">
      <w:pPr>
        <w:pStyle w:val="NormalHanging12a"/>
      </w:pPr>
      <w:r w:rsidRPr="003D4816">
        <w:t>–</w:t>
      </w:r>
      <w:r w:rsidRPr="003D4816">
        <w:tab/>
        <w:t>Tendo em conta a proposta da Comissão ao Parlamento Europeu e ao Conselho (COM(2025)0542),</w:t>
      </w:r>
    </w:p>
    <w:p w14:paraId="37F6EF10" w14:textId="15F926D3" w:rsidR="00793EA9" w:rsidRPr="003D4816" w:rsidRDefault="00413A6D">
      <w:pPr>
        <w:pStyle w:val="NormalHanging12a"/>
      </w:pPr>
      <w:r w:rsidRPr="003D4816">
        <w:t>–</w:t>
      </w:r>
      <w:r w:rsidRPr="003D4816">
        <w:tab/>
        <w:t>Tendo em conta o artigo 294.º, n.º 2, o artigo 82.º, n.º 1, o artigo 84.º e o artigo 87.º, n.º 2, do Tratado sobre o Funcionamento da União Europeia, nos termos dos quais a proposta lhe foi apresentada pela Comissão (C10</w:t>
      </w:r>
      <w:r>
        <w:noBreakHyphen/>
      </w:r>
      <w:r w:rsidRPr="003D4816">
        <w:t>178/2025),</w:t>
      </w:r>
    </w:p>
    <w:p w14:paraId="173E08C4" w14:textId="77777777" w:rsidR="00A26F46" w:rsidRPr="003D4816" w:rsidRDefault="00413A6D" w:rsidP="00A26F46">
      <w:pPr>
        <w:pStyle w:val="NormalHanging12a"/>
      </w:pPr>
      <w:r w:rsidRPr="003D4816">
        <w:t>–</w:t>
      </w:r>
      <w:r w:rsidRPr="003D4816">
        <w:tab/>
        <w:t>Tendo em conta o artigo 294.º, n.º 3 do Tratado sobre o Funcionamento da União Europeia,</w:t>
      </w:r>
    </w:p>
    <w:p w14:paraId="41E2F369" w14:textId="77777777" w:rsidR="00305CD9" w:rsidRPr="003D4816" w:rsidRDefault="00413A6D" w:rsidP="00305CD9">
      <w:pPr>
        <w:pStyle w:val="NormalHanging12a"/>
      </w:pPr>
      <w:r w:rsidRPr="003D4816">
        <w:t>–</w:t>
      </w:r>
      <w:r w:rsidRPr="003D4816">
        <w:tab/>
        <w:t>Tendo em conta a avaliação orçamental efetuada pela Comissão dos Orçamentos,</w:t>
      </w:r>
    </w:p>
    <w:p w14:paraId="3AA0E36E" w14:textId="77777777" w:rsidR="009E7232" w:rsidRPr="003D4816" w:rsidRDefault="00413A6D" w:rsidP="00305CD9">
      <w:pPr>
        <w:pStyle w:val="NormalHanging12a"/>
      </w:pPr>
      <w:r w:rsidRPr="003D4816">
        <w:t>–</w:t>
      </w:r>
      <w:r w:rsidRPr="003D4816">
        <w:tab/>
        <w:t>Tendo em conta o parecer do Comité Económico e Social Europeu, de 19 de fevereiro de 2026</w:t>
      </w:r>
      <w:r w:rsidRPr="003D4816">
        <w:rPr>
          <w:rStyle w:val="FootnoteReference"/>
        </w:rPr>
        <w:footnoteReference w:id="1"/>
      </w:r>
      <w:r w:rsidRPr="003D4816">
        <w:t>,</w:t>
      </w:r>
    </w:p>
    <w:p w14:paraId="4941B619" w14:textId="77777777" w:rsidR="00793EA9" w:rsidRPr="003D4816" w:rsidRDefault="00413A6D">
      <w:pPr>
        <w:pStyle w:val="NormalHanging12a"/>
      </w:pPr>
      <w:r w:rsidRPr="003D4816">
        <w:t>–</w:t>
      </w:r>
      <w:r w:rsidRPr="003D4816">
        <w:tab/>
        <w:t>Tendo em conta os artigos 60.º e 58.º do seu Regimento,</w:t>
      </w:r>
    </w:p>
    <w:p w14:paraId="78F3AD54" w14:textId="1C5A48C3" w:rsidR="006A2F5D" w:rsidRPr="003D4816" w:rsidRDefault="00413A6D" w:rsidP="006A2F5D">
      <w:pPr>
        <w:pStyle w:val="NormalHanging12a"/>
      </w:pPr>
      <w:r w:rsidRPr="003D4816">
        <w:t>–</w:t>
      </w:r>
      <w:r w:rsidRPr="003D4816">
        <w:tab/>
        <w:t>Tendo em conta o relatório da Comissão das Liberdades Cívicas, da Justiça e dos Assuntos Internos (A10</w:t>
      </w:r>
      <w:r>
        <w:noBreakHyphen/>
      </w:r>
      <w:r w:rsidRPr="003D4816">
        <w:t>0000/2026),</w:t>
      </w:r>
    </w:p>
    <w:p w14:paraId="374D5DF6" w14:textId="77777777" w:rsidR="009F6C2F" w:rsidRPr="003D4816" w:rsidRDefault="00413A6D" w:rsidP="009F6C2F">
      <w:pPr>
        <w:pStyle w:val="NormalHanging12a"/>
      </w:pPr>
      <w:r w:rsidRPr="003D4816">
        <w:t>1.</w:t>
      </w:r>
      <w:r w:rsidRPr="003D4816">
        <w:tab/>
        <w:t>Aprova a posição em primeira leitura que se segue;</w:t>
      </w:r>
    </w:p>
    <w:p w14:paraId="2E1A7651" w14:textId="581ACE6B" w:rsidR="009F6C2F" w:rsidRPr="003D4816" w:rsidRDefault="00413A6D" w:rsidP="009F6C2F">
      <w:pPr>
        <w:pStyle w:val="NormalHanging12a"/>
      </w:pPr>
      <w:r w:rsidRPr="003D4816">
        <w:t>2.</w:t>
      </w:r>
      <w:r w:rsidRPr="003D4816">
        <w:tab/>
        <w:t>Requer à Comissão que lhe submeta de novo a sua proposta, se a substituir, se a alterar substancialmente ou se pretender alterá</w:t>
      </w:r>
      <w:r>
        <w:noBreakHyphen/>
      </w:r>
      <w:r w:rsidRPr="003D4816">
        <w:t>la substancialmente;</w:t>
      </w:r>
    </w:p>
    <w:p w14:paraId="4839D3FF" w14:textId="77777777" w:rsidR="00D30DE2" w:rsidRPr="003D4816" w:rsidRDefault="00413A6D" w:rsidP="00F61420">
      <w:pPr>
        <w:pStyle w:val="NormalHanging12a"/>
      </w:pPr>
      <w:r w:rsidRPr="003D4816">
        <w:t>3.</w:t>
      </w:r>
      <w:r w:rsidRPr="003D4816">
        <w:tab/>
        <w:t>Encarrega a sua Presidente de transmitir a posição do Parlamento ao Conselho, à Comissão e aos parlamentos nacionais.</w:t>
      </w:r>
    </w:p>
    <w:p w14:paraId="6D86BDEB" w14:textId="77777777" w:rsidR="00F61420" w:rsidRPr="003D4816" w:rsidRDefault="00F61420" w:rsidP="00F61420"/>
    <w:p w14:paraId="6530C9DE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&lt;RepeatBlock-Amend&gt;&lt;Amend&gt;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</w:t>
      </w:r>
      <w:r w:rsidRPr="003D4816">
        <w:rPr>
          <w:rStyle w:val="HideTWBExt"/>
          <w:b w:val="0"/>
        </w:rPr>
        <w:t>&lt;/NumAm&gt;</w:t>
      </w:r>
    </w:p>
    <w:p w14:paraId="1BBD4043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4657126C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3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3317E2E8" w14:textId="77777777" w:rsidTr="00BA27ED">
        <w:trPr>
          <w:jc w:val="center"/>
        </w:trPr>
        <w:tc>
          <w:tcPr>
            <w:tcW w:w="9752" w:type="dxa"/>
            <w:gridSpan w:val="2"/>
          </w:tcPr>
          <w:p w14:paraId="156A8909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39324AC4" w14:textId="77777777" w:rsidTr="00BA27ED">
        <w:trPr>
          <w:jc w:val="center"/>
        </w:trPr>
        <w:tc>
          <w:tcPr>
            <w:tcW w:w="4876" w:type="dxa"/>
          </w:tcPr>
          <w:p w14:paraId="3668A072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6DFF7C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495C9745" w14:textId="77777777" w:rsidTr="00BA27ED">
        <w:trPr>
          <w:jc w:val="center"/>
        </w:trPr>
        <w:tc>
          <w:tcPr>
            <w:tcW w:w="4876" w:type="dxa"/>
          </w:tcPr>
          <w:p w14:paraId="596B0C21" w14:textId="6A6D4C18" w:rsidR="00F61420" w:rsidRPr="003D4816" w:rsidRDefault="00413A6D" w:rsidP="00BA27ED">
            <w:pPr>
              <w:pStyle w:val="Normal6"/>
            </w:pPr>
            <w:r w:rsidRPr="003D4816">
              <w:t>(3)</w:t>
            </w:r>
            <w:r w:rsidRPr="003D4816">
              <w:tab/>
              <w:t xml:space="preserve">O presente regulamento estabelece </w:t>
            </w:r>
            <w:r w:rsidRPr="003D4816">
              <w:lastRenderedPageBreak/>
              <w:t xml:space="preserve">os objetivos do apoio da União. A fim de alcançar da melhor forma possível um elevado nível de </w:t>
            </w:r>
            <w:r w:rsidRPr="003D4816">
              <w:t>segurança em toda a União, os Estados</w:t>
            </w:r>
            <w:r>
              <w:noBreakHyphen/>
            </w:r>
            <w:r w:rsidRPr="003D4816">
              <w:t>Membros devem assegurar que os seus planos de parceria nacionais e regionais cumprem cada um dos objetivos estabelecidos no presente regulamento.</w:t>
            </w:r>
          </w:p>
        </w:tc>
        <w:tc>
          <w:tcPr>
            <w:tcW w:w="4876" w:type="dxa"/>
          </w:tcPr>
          <w:p w14:paraId="7ABD4067" w14:textId="57E87F1E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lastRenderedPageBreak/>
              <w:t>(3)</w:t>
            </w:r>
            <w:r w:rsidRPr="003D4816">
              <w:tab/>
              <w:t xml:space="preserve">O presente regulamento estabelece </w:t>
            </w:r>
            <w:r w:rsidRPr="003D4816">
              <w:lastRenderedPageBreak/>
              <w:t xml:space="preserve">os objetivos do apoio da União </w:t>
            </w:r>
            <w:r w:rsidRPr="003D4816">
              <w:rPr>
                <w:b/>
                <w:i/>
              </w:rPr>
              <w:t>à segurança interna</w:t>
            </w:r>
            <w:r w:rsidRPr="003D4816">
              <w:t>. A fim de alcançar da melhor forma possível um elevado nível de segurança em toda a União, os Estados</w:t>
            </w:r>
            <w:r>
              <w:noBreakHyphen/>
            </w:r>
            <w:r w:rsidRPr="003D4816">
              <w:t>Membros devem assegurar que os seus planos de parceria nacionais e regionais cumprem cada um dos objetivos estabelecidos no presente regulamento.</w:t>
            </w:r>
          </w:p>
        </w:tc>
      </w:tr>
    </w:tbl>
    <w:p w14:paraId="0024029E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008524FE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0EE8E398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2</w:t>
      </w:r>
      <w:r w:rsidRPr="003D4816">
        <w:rPr>
          <w:rStyle w:val="HideTWBExt"/>
          <w:b w:val="0"/>
        </w:rPr>
        <w:t>&lt;/NumAm&gt;</w:t>
      </w:r>
    </w:p>
    <w:p w14:paraId="176FEC5D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3BCB760A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6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3718E3E" w14:textId="77777777" w:rsidTr="00BA27ED">
        <w:trPr>
          <w:jc w:val="center"/>
        </w:trPr>
        <w:tc>
          <w:tcPr>
            <w:tcW w:w="9752" w:type="dxa"/>
            <w:gridSpan w:val="2"/>
          </w:tcPr>
          <w:p w14:paraId="077C37B3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4E91CDAA" w14:textId="77777777" w:rsidTr="00BA27ED">
        <w:trPr>
          <w:jc w:val="center"/>
        </w:trPr>
        <w:tc>
          <w:tcPr>
            <w:tcW w:w="4876" w:type="dxa"/>
          </w:tcPr>
          <w:p w14:paraId="766AAD8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7590C992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3C80D232" w14:textId="77777777" w:rsidTr="00BA27ED">
        <w:trPr>
          <w:jc w:val="center"/>
        </w:trPr>
        <w:tc>
          <w:tcPr>
            <w:tcW w:w="4876" w:type="dxa"/>
          </w:tcPr>
          <w:p w14:paraId="4A8BD4B0" w14:textId="7189BFAC" w:rsidR="00F61420" w:rsidRPr="003D4816" w:rsidRDefault="00413A6D" w:rsidP="00BA27ED">
            <w:pPr>
              <w:pStyle w:val="Normal6"/>
            </w:pPr>
            <w:r w:rsidRPr="003D4816">
              <w:t>(6)</w:t>
            </w:r>
            <w:r w:rsidRPr="003D4816">
              <w:tab/>
              <w:t xml:space="preserve">Num cenário geopolítico e de ameaça à segurança em </w:t>
            </w:r>
            <w:r w:rsidRPr="003D4816">
              <w:t>rápida evolução, a Comissão definiu as prioridades comuns para uma Europa mais segura na «Estratégia ProtectEU»</w:t>
            </w:r>
            <w:r w:rsidRPr="003D4816">
              <w:rPr>
                <w:vertAlign w:val="superscript"/>
              </w:rPr>
              <w:t>6</w:t>
            </w:r>
            <w:r w:rsidRPr="003D4816">
              <w:t xml:space="preserve">. O contexto geopolítico da Europa mudou significativamente e afetou profundamente a interligação </w:t>
            </w:r>
            <w:r w:rsidRPr="003D4816">
              <w:rPr>
                <w:b/>
                <w:bCs/>
                <w:i/>
                <w:iCs/>
              </w:rPr>
              <w:t>da</w:t>
            </w:r>
            <w:r w:rsidRPr="003D4816">
              <w:t xml:space="preserve"> segurança interna e externa da UE. As ameaças à segurança são cada vez mais globais e complexas, devido à capacidade dos criminosos de operar além</w:t>
            </w:r>
            <w:r>
              <w:noBreakHyphen/>
            </w:r>
            <w:r w:rsidRPr="003D4816">
              <w:t>fronteiras, explorar as disparidades sociais e económicas e navegar entre os mundos físico e digital. Ao mesmo tempo, as novas tecnologias digitais e a inteligência artificial oferecem oportunidades significativas para reforçar as capacidades policiais e judiciais e dar uma resposta eficaz a estas ameaças em constante evolução.</w:t>
            </w:r>
          </w:p>
        </w:tc>
        <w:tc>
          <w:tcPr>
            <w:tcW w:w="4876" w:type="dxa"/>
          </w:tcPr>
          <w:p w14:paraId="716B4D49" w14:textId="0FD6ED31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(6)</w:t>
            </w:r>
            <w:r w:rsidRPr="003D4816">
              <w:tab/>
              <w:t xml:space="preserve">Num cenário geopolítico e de ameaça à segurança em rápida </w:t>
            </w:r>
            <w:r w:rsidRPr="003D4816">
              <w:t>evolução, a Comissão definiu as prioridades comuns para uma Europa mais segura na «Estratégia ProtectEU»</w:t>
            </w:r>
            <w:r w:rsidRPr="003D4816">
              <w:rPr>
                <w:vertAlign w:val="superscript"/>
              </w:rPr>
              <w:t>6</w:t>
            </w:r>
            <w:r w:rsidRPr="003D4816">
              <w:t xml:space="preserve">. O contexto geopolítico da Europa mudou significativamente </w:t>
            </w:r>
            <w:r w:rsidRPr="003D4816">
              <w:rPr>
                <w:b/>
                <w:bCs/>
                <w:i/>
                <w:iCs/>
              </w:rPr>
              <w:t>nos últimos anos</w:t>
            </w:r>
            <w:r w:rsidRPr="003D4816">
              <w:rPr>
                <w:b/>
                <w:bCs/>
              </w:rPr>
              <w:t xml:space="preserve"> </w:t>
            </w:r>
            <w:r w:rsidRPr="003D4816">
              <w:t xml:space="preserve">e afetou profundamente a interligação </w:t>
            </w:r>
            <w:r w:rsidRPr="003D4816">
              <w:rPr>
                <w:b/>
                <w:bCs/>
                <w:i/>
                <w:iCs/>
              </w:rPr>
              <w:t>dos desafios em matéria de</w:t>
            </w:r>
            <w:r w:rsidRPr="003D4816">
              <w:rPr>
                <w:b/>
                <w:bCs/>
              </w:rPr>
              <w:t xml:space="preserve"> </w:t>
            </w:r>
            <w:r w:rsidRPr="003D4816">
              <w:t>segurança interna e externa da UE. As ameaças à segurança são cada vez mais globais e complexas, devido à capacidade dos criminosos de operar além</w:t>
            </w:r>
            <w:r>
              <w:noBreakHyphen/>
            </w:r>
            <w:r w:rsidRPr="003D4816">
              <w:t>fronteiras, explorar as disparidades sociais e económicas e navegar entre os mundos físico e digital. Ao mesmo tempo, as novas tecnologias digitais e a inteligência artificial oferecem oportunidades significativas para reforçar as capacidades policiais e judiciais e dar uma resposta eficaz a estas ameaças em constante evolução.</w:t>
            </w:r>
          </w:p>
        </w:tc>
      </w:tr>
      <w:tr w:rsidR="005166EC" w:rsidRPr="003D4816" w14:paraId="6D715E6F" w14:textId="77777777" w:rsidTr="00BA27ED">
        <w:trPr>
          <w:jc w:val="center"/>
        </w:trPr>
        <w:tc>
          <w:tcPr>
            <w:tcW w:w="4876" w:type="dxa"/>
          </w:tcPr>
          <w:p w14:paraId="350C9890" w14:textId="77777777" w:rsidR="00F61420" w:rsidRPr="003D4816" w:rsidRDefault="00413A6D" w:rsidP="00BA27ED">
            <w:pPr>
              <w:pStyle w:val="Normal6"/>
            </w:pPr>
            <w:r w:rsidRPr="003D4816">
              <w:t>__________________</w:t>
            </w:r>
          </w:p>
        </w:tc>
        <w:tc>
          <w:tcPr>
            <w:tcW w:w="4876" w:type="dxa"/>
          </w:tcPr>
          <w:p w14:paraId="3F45A255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__________________</w:t>
            </w:r>
          </w:p>
        </w:tc>
      </w:tr>
      <w:tr w:rsidR="005166EC" w:rsidRPr="003D4816" w14:paraId="7C657D75" w14:textId="77777777" w:rsidTr="00BA27ED">
        <w:trPr>
          <w:jc w:val="center"/>
        </w:trPr>
        <w:tc>
          <w:tcPr>
            <w:tcW w:w="4876" w:type="dxa"/>
          </w:tcPr>
          <w:p w14:paraId="3140B413" w14:textId="77777777" w:rsidR="00F61420" w:rsidRPr="003D4816" w:rsidRDefault="00413A6D" w:rsidP="00BA27ED">
            <w:pPr>
              <w:pStyle w:val="Normal6"/>
            </w:pPr>
            <w:r w:rsidRPr="003D4816">
              <w:rPr>
                <w:vertAlign w:val="superscript"/>
              </w:rPr>
              <w:t>6</w:t>
            </w:r>
            <w:r w:rsidRPr="003D4816">
              <w:t xml:space="preserve"> Comunicação COM(2025) 148 final, de 1 de abril de 2025, da Comissão ao Parlamento Europeu, ao Conselho, ao Comité Económico e Social Europeu e ao Comité das Regiões sobre a ProtectEU: uma Estratégia Europeia de Segurança Interna.</w:t>
            </w:r>
          </w:p>
        </w:tc>
        <w:tc>
          <w:tcPr>
            <w:tcW w:w="4876" w:type="dxa"/>
          </w:tcPr>
          <w:p w14:paraId="1A48F82C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vertAlign w:val="superscript"/>
              </w:rPr>
              <w:t>6</w:t>
            </w:r>
            <w:r w:rsidRPr="003D4816">
              <w:t xml:space="preserve"> Comunicação COM(2025) 148 final, de 1 de abril de 2025, da Comissão ao Parlamento Europeu, ao Conselho, ao Comité Económico e Social Europeu e ao Comité das Regiões sobre a ProtectEU: uma Estratégia Europeia de Segurança Interna.</w:t>
            </w:r>
          </w:p>
        </w:tc>
      </w:tr>
    </w:tbl>
    <w:p w14:paraId="5C8AEAA9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58594AA8" w14:textId="77777777" w:rsidR="00F61420" w:rsidRPr="003D4816" w:rsidRDefault="00413A6D" w:rsidP="00F61420">
      <w:r w:rsidRPr="003D4816">
        <w:rPr>
          <w:rStyle w:val="HideTWBExt"/>
        </w:rPr>
        <w:lastRenderedPageBreak/>
        <w:t>&lt;/Amend&gt;</w:t>
      </w:r>
    </w:p>
    <w:p w14:paraId="7491F322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3</w:t>
      </w:r>
      <w:r w:rsidRPr="003D4816">
        <w:rPr>
          <w:rStyle w:val="HideTWBExt"/>
          <w:b w:val="0"/>
        </w:rPr>
        <w:t>&lt;/NumAm&gt;</w:t>
      </w:r>
    </w:p>
    <w:p w14:paraId="1E2952F8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3260B210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 9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6DDED132" w14:textId="77777777" w:rsidTr="00BA27ED">
        <w:trPr>
          <w:jc w:val="center"/>
        </w:trPr>
        <w:tc>
          <w:tcPr>
            <w:tcW w:w="9752" w:type="dxa"/>
            <w:gridSpan w:val="2"/>
          </w:tcPr>
          <w:p w14:paraId="429BCB9B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0B0EE613" w14:textId="77777777" w:rsidTr="00BA27ED">
        <w:trPr>
          <w:jc w:val="center"/>
        </w:trPr>
        <w:tc>
          <w:tcPr>
            <w:tcW w:w="4876" w:type="dxa"/>
          </w:tcPr>
          <w:p w14:paraId="180C6DD7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2FDEA28E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6CC702F0" w14:textId="77777777" w:rsidTr="00BA27ED">
        <w:trPr>
          <w:jc w:val="center"/>
        </w:trPr>
        <w:tc>
          <w:tcPr>
            <w:tcW w:w="4876" w:type="dxa"/>
          </w:tcPr>
          <w:p w14:paraId="559D1B20" w14:textId="59EE72A5" w:rsidR="00F61420" w:rsidRPr="003D4816" w:rsidRDefault="00413A6D" w:rsidP="00BA27ED">
            <w:pPr>
              <w:pStyle w:val="Normal6"/>
            </w:pPr>
            <w:r w:rsidRPr="003D4816">
              <w:t>(9)</w:t>
            </w:r>
            <w:r w:rsidRPr="003D4816">
              <w:tab/>
              <w:t xml:space="preserve">A segurança é o alicerce em que assentam todas as nossas liberdades e a </w:t>
            </w:r>
            <w:r w:rsidRPr="003D4816">
              <w:t>capacidade dos Estados</w:t>
            </w:r>
            <w:r>
              <w:noBreakHyphen/>
            </w:r>
            <w:r w:rsidRPr="003D4816">
              <w:t>Membros garantirem a segurança dos cidadãos depende de uma abordagem europeia unificada. Como estabelecido na Estratégia ProtectEU, as considerações em matéria de segurança devem ser integradas e incorporadas em toda a legislação, políticas e programas da UE, incluindo na ação externa. O apoio da União ao abrigo do presente regulamento deve contribuir para dar resposta a estas considerações.</w:t>
            </w:r>
          </w:p>
        </w:tc>
        <w:tc>
          <w:tcPr>
            <w:tcW w:w="4876" w:type="dxa"/>
          </w:tcPr>
          <w:p w14:paraId="07268B9F" w14:textId="438E2A9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(9)</w:t>
            </w:r>
            <w:r w:rsidRPr="003D4816">
              <w:tab/>
              <w:t>A segurança é o alicerce em que assentam todas as nossas liberdades e a capacidade dos Estados</w:t>
            </w:r>
            <w:r>
              <w:noBreakHyphen/>
            </w:r>
            <w:r w:rsidRPr="003D4816">
              <w:t xml:space="preserve">Membros garantirem a segurança dos </w:t>
            </w:r>
            <w:r w:rsidRPr="003D4816">
              <w:rPr>
                <w:b/>
                <w:i/>
              </w:rPr>
              <w:t>seus</w:t>
            </w:r>
            <w:r w:rsidRPr="003D4816">
              <w:t xml:space="preserve"> cidadãos </w:t>
            </w:r>
            <w:r w:rsidRPr="003D4816">
              <w:rPr>
                <w:b/>
                <w:i/>
              </w:rPr>
              <w:t>numa União sem controlos nas fronteiras internas</w:t>
            </w:r>
            <w:r w:rsidRPr="003D4816">
              <w:t xml:space="preserve"> depende de uma abordagem europeia unificada</w:t>
            </w:r>
            <w:r w:rsidRPr="003D4816">
              <w:rPr>
                <w:b/>
                <w:i/>
              </w:rPr>
              <w:t xml:space="preserve">. O apoio da União deve abranger medidas que contribuam para evitar a introdução de controlos </w:t>
            </w:r>
            <w:r w:rsidRPr="003D4816">
              <w:rPr>
                <w:b/>
                <w:i/>
              </w:rPr>
              <w:t>temporários nas fronteiras internas ou a supressão desses controlos</w:t>
            </w:r>
            <w:r w:rsidRPr="003D4816">
              <w:t>. Como estabelecido na Estratégia ProtectEU, as considerações em matéria de segurança devem ser integradas e incorporadas em toda a legislação, políticas e programas da UE, incluindo na ação externa. O apoio da União ao abrigo do presente regulamento deve contribuir para dar resposta a estas considerações.</w:t>
            </w:r>
          </w:p>
        </w:tc>
      </w:tr>
    </w:tbl>
    <w:p w14:paraId="29C8A986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121C48BB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621EF99C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4</w:t>
      </w:r>
      <w:r w:rsidRPr="003D4816">
        <w:rPr>
          <w:rStyle w:val="HideTWBExt"/>
          <w:b w:val="0"/>
        </w:rPr>
        <w:t>&lt;/NumAm&gt;</w:t>
      </w:r>
    </w:p>
    <w:p w14:paraId="595AC10B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09ACA801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 10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3ECB509B" w14:textId="77777777" w:rsidTr="00BA27ED">
        <w:trPr>
          <w:jc w:val="center"/>
        </w:trPr>
        <w:tc>
          <w:tcPr>
            <w:tcW w:w="9752" w:type="dxa"/>
            <w:gridSpan w:val="2"/>
          </w:tcPr>
          <w:p w14:paraId="3FB5DC25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284F402F" w14:textId="77777777" w:rsidTr="00BA27ED">
        <w:trPr>
          <w:jc w:val="center"/>
        </w:trPr>
        <w:tc>
          <w:tcPr>
            <w:tcW w:w="4876" w:type="dxa"/>
          </w:tcPr>
          <w:p w14:paraId="18E029FF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AB7CD63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4665B6E3" w14:textId="77777777" w:rsidTr="00BA27ED">
        <w:trPr>
          <w:jc w:val="center"/>
        </w:trPr>
        <w:tc>
          <w:tcPr>
            <w:tcW w:w="4876" w:type="dxa"/>
          </w:tcPr>
          <w:p w14:paraId="035E102A" w14:textId="265A1AB1" w:rsidR="00F61420" w:rsidRPr="003D4816" w:rsidRDefault="00413A6D" w:rsidP="00BA27ED">
            <w:pPr>
              <w:pStyle w:val="Normal6"/>
            </w:pPr>
            <w:r w:rsidRPr="003D4816">
              <w:t>(10)</w:t>
            </w:r>
            <w:r w:rsidRPr="003D4816">
              <w:tab/>
              <w:t>Nas suas conclusões de 26 de junho de 2025</w:t>
            </w:r>
            <w:r w:rsidRPr="003D4816">
              <w:rPr>
                <w:vertAlign w:val="superscript"/>
              </w:rPr>
              <w:t>7</w:t>
            </w:r>
            <w:r w:rsidRPr="003D4816">
              <w:t xml:space="preserve">, o Conselho Europeu recordou que a criminalidade grave e organizada, o terrorismo, a radicalização e o extremismo violento, tanto em linha como fora de </w:t>
            </w:r>
            <w:r w:rsidRPr="003D4816">
              <w:t>linha, representam uma grave ameaça para os cidadãos europeus e para a segurança dos Estados</w:t>
            </w:r>
            <w:r>
              <w:noBreakHyphen/>
            </w:r>
            <w:r w:rsidRPr="003D4816">
              <w:t xml:space="preserve">Membros. O Conselho Europeu destacou igualmente a ameaça que representa a infiltração criminosa nas estruturas empresariais legais, o que tem um impacto negativo nas finanças públicas </w:t>
            </w:r>
            <w:r w:rsidRPr="003D4816">
              <w:lastRenderedPageBreak/>
              <w:t>e no mercado único. O Conselho Europeu instou as instituições da União e os Estados</w:t>
            </w:r>
            <w:r>
              <w:noBreakHyphen/>
            </w:r>
            <w:r w:rsidRPr="003D4816">
              <w:t>Membros a mobilizarem todos os recursos disponíveis a nível nacional e da UE e a tomarem novas medidas para reforçar a cooperação policial e judiciária, nomeadamente no que diz respeito ao acesso efetivo aos dados para fins de aplicação da lei, à garantia do intercâmbio de informações e à cooperação com países terceiros.</w:t>
            </w:r>
          </w:p>
        </w:tc>
        <w:tc>
          <w:tcPr>
            <w:tcW w:w="4876" w:type="dxa"/>
          </w:tcPr>
          <w:p w14:paraId="4A9EBA81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i/>
              </w:rPr>
              <w:lastRenderedPageBreak/>
              <w:t>(Não se aplica à versão portuguesa.)</w:t>
            </w:r>
            <w:r w:rsidRPr="003D4816">
              <w:tab/>
              <w:t xml:space="preserve">     </w:t>
            </w:r>
          </w:p>
        </w:tc>
      </w:tr>
      <w:tr w:rsidR="005166EC" w:rsidRPr="003D4816" w14:paraId="4905948E" w14:textId="77777777" w:rsidTr="00BA27ED">
        <w:trPr>
          <w:jc w:val="center"/>
        </w:trPr>
        <w:tc>
          <w:tcPr>
            <w:tcW w:w="4876" w:type="dxa"/>
          </w:tcPr>
          <w:p w14:paraId="4725FC01" w14:textId="77777777" w:rsidR="00F61420" w:rsidRPr="003D4816" w:rsidRDefault="00413A6D" w:rsidP="00BA27ED">
            <w:pPr>
              <w:pStyle w:val="Normal6"/>
            </w:pPr>
            <w:r w:rsidRPr="003D4816">
              <w:t>__________________</w:t>
            </w:r>
          </w:p>
        </w:tc>
        <w:tc>
          <w:tcPr>
            <w:tcW w:w="4876" w:type="dxa"/>
          </w:tcPr>
          <w:p w14:paraId="17418E87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 xml:space="preserve"> </w:t>
            </w:r>
          </w:p>
        </w:tc>
      </w:tr>
      <w:tr w:rsidR="005166EC" w:rsidRPr="003D4816" w14:paraId="4A3AC5AA" w14:textId="77777777" w:rsidTr="00BA27ED">
        <w:trPr>
          <w:jc w:val="center"/>
        </w:trPr>
        <w:tc>
          <w:tcPr>
            <w:tcW w:w="4876" w:type="dxa"/>
          </w:tcPr>
          <w:p w14:paraId="7620D84F" w14:textId="77777777" w:rsidR="00F61420" w:rsidRPr="003D4816" w:rsidRDefault="00413A6D" w:rsidP="00BA27ED">
            <w:pPr>
              <w:pStyle w:val="Normal6"/>
            </w:pPr>
            <w:r w:rsidRPr="003D4816">
              <w:rPr>
                <w:vertAlign w:val="superscript"/>
              </w:rPr>
              <w:t>7</w:t>
            </w:r>
            <w:r w:rsidRPr="003D4816">
              <w:t xml:space="preserve"> Conclusões do Conselho, EUCO 12/25, de 26 de junho de 2025.</w:t>
            </w:r>
          </w:p>
        </w:tc>
        <w:tc>
          <w:tcPr>
            <w:tcW w:w="4876" w:type="dxa"/>
          </w:tcPr>
          <w:p w14:paraId="65174EE6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 xml:space="preserve"> </w:t>
            </w:r>
          </w:p>
        </w:tc>
      </w:tr>
    </w:tbl>
    <w:p w14:paraId="4BBDEB1D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4FF1A800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04C6FA7F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5</w:t>
      </w:r>
      <w:r w:rsidRPr="003D4816">
        <w:rPr>
          <w:rStyle w:val="HideTWBExt"/>
          <w:b w:val="0"/>
        </w:rPr>
        <w:t>&lt;/NumAm&gt;</w:t>
      </w:r>
    </w:p>
    <w:p w14:paraId="60847C3A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559EAFB6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11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5EA4F8A0" w14:textId="77777777" w:rsidTr="00BA27ED">
        <w:trPr>
          <w:jc w:val="center"/>
        </w:trPr>
        <w:tc>
          <w:tcPr>
            <w:tcW w:w="9752" w:type="dxa"/>
            <w:gridSpan w:val="2"/>
          </w:tcPr>
          <w:p w14:paraId="43C7AF82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6F9748E4" w14:textId="77777777" w:rsidTr="00BA27ED">
        <w:trPr>
          <w:jc w:val="center"/>
        </w:trPr>
        <w:tc>
          <w:tcPr>
            <w:tcW w:w="4876" w:type="dxa"/>
          </w:tcPr>
          <w:p w14:paraId="79E2E943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111BB910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4AD8C430" w14:textId="77777777" w:rsidTr="00BA27ED">
        <w:trPr>
          <w:jc w:val="center"/>
        </w:trPr>
        <w:tc>
          <w:tcPr>
            <w:tcW w:w="4876" w:type="dxa"/>
          </w:tcPr>
          <w:p w14:paraId="19D447DE" w14:textId="5CC8E481" w:rsidR="00F61420" w:rsidRPr="003D4816" w:rsidRDefault="00413A6D" w:rsidP="00BA27ED">
            <w:pPr>
              <w:pStyle w:val="Normal6"/>
            </w:pPr>
            <w:r w:rsidRPr="003D4816">
              <w:t>(11)</w:t>
            </w:r>
            <w:r w:rsidRPr="003D4816">
              <w:tab/>
              <w:t xml:space="preserve">A fim de </w:t>
            </w:r>
            <w:r w:rsidRPr="003D4816">
              <w:t>prevenir e combater as ameaças à segurança interna, o apoio da União deve reforçar as capacidades dos Estados</w:t>
            </w:r>
            <w:r>
              <w:noBreakHyphen/>
            </w:r>
            <w:r w:rsidRPr="003D4816">
              <w:t>Membros para prevenir e combater a criminalidade grave e organizada, o terrorismo, o extremismo violento e a radicalização, o abuso e a exploração sexual de crianças e a cibercriminalidade, para realizar ações destinadas a fazer face aos desafios digitais e tecnológicos em matéria de segurança, para aumentar a resiliência das infraestruturas críticas em relação a ameaças em linha, fazer face às ameaças à segurança no domínio marítimo, para dar resposta ao tráfico de seres humanos, à introdução clandestina d</w:t>
            </w:r>
            <w:r w:rsidRPr="003D4816">
              <w:t xml:space="preserve">e migrantes, ao tráfico de droga, ao tráfico de armas, ao branqueamento de capitais, à recuperação de ativos e à criminalidade financeira, à criminalidade ambiental, à contrafação de meios de pagamento e às infrações penais lesivas dos interesses financeiros da União, para providenciar assistência e proteção das vítimas da criminalidade, proteção dos </w:t>
            </w:r>
            <w:r w:rsidRPr="003D4816">
              <w:lastRenderedPageBreak/>
              <w:t xml:space="preserve">espaços públicos, fazer face às ameaças à segurança relacionadas com a QBRNE e gerir incidentes, nomeadamente através de uma maior cooperação e intercâmbio de </w:t>
            </w:r>
            <w:r w:rsidRPr="003D4816">
              <w:t>informações entre as autoridades públicas, os órgãos e organismos competentes da União, a sociedade civil e os parceiros privados em diferentes Estados</w:t>
            </w:r>
            <w:r>
              <w:noBreakHyphen/>
            </w:r>
            <w:r w:rsidRPr="003D4816">
              <w:t>Membros. O apoio da União deve também contribuir para que os Estados</w:t>
            </w:r>
            <w:r>
              <w:noBreakHyphen/>
            </w:r>
            <w:r w:rsidRPr="003D4816">
              <w:t>Membros adquiram e apliquem métodos e tecnologias inovadores no domínio da segurança interna, em especial os apoiados pelo Regulamento (UE) [...] que institui o Fundo Europeu de Competitividade e pelo Regulamento (UE) [...] que institui o Programa</w:t>
            </w:r>
            <w:r>
              <w:noBreakHyphen/>
            </w:r>
            <w:r w:rsidRPr="003D4816">
              <w:t>Quadro de Investigação da UE. Além disso, num panorama político mundial em mutação, a dimensão externa do espaço de liberdade, segurança e justiça é extremamente importante. Por conseguinte, o apoio da União deve também contribuir para o reforço da cooperação e da parceria com países terceiros, servindo os interesses das políticas internas da União.</w:t>
            </w:r>
          </w:p>
        </w:tc>
        <w:tc>
          <w:tcPr>
            <w:tcW w:w="4876" w:type="dxa"/>
          </w:tcPr>
          <w:p w14:paraId="7FD5DEFE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i/>
              </w:rPr>
              <w:lastRenderedPageBreak/>
              <w:t>(Não se aplica à versão portuguesa.)</w:t>
            </w:r>
            <w:r w:rsidRPr="003D4816">
              <w:tab/>
              <w:t xml:space="preserve">       </w:t>
            </w:r>
          </w:p>
        </w:tc>
      </w:tr>
    </w:tbl>
    <w:p w14:paraId="78EB4079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74155665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71A04505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6</w:t>
      </w:r>
      <w:r w:rsidRPr="003D4816">
        <w:rPr>
          <w:rStyle w:val="HideTWBExt"/>
          <w:b w:val="0"/>
        </w:rPr>
        <w:t>&lt;/NumAm&gt;</w:t>
      </w:r>
    </w:p>
    <w:p w14:paraId="2C84B30D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79D5B24A" w14:textId="0725323E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11</w:t>
      </w:r>
      <w:r>
        <w:noBreakHyphen/>
      </w:r>
      <w:r w:rsidRPr="003D4816">
        <w:t>A (novo)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23951A2" w14:textId="77777777" w:rsidTr="00BA27ED">
        <w:trPr>
          <w:jc w:val="center"/>
        </w:trPr>
        <w:tc>
          <w:tcPr>
            <w:tcW w:w="9752" w:type="dxa"/>
            <w:gridSpan w:val="2"/>
          </w:tcPr>
          <w:p w14:paraId="1625C668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00CB2744" w14:textId="77777777" w:rsidTr="00BA27ED">
        <w:trPr>
          <w:jc w:val="center"/>
        </w:trPr>
        <w:tc>
          <w:tcPr>
            <w:tcW w:w="4876" w:type="dxa"/>
          </w:tcPr>
          <w:p w14:paraId="2BFD8321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379C4335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2A214F90" w14:textId="77777777" w:rsidTr="00BA27ED">
        <w:trPr>
          <w:jc w:val="center"/>
        </w:trPr>
        <w:tc>
          <w:tcPr>
            <w:tcW w:w="4876" w:type="dxa"/>
          </w:tcPr>
          <w:p w14:paraId="0CAE1B78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0E60942E" w14:textId="09C5691B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(11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A)</w:t>
            </w:r>
            <w:r w:rsidRPr="003D4816">
              <w:rPr>
                <w:b/>
                <w:i/>
              </w:rPr>
              <w:tab/>
              <w:t xml:space="preserve">Num ambiente de segurança cada vez mais complexo e disputado, a União e os seus </w:t>
            </w:r>
            <w:r w:rsidRPr="003D4816">
              <w:rPr>
                <w:b/>
                <w:i/>
              </w:rPr>
              <w:t>Estados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 xml:space="preserve">Membros enfrentam um espetro crescente de ameaças híbridas, que combinam meios convencionais e não convencionais, incluindo sabotagem, ciberataques, campanhas de desinformação, interferência em infraestruturas críticas e instrumentalização da migração, muitas vezes utilizadas de forma coordenada por intervenientes estatais e não estatais. As referidas ameaças visam minar a confiança do público nas instituições </w:t>
            </w:r>
            <w:r w:rsidRPr="003D4816">
              <w:rPr>
                <w:b/>
                <w:i/>
              </w:rPr>
              <w:lastRenderedPageBreak/>
              <w:t>democráticas e no funcionamento eficaz das sociedades e podem ter implicações graves para a segura</w:t>
            </w:r>
            <w:r w:rsidRPr="003D4816">
              <w:rPr>
                <w:b/>
                <w:i/>
              </w:rPr>
              <w:t>nça interna. Por conseguinte, é necessário apoiar ações destinadas a prevenir e detetar ameaças híbridas e dar resposta às mesmas, melhorar o conhecimento da situação, reforçar a resiliência das entidades críticas e das autoridades públicas e melhorar a cooperação e o intercâmbio de informações sobre ameaças híbridas entre as autoridades competentes a nível da União e dos Estados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 xml:space="preserve">Membros. </w:t>
            </w:r>
          </w:p>
        </w:tc>
      </w:tr>
    </w:tbl>
    <w:p w14:paraId="5AF614E6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2D8CABFC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08AEBE6A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7</w:t>
      </w:r>
      <w:r w:rsidRPr="003D4816">
        <w:rPr>
          <w:rStyle w:val="HideTWBExt"/>
          <w:b w:val="0"/>
        </w:rPr>
        <w:t>&lt;/NumAm&gt;</w:t>
      </w:r>
    </w:p>
    <w:p w14:paraId="32CB9025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 xml:space="preserve">Proposta de </w:t>
      </w:r>
      <w:r w:rsidRPr="003D4816">
        <w:t>regulamento</w:t>
      </w:r>
      <w:r w:rsidRPr="003D4816">
        <w:rPr>
          <w:rStyle w:val="HideTWBExt"/>
          <w:b w:val="0"/>
        </w:rPr>
        <w:t>&lt;/DocAmend&gt;</w:t>
      </w:r>
    </w:p>
    <w:p w14:paraId="4665B8A7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 12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3D9EA77C" w14:textId="77777777" w:rsidTr="00BA27ED">
        <w:trPr>
          <w:jc w:val="center"/>
        </w:trPr>
        <w:tc>
          <w:tcPr>
            <w:tcW w:w="9752" w:type="dxa"/>
            <w:gridSpan w:val="2"/>
          </w:tcPr>
          <w:p w14:paraId="4769B702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738F6B73" w14:textId="77777777" w:rsidTr="00BA27ED">
        <w:trPr>
          <w:jc w:val="center"/>
        </w:trPr>
        <w:tc>
          <w:tcPr>
            <w:tcW w:w="4876" w:type="dxa"/>
          </w:tcPr>
          <w:p w14:paraId="0A8C1F22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3C932216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0B58AB5A" w14:textId="77777777" w:rsidTr="00BA27ED">
        <w:trPr>
          <w:jc w:val="center"/>
        </w:trPr>
        <w:tc>
          <w:tcPr>
            <w:tcW w:w="4876" w:type="dxa"/>
          </w:tcPr>
          <w:p w14:paraId="601A033A" w14:textId="2D174130" w:rsidR="00F61420" w:rsidRPr="003D4816" w:rsidRDefault="00413A6D" w:rsidP="00BA27ED">
            <w:pPr>
              <w:pStyle w:val="Normal6"/>
            </w:pPr>
            <w:r w:rsidRPr="003D4816">
              <w:t>(12)</w:t>
            </w:r>
            <w:r w:rsidRPr="003D4816">
              <w:tab/>
              <w:t xml:space="preserve">O apoio da União deve contribuir para assegurar a consistência, a coerência, as sinergias e as complementaridades entre as políticas internas e externas da </w:t>
            </w:r>
            <w:r w:rsidRPr="003D4816">
              <w:t>União, integrando as questões relacionadas com a segurança. Nesse contexto, o apoio da União ao abrigo do presente regulamento deve, em especial, contribuir para combater e prevenir a criminalidade grave e organizada, incluindo o tráfico de droga, o tráfico de seres humanos e as redes criminosas transfronteiriças de introdução clandestina de migrantes. O apoio da União ao abrigo do presente regulamento pode também incluir o apoio aos recursos pertinentes das delegações da UE em casos devidamente justificado</w:t>
            </w:r>
            <w:r w:rsidRPr="003D4816">
              <w:t>s e ser coordenado entre os Estados</w:t>
            </w:r>
            <w:r>
              <w:noBreakHyphen/>
            </w:r>
            <w:r w:rsidRPr="003D4816">
              <w:t>Membros e a Comissão nas fases de programação e execução.</w:t>
            </w:r>
          </w:p>
        </w:tc>
        <w:tc>
          <w:tcPr>
            <w:tcW w:w="4876" w:type="dxa"/>
          </w:tcPr>
          <w:p w14:paraId="60FAAA00" w14:textId="7732F7A9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(12)</w:t>
            </w:r>
            <w:r w:rsidRPr="003D4816">
              <w:tab/>
              <w:t xml:space="preserve">O apoio da União deve contribuir para assegurar a consistência, a coerência, as sinergias e as complementaridades entre as políticas internas e externas da União, integrando as questões relacionadas com a segurança </w:t>
            </w:r>
            <w:r w:rsidRPr="003D4816">
              <w:rPr>
                <w:b/>
                <w:bCs/>
                <w:i/>
                <w:iCs/>
              </w:rPr>
              <w:t>enquanto objetivo em todos os programas da União</w:t>
            </w:r>
            <w:r w:rsidRPr="003D4816">
              <w:t>. Nesse contexto, o apoio da União ao abrigo do presente regulamento deve, em especial, contribuir para combater e prevenir a criminalidade grave e organizada, incluindo o tráfico de droga, o tráfico de seres humanos e as redes criminosas transfron</w:t>
            </w:r>
            <w:r w:rsidRPr="003D4816">
              <w:t>teiriças de introdução clandestina de migrantes. O apoio da União ao abrigo do presente regulamento pode também incluir o apoio aos recursos pertinentes das delegações da UE em casos devidamente justificados e ser coordenado entre os Estados</w:t>
            </w:r>
            <w:r>
              <w:noBreakHyphen/>
            </w:r>
            <w:r w:rsidRPr="003D4816">
              <w:t>Membros e a Comissão nas fases de programação e execução.</w:t>
            </w:r>
          </w:p>
        </w:tc>
      </w:tr>
    </w:tbl>
    <w:p w14:paraId="63B25E01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4CCD430D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799218C5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lastRenderedPageBreak/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8</w:t>
      </w:r>
      <w:r w:rsidRPr="003D4816">
        <w:rPr>
          <w:rStyle w:val="HideTWBExt"/>
          <w:b w:val="0"/>
        </w:rPr>
        <w:t>&lt;/NumAm&gt;</w:t>
      </w:r>
    </w:p>
    <w:p w14:paraId="74CD2F9B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 xml:space="preserve">Proposta de </w:t>
      </w:r>
      <w:r w:rsidRPr="003D4816">
        <w:t>regulamento</w:t>
      </w:r>
      <w:r w:rsidRPr="003D4816">
        <w:rPr>
          <w:rStyle w:val="HideTWBExt"/>
          <w:b w:val="0"/>
        </w:rPr>
        <w:t>&lt;/DocAmend&gt;</w:t>
      </w:r>
    </w:p>
    <w:p w14:paraId="7EA838D4" w14:textId="24E401D2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14</w:t>
      </w:r>
      <w:r>
        <w:noBreakHyphen/>
      </w:r>
      <w:r w:rsidRPr="003D4816">
        <w:t>A (novo)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0908D5DB" w14:textId="77777777" w:rsidTr="00BA27ED">
        <w:trPr>
          <w:jc w:val="center"/>
        </w:trPr>
        <w:tc>
          <w:tcPr>
            <w:tcW w:w="9752" w:type="dxa"/>
            <w:gridSpan w:val="2"/>
          </w:tcPr>
          <w:p w14:paraId="16991009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25CEF0AE" w14:textId="77777777" w:rsidTr="00BA27ED">
        <w:trPr>
          <w:jc w:val="center"/>
        </w:trPr>
        <w:tc>
          <w:tcPr>
            <w:tcW w:w="4876" w:type="dxa"/>
          </w:tcPr>
          <w:p w14:paraId="3300E8F5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44F5D3E6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68D1B8B0" w14:textId="77777777" w:rsidTr="00BA27ED">
        <w:trPr>
          <w:jc w:val="center"/>
        </w:trPr>
        <w:tc>
          <w:tcPr>
            <w:tcW w:w="4876" w:type="dxa"/>
          </w:tcPr>
          <w:p w14:paraId="0EF3F9B0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40BE8A70" w14:textId="72414815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(14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A)</w:t>
            </w:r>
            <w:r w:rsidRPr="003D4816">
              <w:rPr>
                <w:b/>
                <w:i/>
              </w:rPr>
              <w:tab/>
              <w:t xml:space="preserve">Para além dos documentos e das estratégias adotados pelo Conselho ou pela Comissão enumerados no artigo 22.º, n.º 2, alínea b), subalínea iii), do </w:t>
            </w:r>
            <w:r w:rsidRPr="003D4816">
              <w:rPr>
                <w:b/>
                <w:i/>
              </w:rPr>
              <w:t>Regulamento (UE) [...] que cria o Fundo Europeu para a Coesão Económica, Territorial e Social, a Agricultura e o Meio Rural, as Pescas e o Setor Marítimo, a Prosperidade e a Segurança, que são pertinentes no domínio da segurança interna, os Estados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Membros devem também abordar, nos seus planos nacionais, os desafios identificados pela Plataforma Multidisciplinar Europeia contra as Ameaças Criminosas (EMPACT), pela Avaliação da Ameaça da Criminalidade Grave e Organizada da União Europeia (UE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SOCTA) e pela Avaliação da Ameaça da Criminalidade Organizada Dinamizada pela Internet (IOCTA), publicadas pela Europol.</w:t>
            </w:r>
          </w:p>
        </w:tc>
      </w:tr>
    </w:tbl>
    <w:p w14:paraId="50A71526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34E32B25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09FB0A34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9</w:t>
      </w:r>
      <w:r w:rsidRPr="003D4816">
        <w:rPr>
          <w:rStyle w:val="HideTWBExt"/>
          <w:b w:val="0"/>
        </w:rPr>
        <w:t>&lt;/NumAm&gt;</w:t>
      </w:r>
    </w:p>
    <w:p w14:paraId="7EC3259C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1F86BEC5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 16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3D9E3BA1" w14:textId="77777777" w:rsidTr="00BA27ED">
        <w:trPr>
          <w:jc w:val="center"/>
        </w:trPr>
        <w:tc>
          <w:tcPr>
            <w:tcW w:w="9752" w:type="dxa"/>
            <w:gridSpan w:val="2"/>
          </w:tcPr>
          <w:p w14:paraId="0F515107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77B01C3C" w14:textId="77777777" w:rsidTr="00BA27ED">
        <w:trPr>
          <w:jc w:val="center"/>
        </w:trPr>
        <w:tc>
          <w:tcPr>
            <w:tcW w:w="4876" w:type="dxa"/>
          </w:tcPr>
          <w:p w14:paraId="7A627144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2DA03F7B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55469B98" w14:textId="77777777" w:rsidTr="00BA27ED">
        <w:trPr>
          <w:jc w:val="center"/>
        </w:trPr>
        <w:tc>
          <w:tcPr>
            <w:tcW w:w="4876" w:type="dxa"/>
          </w:tcPr>
          <w:p w14:paraId="3A381FBC" w14:textId="71DB399D" w:rsidR="00F61420" w:rsidRPr="003D4816" w:rsidRDefault="00413A6D" w:rsidP="00BA27ED">
            <w:pPr>
              <w:pStyle w:val="Normal6"/>
            </w:pPr>
            <w:r w:rsidRPr="003D4816">
              <w:t>(16)</w:t>
            </w:r>
            <w:r w:rsidRPr="003D4816">
              <w:tab/>
              <w:t xml:space="preserve">A </w:t>
            </w:r>
            <w:r w:rsidRPr="003D4816">
              <w:rPr>
                <w:b/>
                <w:i/>
              </w:rPr>
              <w:t>Europa deve proteger os seus interesses</w:t>
            </w:r>
            <w:r w:rsidRPr="003D4816">
              <w:t xml:space="preserve"> de segurança </w:t>
            </w:r>
            <w:r w:rsidRPr="003D4816">
              <w:rPr>
                <w:b/>
                <w:i/>
              </w:rPr>
              <w:t>no que diz respeito</w:t>
            </w:r>
            <w:r w:rsidRPr="003D4816">
              <w:t xml:space="preserve"> a </w:t>
            </w:r>
            <w:r w:rsidRPr="003D4816">
              <w:rPr>
                <w:b/>
                <w:i/>
              </w:rPr>
              <w:t>fornecedores que possam representar um risco</w:t>
            </w:r>
            <w:r w:rsidRPr="003D4816">
              <w:t xml:space="preserve"> de </w:t>
            </w:r>
            <w:r w:rsidRPr="003D4816">
              <w:rPr>
                <w:b/>
                <w:i/>
              </w:rPr>
              <w:t>segurança persistente devido à potencial interferência</w:t>
            </w:r>
            <w:r w:rsidRPr="003D4816">
              <w:t xml:space="preserve"> de países terceiros</w:t>
            </w:r>
            <w:r w:rsidRPr="003D4816">
              <w:rPr>
                <w:b/>
                <w:i/>
              </w:rPr>
              <w:t>, bem como às suas</w:t>
            </w:r>
            <w:r w:rsidRPr="003D4816">
              <w:t xml:space="preserve"> práticas de cibersegurança. </w:t>
            </w:r>
            <w:r w:rsidRPr="003D4816">
              <w:rPr>
                <w:b/>
                <w:i/>
              </w:rPr>
              <w:t>Por conseguinte, é necessário reduzir o risco</w:t>
            </w:r>
            <w:r w:rsidRPr="003D4816">
              <w:t xml:space="preserve"> de </w:t>
            </w:r>
            <w:r w:rsidRPr="003D4816">
              <w:rPr>
                <w:b/>
                <w:i/>
              </w:rPr>
              <w:t>dependência persistente de fornecedores de alto risco no mercado interno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 xml:space="preserve">uma vez que estes podem ter impactos negativos potencialmente graves na segurança dos </w:t>
            </w:r>
            <w:r w:rsidRPr="003D4816">
              <w:rPr>
                <w:b/>
                <w:i/>
              </w:rPr>
              <w:lastRenderedPageBreak/>
              <w:t>utilizadores, das empresas e das autoridades em toda</w:t>
            </w:r>
            <w:r w:rsidRPr="003D4816">
              <w:t xml:space="preserve"> a </w:t>
            </w:r>
            <w:r w:rsidRPr="003D4816">
              <w:rPr>
                <w:b/>
                <w:i/>
              </w:rPr>
              <w:t>U</w:t>
            </w:r>
            <w:r w:rsidRPr="003D4816">
              <w:rPr>
                <w:b/>
                <w:i/>
              </w:rPr>
              <w:t>E e nas infraestruturas críticas da UE em termos da</w:t>
            </w:r>
            <w:r w:rsidRPr="003D4816">
              <w:t xml:space="preserve"> integridade </w:t>
            </w:r>
            <w:r w:rsidRPr="003D4816">
              <w:rPr>
                <w:b/>
                <w:i/>
              </w:rPr>
              <w:t>dos</w:t>
            </w:r>
            <w:r w:rsidRPr="003D4816">
              <w:t xml:space="preserve"> dados e </w:t>
            </w:r>
            <w:r w:rsidRPr="003D4816">
              <w:rPr>
                <w:b/>
                <w:i/>
              </w:rPr>
              <w:t>dos serviços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>bem como da disponibilidade dos serviços</w:t>
            </w:r>
            <w:r w:rsidRPr="003D4816">
              <w:t>.</w:t>
            </w:r>
            <w:r w:rsidRPr="003D4816">
              <w:rPr>
                <w:b/>
                <w:i/>
              </w:rPr>
              <w:t xml:space="preserve"> Esta exclusão deve</w:t>
            </w:r>
            <w:r w:rsidRPr="003D4816">
              <w:t xml:space="preserve"> basear</w:t>
            </w:r>
            <w:r>
              <w:noBreakHyphen/>
            </w:r>
            <w:r w:rsidRPr="003D4816">
              <w:t xml:space="preserve">se numa avaliação proporcionada dos riscos e </w:t>
            </w:r>
            <w:r w:rsidRPr="003D4816">
              <w:rPr>
                <w:b/>
                <w:i/>
              </w:rPr>
              <w:t>nas</w:t>
            </w:r>
            <w:r w:rsidRPr="003D4816">
              <w:t xml:space="preserve"> medidas de atenuação </w:t>
            </w:r>
            <w:r w:rsidRPr="003D4816">
              <w:rPr>
                <w:b/>
                <w:i/>
              </w:rPr>
              <w:t>associadas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>tal como definidas nas políticas</w:t>
            </w:r>
            <w:r w:rsidRPr="003D4816">
              <w:t xml:space="preserve"> e </w:t>
            </w:r>
            <w:r w:rsidRPr="003D4816">
              <w:rPr>
                <w:b/>
                <w:i/>
              </w:rPr>
              <w:t>na legislação</w:t>
            </w:r>
            <w:r w:rsidRPr="003D4816">
              <w:t xml:space="preserve"> da União.</w:t>
            </w:r>
          </w:p>
        </w:tc>
        <w:tc>
          <w:tcPr>
            <w:tcW w:w="4876" w:type="dxa"/>
          </w:tcPr>
          <w:p w14:paraId="1626458B" w14:textId="25E5012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lastRenderedPageBreak/>
              <w:t>(16)</w:t>
            </w:r>
            <w:r w:rsidRPr="003D4816">
              <w:tab/>
            </w:r>
            <w:r w:rsidRPr="003D4816">
              <w:rPr>
                <w:b/>
                <w:i/>
              </w:rPr>
              <w:t>Para reforçar</w:t>
            </w:r>
            <w:r w:rsidRPr="003D4816">
              <w:t xml:space="preserve"> a </w:t>
            </w:r>
            <w:r w:rsidRPr="003D4816">
              <w:rPr>
                <w:b/>
                <w:i/>
              </w:rPr>
              <w:t>sua autonomia estratégica, a União deve desenvolver uma capacidade suficiente para conceber e mobilizar as suas próprias tecnologias</w:t>
            </w:r>
            <w:r w:rsidRPr="003D4816">
              <w:t xml:space="preserve"> de segurança </w:t>
            </w:r>
            <w:r w:rsidRPr="003D4816">
              <w:rPr>
                <w:b/>
                <w:i/>
              </w:rPr>
              <w:t>interna. Tal permitiria à União integrar os direitos fundamentais,</w:t>
            </w:r>
            <w:r w:rsidRPr="003D4816">
              <w:t xml:space="preserve"> a </w:t>
            </w:r>
            <w:r w:rsidRPr="003D4816">
              <w:rPr>
                <w:b/>
                <w:i/>
              </w:rPr>
              <w:t>proteção de dados e as salvaguardas do Estado</w:t>
            </w:r>
            <w:r w:rsidRPr="003D4816">
              <w:t xml:space="preserve"> de </w:t>
            </w:r>
            <w:r w:rsidRPr="003D4816">
              <w:rPr>
                <w:b/>
                <w:i/>
              </w:rPr>
              <w:t>direito desde a conceção, reduzindo simultaneamente a dependência de sistemas</w:t>
            </w:r>
            <w:r w:rsidRPr="003D4816">
              <w:t xml:space="preserve"> de países terceiros </w:t>
            </w:r>
            <w:r w:rsidRPr="003D4816">
              <w:rPr>
                <w:b/>
                <w:i/>
              </w:rPr>
              <w:t xml:space="preserve">ou de fornecedores externos que possam não partilhar as normas jurídicas, </w:t>
            </w:r>
            <w:r w:rsidRPr="003D4816">
              <w:rPr>
                <w:b/>
                <w:i/>
              </w:rPr>
              <w:lastRenderedPageBreak/>
              <w:t>as</w:t>
            </w:r>
            <w:r w:rsidRPr="003D4816">
              <w:t xml:space="preserve"> práticas de cibersegurança </w:t>
            </w:r>
            <w:r w:rsidRPr="003D4816">
              <w:rPr>
                <w:b/>
                <w:i/>
              </w:rPr>
              <w:t>ou os interesses de segurança</w:t>
            </w:r>
            <w:r w:rsidRPr="003D4816">
              <w:rPr>
                <w:b/>
                <w:i/>
              </w:rPr>
              <w:t xml:space="preserve"> da União</w:t>
            </w:r>
            <w:r w:rsidRPr="003D4816">
              <w:t xml:space="preserve">. </w:t>
            </w:r>
            <w:r w:rsidRPr="003D4816">
              <w:rPr>
                <w:b/>
                <w:i/>
              </w:rPr>
              <w:t>O reforço da capacidade tecnológica da União aumentaria igualmente a fiabilidade operacional e a resiliência dos instrumentos de segurança críticos, assegurando a sua disponibilidade e fiabilidade em tempos de tensão geopolítica. Neste contexto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>é necessário reduzir as dependências persistentes em relação a fornecedores de alto risco cuja exposição a interferências de países terceiros ou</w:t>
            </w:r>
            <w:r w:rsidRPr="003D4816">
              <w:t xml:space="preserve"> a </w:t>
            </w:r>
            <w:r w:rsidRPr="003D4816">
              <w:rPr>
                <w:b/>
                <w:i/>
              </w:rPr>
              <w:t>práticas de cibersegurança inadequadas possa representar riscos graves para a</w:t>
            </w:r>
            <w:r w:rsidRPr="003D4816">
              <w:t xml:space="preserve"> integridade </w:t>
            </w:r>
            <w:r w:rsidRPr="003D4816">
              <w:rPr>
                <w:b/>
                <w:i/>
              </w:rPr>
              <w:t>e a disponibilidad</w:t>
            </w:r>
            <w:r w:rsidRPr="003D4816">
              <w:rPr>
                <w:b/>
                <w:i/>
              </w:rPr>
              <w:t>e de</w:t>
            </w:r>
            <w:r w:rsidRPr="003D4816">
              <w:t xml:space="preserve"> dados e </w:t>
            </w:r>
            <w:r w:rsidRPr="003D4816">
              <w:rPr>
                <w:b/>
                <w:i/>
              </w:rPr>
              <w:t>serviços, nomeadamente para as infraestruturas críticas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>as autoridades públicas e as empresas da UE</w:t>
            </w:r>
            <w:r w:rsidRPr="003D4816">
              <w:t>.</w:t>
            </w:r>
            <w:r w:rsidRPr="003D4816">
              <w:rPr>
                <w:b/>
                <w:i/>
              </w:rPr>
              <w:t xml:space="preserve"> As eventuais restrições deverão</w:t>
            </w:r>
            <w:r w:rsidRPr="003D4816">
              <w:t xml:space="preserve"> basear</w:t>
            </w:r>
            <w:r>
              <w:noBreakHyphen/>
            </w:r>
            <w:r w:rsidRPr="003D4816">
              <w:t xml:space="preserve">se numa avaliação proporcionada dos riscos e </w:t>
            </w:r>
            <w:r w:rsidRPr="003D4816">
              <w:rPr>
                <w:b/>
                <w:i/>
              </w:rPr>
              <w:t>acompanhadas de</w:t>
            </w:r>
            <w:r w:rsidRPr="003D4816">
              <w:t xml:space="preserve"> medidas de atenuação </w:t>
            </w:r>
            <w:r w:rsidRPr="003D4816">
              <w:rPr>
                <w:b/>
                <w:i/>
              </w:rPr>
              <w:t>adequadas</w:t>
            </w:r>
            <w:r w:rsidRPr="003D4816">
              <w:t xml:space="preserve">, </w:t>
            </w:r>
            <w:r w:rsidRPr="003D4816">
              <w:rPr>
                <w:b/>
                <w:i/>
              </w:rPr>
              <w:t>em conformidade com a legislação</w:t>
            </w:r>
            <w:r w:rsidRPr="003D4816">
              <w:t xml:space="preserve"> e </w:t>
            </w:r>
            <w:r w:rsidRPr="003D4816">
              <w:rPr>
                <w:b/>
                <w:i/>
              </w:rPr>
              <w:t>as políticas</w:t>
            </w:r>
            <w:r w:rsidRPr="003D4816">
              <w:t xml:space="preserve"> da União.</w:t>
            </w:r>
            <w:r w:rsidRPr="003D4816">
              <w:rPr>
                <w:b/>
                <w:i/>
              </w:rPr>
              <w:t xml:space="preserve"> </w:t>
            </w:r>
          </w:p>
        </w:tc>
      </w:tr>
    </w:tbl>
    <w:p w14:paraId="10CBF59B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7B99F78C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5CBAB78F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10</w:t>
      </w:r>
      <w:r w:rsidRPr="003D4816">
        <w:rPr>
          <w:rStyle w:val="HideTWBExt"/>
          <w:b w:val="0"/>
        </w:rPr>
        <w:t>&lt;/NumAm&gt;</w:t>
      </w:r>
    </w:p>
    <w:p w14:paraId="0220D2FA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404A751F" w14:textId="44707AB6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Considerando 18</w:t>
      </w:r>
      <w:r>
        <w:noBreakHyphen/>
      </w:r>
      <w:r w:rsidRPr="003D4816">
        <w:t>A (novo)</w:t>
      </w:r>
      <w:r w:rsidRPr="003D481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5E09C59" w14:textId="77777777" w:rsidTr="009D1910">
        <w:trPr>
          <w:jc w:val="center"/>
        </w:trPr>
        <w:tc>
          <w:tcPr>
            <w:tcW w:w="9752" w:type="dxa"/>
            <w:gridSpan w:val="2"/>
          </w:tcPr>
          <w:p w14:paraId="037BF7DD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78427D95" w14:textId="77777777" w:rsidTr="009D1910">
        <w:trPr>
          <w:jc w:val="center"/>
        </w:trPr>
        <w:tc>
          <w:tcPr>
            <w:tcW w:w="4876" w:type="dxa"/>
          </w:tcPr>
          <w:p w14:paraId="54DACB9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8C2123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774D3749" w14:textId="77777777" w:rsidTr="009D1910">
        <w:trPr>
          <w:jc w:val="center"/>
        </w:trPr>
        <w:tc>
          <w:tcPr>
            <w:tcW w:w="4876" w:type="dxa"/>
          </w:tcPr>
          <w:p w14:paraId="29D8ABA6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783DD625" w14:textId="1541B416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(18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A)</w:t>
            </w:r>
            <w:r w:rsidRPr="003D4816">
              <w:rPr>
                <w:b/>
                <w:i/>
              </w:rPr>
              <w:tab/>
              <w:t xml:space="preserve">A fim de complementar o presente regulamento através da adoção de medidas </w:t>
            </w:r>
            <w:r w:rsidRPr="003D4816">
              <w:rPr>
                <w:b/>
                <w:i/>
              </w:rPr>
              <w:t>relacionadas com os objetivos estabelecidos no artigo 3.º do presente regulamento, caso a Comissão conclua que essas medidas cumprem os requisitos estabelecidos no presente regulamento e no Regulamento (UE) [...] que institui o Fundo Europeu para a Coesão Económica, Territorial e Social, a Agricultura e o Meio Rural, as Pescas e o Setor Marítimo, a Prosperidade e a Segurança, e caso a Comissão adote um ato delegado que aprove o plano de parceria nacional e regional do Estado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 xml:space="preserve">Membro em causa, em conformidade com </w:t>
            </w:r>
            <w:r w:rsidRPr="003D4816">
              <w:rPr>
                <w:b/>
                <w:i/>
              </w:rPr>
              <w:lastRenderedPageBreak/>
              <w:t>o procedimento previsto no artigo 23.º do Regulamento (UE) [...] que institui o Fundo Europeu para a Coesão Económica, Territorial e Social, a Agricultura e o Meio Rural, as Pescas e o Setor Marítimo, a Prosperidade e a Segurança, o poder de adotar atos em conformidade com o artigo 290.º do Tratado sobre o Funcionamento da União Europeia deverá ser delegado na Comissão. É particularmente importante que a Comissão proceda às consultas adequadas durante o seu trabalho prep</w:t>
            </w:r>
            <w:r w:rsidRPr="003D4816">
              <w:rPr>
                <w:b/>
                <w:i/>
              </w:rPr>
              <w:t>aratório, inclusive ao nível de peritos, e que essas consultas sejam conduzidas de acordo com os princípios estabelecidos no Acordo Interinstitucional, de 13 de abril de 2016, sobre legislar melhor</w:t>
            </w:r>
            <w:r w:rsidRPr="003D4816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3D4816">
              <w:rPr>
                <w:b/>
                <w:i/>
                <w:vertAlign w:val="superscript"/>
              </w:rPr>
              <w:t>A</w:t>
            </w:r>
            <w:r w:rsidRPr="003D4816">
              <w:rPr>
                <w:b/>
                <w:i/>
              </w:rPr>
              <w:t>. Em particular, a fim de assegurar a igualdade de participação na preparação dos atos delegados, o Parlamento Europeu e o Conselho recebem todos os documentos ao mesmo tempo que os peritos dos Estados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Membros, e os respetivos peritos têm sistematicamente acesso às reuniões dos grupos de peritos da Comissão que tratem da preparação dos atos delegados.</w:t>
            </w:r>
          </w:p>
        </w:tc>
      </w:tr>
      <w:tr w:rsidR="005166EC" w:rsidRPr="003D4816" w14:paraId="2FBE85CC" w14:textId="77777777" w:rsidTr="00F8306F">
        <w:trPr>
          <w:jc w:val="center"/>
        </w:trPr>
        <w:tc>
          <w:tcPr>
            <w:tcW w:w="4876" w:type="dxa"/>
          </w:tcPr>
          <w:p w14:paraId="684ED072" w14:textId="77777777" w:rsidR="00150AA0" w:rsidRPr="003D4816" w:rsidRDefault="00150AA0" w:rsidP="00BA27ED">
            <w:pPr>
              <w:pStyle w:val="Normal6"/>
            </w:pPr>
          </w:p>
        </w:tc>
        <w:tc>
          <w:tcPr>
            <w:tcW w:w="4876" w:type="dxa"/>
          </w:tcPr>
          <w:p w14:paraId="329F9908" w14:textId="77777777" w:rsidR="00150AA0" w:rsidRPr="003D4816" w:rsidRDefault="00413A6D" w:rsidP="00BA27ED">
            <w:pPr>
              <w:pStyle w:val="Normal6"/>
              <w:rPr>
                <w:b/>
                <w:i/>
              </w:rPr>
            </w:pPr>
            <w:r w:rsidRPr="003D4816">
              <w:rPr>
                <w:b/>
                <w:i/>
              </w:rPr>
              <w:t>__________</w:t>
            </w:r>
          </w:p>
        </w:tc>
      </w:tr>
      <w:tr w:rsidR="005166EC" w:rsidRPr="003D4816" w14:paraId="297FC0B3" w14:textId="77777777" w:rsidTr="009D1910">
        <w:trPr>
          <w:jc w:val="center"/>
        </w:trPr>
        <w:tc>
          <w:tcPr>
            <w:tcW w:w="4876" w:type="dxa"/>
          </w:tcPr>
          <w:p w14:paraId="3B1FBE4C" w14:textId="77777777" w:rsidR="00F8306F" w:rsidRPr="003D4816" w:rsidRDefault="00F8306F" w:rsidP="00BA27ED">
            <w:pPr>
              <w:pStyle w:val="Normal6"/>
            </w:pPr>
          </w:p>
        </w:tc>
        <w:tc>
          <w:tcPr>
            <w:tcW w:w="4876" w:type="dxa"/>
          </w:tcPr>
          <w:p w14:paraId="4BD4459F" w14:textId="52283764" w:rsidR="00F8306F" w:rsidRPr="003D4816" w:rsidRDefault="00413A6D" w:rsidP="00BA27ED">
            <w:pPr>
              <w:pStyle w:val="Normal6"/>
              <w:rPr>
                <w:b/>
                <w:i/>
              </w:rPr>
            </w:pPr>
            <w:r w:rsidRPr="003D4816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3D4816">
              <w:rPr>
                <w:b/>
                <w:i/>
                <w:vertAlign w:val="superscript"/>
              </w:rPr>
              <w:t>A</w:t>
            </w:r>
            <w:r w:rsidRPr="003D4816">
              <w:rPr>
                <w:b/>
                <w:i/>
              </w:rPr>
              <w:t xml:space="preserve"> JO L 123 de 12.5.2016, p. 1, ELI: http://data.europa.eu/eli/agree_interinstit/2016/512/oj.</w:t>
            </w:r>
          </w:p>
        </w:tc>
      </w:tr>
    </w:tbl>
    <w:p w14:paraId="251067FF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01727ABB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1FDB0A4A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11</w:t>
      </w:r>
      <w:r w:rsidRPr="003D4816">
        <w:rPr>
          <w:rStyle w:val="HideTWBExt"/>
          <w:b w:val="0"/>
        </w:rPr>
        <w:t>&lt;/NumAm&gt;</w:t>
      </w:r>
    </w:p>
    <w:p w14:paraId="31266EC2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2A73DE75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2 – parágrafo 1 – ponto 9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792BBE19" w14:textId="77777777" w:rsidTr="00BA27ED">
        <w:trPr>
          <w:jc w:val="center"/>
        </w:trPr>
        <w:tc>
          <w:tcPr>
            <w:tcW w:w="9752" w:type="dxa"/>
            <w:gridSpan w:val="2"/>
          </w:tcPr>
          <w:p w14:paraId="3A2A05C2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61360B1B" w14:textId="77777777" w:rsidTr="00BA27ED">
        <w:trPr>
          <w:jc w:val="center"/>
        </w:trPr>
        <w:tc>
          <w:tcPr>
            <w:tcW w:w="4876" w:type="dxa"/>
          </w:tcPr>
          <w:p w14:paraId="1E28CCB4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1E41E68A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6767C40F" w14:textId="77777777" w:rsidTr="00BA27ED">
        <w:trPr>
          <w:jc w:val="center"/>
        </w:trPr>
        <w:tc>
          <w:tcPr>
            <w:tcW w:w="4876" w:type="dxa"/>
          </w:tcPr>
          <w:p w14:paraId="7154F5E1" w14:textId="4F7BA34E" w:rsidR="00F61420" w:rsidRPr="003D4816" w:rsidRDefault="00413A6D" w:rsidP="00BA27ED">
            <w:pPr>
              <w:pStyle w:val="Normal6"/>
            </w:pPr>
            <w:r w:rsidRPr="003D4816">
              <w:t>9)</w:t>
            </w:r>
            <w:r w:rsidRPr="003D4816">
              <w:tab/>
              <w:t xml:space="preserve">«Ameaça híbrida», todas as atividades prejudiciais, incluindo a manipulação da informação, os ciberataques e a instrumentalização dos migrantes, que são </w:t>
            </w:r>
            <w:r w:rsidRPr="003D4816">
              <w:t>planeadas e realizadas, de forma coordenada, com fins maliciosos com o objetivo de prejudicar um Estado</w:t>
            </w:r>
            <w:r>
              <w:noBreakHyphen/>
            </w:r>
            <w:r w:rsidRPr="003D4816">
              <w:t xml:space="preserve">Membro ou qualquer uma das suas </w:t>
            </w:r>
            <w:r w:rsidRPr="003D4816">
              <w:lastRenderedPageBreak/>
              <w:t>instituições.</w:t>
            </w:r>
          </w:p>
        </w:tc>
        <w:tc>
          <w:tcPr>
            <w:tcW w:w="4876" w:type="dxa"/>
          </w:tcPr>
          <w:p w14:paraId="6369A83B" w14:textId="62A1BB81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lastRenderedPageBreak/>
              <w:t>9)</w:t>
            </w:r>
            <w:r w:rsidRPr="003D4816">
              <w:tab/>
              <w:t xml:space="preserve">«Ameaça híbrida», todas as atividades prejudiciais, incluindo a manipulação da informação, </w:t>
            </w:r>
            <w:r w:rsidRPr="003D4816">
              <w:rPr>
                <w:b/>
                <w:i/>
              </w:rPr>
              <w:t>a sabotagem,</w:t>
            </w:r>
            <w:r w:rsidRPr="003D4816">
              <w:t xml:space="preserve"> os ciberataques e a instrumentalização dos migrantes </w:t>
            </w:r>
            <w:r w:rsidRPr="003D4816">
              <w:rPr>
                <w:b/>
                <w:i/>
              </w:rPr>
              <w:t>e outros meios de interferência política ou de pressão económica</w:t>
            </w:r>
            <w:r w:rsidRPr="003D4816">
              <w:t xml:space="preserve">, que são planeadas e realizadas, de forma coordenada, com fins maliciosos com o </w:t>
            </w:r>
            <w:r w:rsidRPr="003D4816">
              <w:lastRenderedPageBreak/>
              <w:t>objetivo de prejudicar um Estado</w:t>
            </w:r>
            <w:r>
              <w:noBreakHyphen/>
            </w:r>
            <w:r w:rsidRPr="003D4816">
              <w:t xml:space="preserve">Membro </w:t>
            </w:r>
            <w:r w:rsidRPr="003D4816">
              <w:rPr>
                <w:b/>
                <w:i/>
              </w:rPr>
              <w:t>ou qualquer uma das suas instituições, ou a União</w:t>
            </w:r>
            <w:r w:rsidRPr="003D4816">
              <w:t xml:space="preserve"> ou qualquer uma das suas instituições.</w:t>
            </w:r>
          </w:p>
        </w:tc>
      </w:tr>
    </w:tbl>
    <w:p w14:paraId="12D9717B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3AE34317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3B91A72B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12</w:t>
      </w:r>
      <w:r w:rsidRPr="003D4816">
        <w:rPr>
          <w:rStyle w:val="HideTWBExt"/>
          <w:b w:val="0"/>
        </w:rPr>
        <w:t>&lt;/NumAm&gt;</w:t>
      </w:r>
    </w:p>
    <w:p w14:paraId="5DC6DFFB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318B8557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3 – n.º 1 – parágrafo 1 – alínea a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69703F13" w14:textId="77777777" w:rsidTr="00BA27ED">
        <w:trPr>
          <w:jc w:val="center"/>
        </w:trPr>
        <w:tc>
          <w:tcPr>
            <w:tcW w:w="9752" w:type="dxa"/>
            <w:gridSpan w:val="2"/>
          </w:tcPr>
          <w:p w14:paraId="50871653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537DCB6E" w14:textId="77777777" w:rsidTr="00BA27ED">
        <w:trPr>
          <w:jc w:val="center"/>
        </w:trPr>
        <w:tc>
          <w:tcPr>
            <w:tcW w:w="4876" w:type="dxa"/>
          </w:tcPr>
          <w:p w14:paraId="12309C57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DEA6050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38DF8790" w14:textId="77777777" w:rsidTr="00BA27ED">
        <w:trPr>
          <w:jc w:val="center"/>
        </w:trPr>
        <w:tc>
          <w:tcPr>
            <w:tcW w:w="4876" w:type="dxa"/>
          </w:tcPr>
          <w:p w14:paraId="1BF22A3B" w14:textId="19D412C6" w:rsidR="00F61420" w:rsidRPr="003D4816" w:rsidRDefault="00413A6D" w:rsidP="00BA27ED">
            <w:pPr>
              <w:pStyle w:val="Normal6"/>
            </w:pPr>
            <w:r w:rsidRPr="003D4816">
              <w:t>a)</w:t>
            </w:r>
            <w:r w:rsidRPr="003D4816">
              <w:tab/>
              <w:t>Reforçar as capacidades da União e dos Estados</w:t>
            </w:r>
            <w:r>
              <w:noBreakHyphen/>
            </w:r>
            <w:r w:rsidRPr="003D4816">
              <w:t>Membros relativamente à prevenção e ao combate contra a criminalidade grave e organizada, em linha e fora de linha, incluindo o terrorismo, o extremismo violento, a cibercriminalidade, o abuso e a exploração sexual de crianças e as ameaças híbridas, bem como relativamente à proteção dos cidadãos e dos espaços públicos contra ataques, nomeadamente através de métodos inovadores e de novas tecnologias no domínio da segurança interna;</w:t>
            </w:r>
          </w:p>
        </w:tc>
        <w:tc>
          <w:tcPr>
            <w:tcW w:w="4876" w:type="dxa"/>
          </w:tcPr>
          <w:p w14:paraId="344AE929" w14:textId="09E89226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a)</w:t>
            </w:r>
            <w:r w:rsidRPr="003D4816">
              <w:tab/>
              <w:t>Reforçar as capacidades da União e dos Estados</w:t>
            </w:r>
            <w:r>
              <w:noBreakHyphen/>
            </w:r>
            <w:r w:rsidRPr="003D4816">
              <w:t xml:space="preserve">Membros relativamente à prevenção e ao combate contra a criminalidade grave e organizada, em linha e fora de linha, incluindo </w:t>
            </w:r>
            <w:r w:rsidRPr="003D4816">
              <w:rPr>
                <w:b/>
                <w:bCs/>
                <w:i/>
                <w:iCs/>
              </w:rPr>
              <w:t>a radicalização e</w:t>
            </w:r>
            <w:r w:rsidRPr="003D4816">
              <w:t xml:space="preserve"> o terrorismo, o extremismo violento, a cibercriminalidade, o abuso e a exploração sexual de crianças e as ameaças híbridas, bem como relativamente à proteção dos cidadãos e dos espaços públicos contra ataques, nomeadamente através de métodos inovadores e de novas tecnologias no domínio da segurança interna;</w:t>
            </w:r>
          </w:p>
        </w:tc>
      </w:tr>
    </w:tbl>
    <w:p w14:paraId="72606598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77266097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1654821C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13</w:t>
      </w:r>
      <w:r w:rsidRPr="003D4816">
        <w:rPr>
          <w:rStyle w:val="HideTWBExt"/>
          <w:b w:val="0"/>
        </w:rPr>
        <w:t>&lt;/NumAm&gt;</w:t>
      </w:r>
    </w:p>
    <w:p w14:paraId="43102C63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5E839EFD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3 – n.º 1 – parágrafo 1 – alínea d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CB6CC50" w14:textId="77777777" w:rsidTr="00BA27ED">
        <w:trPr>
          <w:jc w:val="center"/>
        </w:trPr>
        <w:tc>
          <w:tcPr>
            <w:tcW w:w="9752" w:type="dxa"/>
            <w:gridSpan w:val="2"/>
          </w:tcPr>
          <w:p w14:paraId="7A77459F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23AF6D7F" w14:textId="77777777" w:rsidTr="00BA27ED">
        <w:trPr>
          <w:jc w:val="center"/>
        </w:trPr>
        <w:tc>
          <w:tcPr>
            <w:tcW w:w="4876" w:type="dxa"/>
          </w:tcPr>
          <w:p w14:paraId="1BC8F41A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 xml:space="preserve">Texto da </w:t>
            </w:r>
            <w:r w:rsidRPr="003D4816">
              <w:t>Comissão</w:t>
            </w:r>
          </w:p>
        </w:tc>
        <w:tc>
          <w:tcPr>
            <w:tcW w:w="4876" w:type="dxa"/>
          </w:tcPr>
          <w:p w14:paraId="07495786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6F2CA75C" w14:textId="77777777" w:rsidTr="00BA27ED">
        <w:trPr>
          <w:jc w:val="center"/>
        </w:trPr>
        <w:tc>
          <w:tcPr>
            <w:tcW w:w="4876" w:type="dxa"/>
          </w:tcPr>
          <w:p w14:paraId="1C08755C" w14:textId="77777777" w:rsidR="00F61420" w:rsidRPr="003D4816" w:rsidRDefault="00413A6D" w:rsidP="00BA27ED">
            <w:pPr>
              <w:pStyle w:val="Normal6"/>
            </w:pPr>
            <w:r w:rsidRPr="003D4816">
              <w:t>d)</w:t>
            </w:r>
            <w:r w:rsidRPr="003D4816">
              <w:tab/>
              <w:t xml:space="preserve">Melhorar e intensificar a cooperação operacional em matéria de aplicação da lei, incluindo operações conjuntas, entre as autoridades competentes relativamente à prevenção e ao combate da criminalidade grave e organizada, em linha e fora de linha, incluindo o terrorismo, o extremismo violento, a cibercriminalidade, o abuso e a exploração sexual de crianças e as ameaças híbridas, bem como relativamente à proteção dos cidadãos e dos espaços </w:t>
            </w:r>
            <w:r w:rsidRPr="003D4816">
              <w:lastRenderedPageBreak/>
              <w:t>públicos contra ataques.</w:t>
            </w:r>
          </w:p>
        </w:tc>
        <w:tc>
          <w:tcPr>
            <w:tcW w:w="4876" w:type="dxa"/>
          </w:tcPr>
          <w:p w14:paraId="0B8B0432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lastRenderedPageBreak/>
              <w:t>d)</w:t>
            </w:r>
            <w:r w:rsidRPr="003D4816">
              <w:tab/>
              <w:t xml:space="preserve">Melhorar e intensificar a cooperação operacional em matéria de aplicação da lei, incluindo operações conjuntas, entre as autoridades competentes relativamente à prevenção e ao combate da criminalidade grave e organizada, em linha e fora de linha, incluindo </w:t>
            </w:r>
            <w:r w:rsidRPr="003D4816">
              <w:rPr>
                <w:b/>
                <w:bCs/>
                <w:i/>
                <w:iCs/>
              </w:rPr>
              <w:t>a radicalização e</w:t>
            </w:r>
            <w:r w:rsidRPr="003D4816">
              <w:t xml:space="preserve"> o terrorismo, o extremismo violento, a cibercriminalidade, o abuso e a exploração sexual de crianças e as ameaças híbridas, bem como relativamente à proteção dos cidadãos e </w:t>
            </w:r>
            <w:r w:rsidRPr="003D4816">
              <w:lastRenderedPageBreak/>
              <w:t>dos espaços públicos contra ataques.</w:t>
            </w:r>
          </w:p>
        </w:tc>
      </w:tr>
    </w:tbl>
    <w:p w14:paraId="1F1D7347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47DC3233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657EAC56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14</w:t>
      </w:r>
      <w:r w:rsidRPr="003D4816">
        <w:rPr>
          <w:rStyle w:val="HideTWBExt"/>
          <w:b w:val="0"/>
        </w:rPr>
        <w:t>&lt;/NumAm&gt;</w:t>
      </w:r>
    </w:p>
    <w:p w14:paraId="47A648F7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514A10E2" w14:textId="138B0174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1 – n.º 1 – parágrafo 1 – alínea d</w:t>
      </w:r>
      <w:r>
        <w:noBreakHyphen/>
      </w:r>
      <w:r w:rsidRPr="003D4816">
        <w:t>A (nova)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5C862BFF" w14:textId="77777777" w:rsidTr="00BA27ED">
        <w:trPr>
          <w:jc w:val="center"/>
        </w:trPr>
        <w:tc>
          <w:tcPr>
            <w:tcW w:w="9752" w:type="dxa"/>
            <w:gridSpan w:val="2"/>
          </w:tcPr>
          <w:p w14:paraId="2176902F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0A87CC0B" w14:textId="77777777" w:rsidTr="00BA27ED">
        <w:trPr>
          <w:jc w:val="center"/>
        </w:trPr>
        <w:tc>
          <w:tcPr>
            <w:tcW w:w="4876" w:type="dxa"/>
          </w:tcPr>
          <w:p w14:paraId="2252B612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5A1FA19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7ED900B7" w14:textId="77777777" w:rsidTr="00BA27ED">
        <w:trPr>
          <w:jc w:val="center"/>
        </w:trPr>
        <w:tc>
          <w:tcPr>
            <w:tcW w:w="4876" w:type="dxa"/>
          </w:tcPr>
          <w:p w14:paraId="16AB8AD4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4DF9AFC5" w14:textId="25B18ACF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d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A)</w:t>
            </w:r>
            <w:r w:rsidRPr="003D4816">
              <w:rPr>
                <w:b/>
                <w:i/>
              </w:rPr>
              <w:tab/>
              <w:t xml:space="preserve">Reforçar o apoio, a proteção e a assistência às vítimas da </w:t>
            </w:r>
            <w:r w:rsidRPr="003D4816">
              <w:rPr>
                <w:b/>
                <w:i/>
              </w:rPr>
              <w:t>criminalidade grave e organizada, nomeadamente garantindo o acesso às autoridades competentes, à informação e aos serviços especializados, prestando especial atenção às vítimas vulneráveis;</w:t>
            </w:r>
          </w:p>
        </w:tc>
      </w:tr>
    </w:tbl>
    <w:p w14:paraId="65FD58C0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4342A9B9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6F75EE3A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15</w:t>
      </w:r>
      <w:r w:rsidRPr="003D4816">
        <w:rPr>
          <w:rStyle w:val="HideTWBExt"/>
          <w:b w:val="0"/>
        </w:rPr>
        <w:t>&lt;/NumAm&gt;</w:t>
      </w:r>
    </w:p>
    <w:p w14:paraId="1A4126FA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5080FAB1" w14:textId="1D853823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3</w:t>
      </w:r>
      <w:r>
        <w:noBreakHyphen/>
      </w:r>
      <w:r w:rsidRPr="003D4816">
        <w:t>A (novo)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7E8D90C" w14:textId="77777777" w:rsidTr="00BA27ED">
        <w:trPr>
          <w:jc w:val="center"/>
        </w:trPr>
        <w:tc>
          <w:tcPr>
            <w:tcW w:w="9752" w:type="dxa"/>
            <w:gridSpan w:val="2"/>
          </w:tcPr>
          <w:p w14:paraId="7F1E4924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25D06A43" w14:textId="77777777" w:rsidTr="00BA27ED">
        <w:trPr>
          <w:jc w:val="center"/>
        </w:trPr>
        <w:tc>
          <w:tcPr>
            <w:tcW w:w="4876" w:type="dxa"/>
          </w:tcPr>
          <w:p w14:paraId="4ADB7BA6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123646C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3B1608A9" w14:textId="77777777" w:rsidTr="00BA27ED">
        <w:trPr>
          <w:jc w:val="center"/>
        </w:trPr>
        <w:tc>
          <w:tcPr>
            <w:tcW w:w="4876" w:type="dxa"/>
          </w:tcPr>
          <w:p w14:paraId="47895CD0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7BBA748C" w14:textId="6B564162" w:rsidR="00F61420" w:rsidRPr="003D4816" w:rsidRDefault="00413A6D" w:rsidP="00BA27ED">
            <w:pPr>
              <w:pStyle w:val="Normal6"/>
              <w:jc w:val="center"/>
              <w:rPr>
                <w:szCs w:val="24"/>
              </w:rPr>
            </w:pPr>
            <w:r w:rsidRPr="003D4816">
              <w:rPr>
                <w:b/>
                <w:i/>
              </w:rPr>
              <w:t>Artigo 3.º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</w:t>
            </w:r>
          </w:p>
        </w:tc>
      </w:tr>
      <w:tr w:rsidR="005166EC" w:rsidRPr="003D4816" w14:paraId="45EEAA49" w14:textId="77777777" w:rsidTr="00BA27ED">
        <w:trPr>
          <w:jc w:val="center"/>
        </w:trPr>
        <w:tc>
          <w:tcPr>
            <w:tcW w:w="4876" w:type="dxa"/>
          </w:tcPr>
          <w:p w14:paraId="57570127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FD41321" w14:textId="77777777" w:rsidR="00F61420" w:rsidRPr="003D4816" w:rsidRDefault="00413A6D" w:rsidP="00BA27ED">
            <w:pPr>
              <w:pStyle w:val="Normal6"/>
              <w:jc w:val="center"/>
              <w:rPr>
                <w:szCs w:val="24"/>
              </w:rPr>
            </w:pPr>
            <w:r w:rsidRPr="003D4816">
              <w:rPr>
                <w:b/>
                <w:i/>
              </w:rPr>
              <w:t>Respeito pelos direitos fundamentais</w:t>
            </w:r>
          </w:p>
        </w:tc>
      </w:tr>
      <w:tr w:rsidR="005166EC" w:rsidRPr="003D4816" w14:paraId="0C4CA2B4" w14:textId="77777777" w:rsidTr="00BA27ED">
        <w:trPr>
          <w:jc w:val="center"/>
        </w:trPr>
        <w:tc>
          <w:tcPr>
            <w:tcW w:w="4876" w:type="dxa"/>
          </w:tcPr>
          <w:p w14:paraId="70078F6E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D1651CA" w14:textId="01AB6674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 xml:space="preserve">Todas as ações apoiadas em conformidade com o apoio da </w:t>
            </w:r>
            <w:r w:rsidRPr="003D4816">
              <w:rPr>
                <w:b/>
                <w:i/>
              </w:rPr>
              <w:t>União ao abrigo do presente regulamento são executadas em conformidade com os direitos e princípios consagrados no acervo da União e na Carta dos Direitos Fundamentais da União Europeia e em consonância com as obrigações internacionais da União e dos Estados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Membros decorrentes dos instrumentos internacionais de que são partes.</w:t>
            </w:r>
          </w:p>
        </w:tc>
      </w:tr>
    </w:tbl>
    <w:p w14:paraId="730A91A7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7782B1B2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6BE7E795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16</w:t>
      </w:r>
      <w:r w:rsidRPr="003D4816">
        <w:rPr>
          <w:rStyle w:val="HideTWBExt"/>
          <w:b w:val="0"/>
        </w:rPr>
        <w:t>&lt;/NumAm&gt;</w:t>
      </w:r>
    </w:p>
    <w:p w14:paraId="3AAC2AF4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79F894CD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4 – n.º 4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29451326" w14:textId="77777777" w:rsidTr="00BA27ED">
        <w:trPr>
          <w:jc w:val="center"/>
        </w:trPr>
        <w:tc>
          <w:tcPr>
            <w:tcW w:w="9752" w:type="dxa"/>
            <w:gridSpan w:val="2"/>
          </w:tcPr>
          <w:p w14:paraId="50716539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063600DA" w14:textId="77777777" w:rsidTr="00BA27ED">
        <w:trPr>
          <w:jc w:val="center"/>
        </w:trPr>
        <w:tc>
          <w:tcPr>
            <w:tcW w:w="4876" w:type="dxa"/>
          </w:tcPr>
          <w:p w14:paraId="59FC71AB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 xml:space="preserve">Texto da </w:t>
            </w:r>
            <w:r w:rsidRPr="003D4816">
              <w:t>Comissão</w:t>
            </w:r>
          </w:p>
        </w:tc>
        <w:tc>
          <w:tcPr>
            <w:tcW w:w="4876" w:type="dxa"/>
          </w:tcPr>
          <w:p w14:paraId="44A1974B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3437DDFA" w14:textId="77777777" w:rsidTr="00BA27ED">
        <w:trPr>
          <w:jc w:val="center"/>
        </w:trPr>
        <w:tc>
          <w:tcPr>
            <w:tcW w:w="4876" w:type="dxa"/>
          </w:tcPr>
          <w:p w14:paraId="60CB4E2F" w14:textId="5E146CF6" w:rsidR="00F61420" w:rsidRPr="003D4816" w:rsidRDefault="00413A6D" w:rsidP="00BA27ED">
            <w:pPr>
              <w:pStyle w:val="Normal6"/>
            </w:pPr>
            <w:r w:rsidRPr="003D4816">
              <w:t>4.</w:t>
            </w:r>
            <w:r w:rsidRPr="003D4816">
              <w:tab/>
              <w:t xml:space="preserve">No caso das medidas relacionadas com os objetivos estabelecidos no artigo 3.º do presente regulamento, caso a Comissão conclua que essas medidas cumprem os requisitos estabelecidos no presente regulamento e no Regulamento (UE) [...] que institui o Fundo Europeu para a Coesão Económica, Territorial e Social, a Agricultura e o Meio Rural, as Pescas e o Setor Marítimo, a Prosperidade e a Segurança, e caso a Comissão </w:t>
            </w:r>
            <w:r w:rsidRPr="003D4816">
              <w:rPr>
                <w:b/>
                <w:i/>
              </w:rPr>
              <w:t>proponha uma decisão de execução do Conselho</w:t>
            </w:r>
            <w:r w:rsidRPr="003D4816">
              <w:t xml:space="preserve"> que aprove o plano de parceria nacional e regiona</w:t>
            </w:r>
            <w:r w:rsidRPr="003D4816">
              <w:t>l do Estado</w:t>
            </w:r>
            <w:r>
              <w:noBreakHyphen/>
            </w:r>
            <w:r w:rsidRPr="003D4816">
              <w:t xml:space="preserve">Membro em causa, em conformidade com o procedimento previsto no artigo 23.º do Regulamento (UE) [...] que institui o Fundo Europeu para a Coesão Económica, Territorial e Social, a Agricultura e o Meio Rural, as Pescas e o Setor Marítimo, a Prosperidade e a Segurança, </w:t>
            </w:r>
            <w:r w:rsidRPr="003D4816">
              <w:rPr>
                <w:b/>
                <w:i/>
              </w:rPr>
              <w:t>deve apresentar uma proposta de decisão de execução do Conselho relativa à aprovação dessas</w:t>
            </w:r>
            <w:r w:rsidRPr="003D4816">
              <w:t xml:space="preserve"> medidas.</w:t>
            </w:r>
          </w:p>
        </w:tc>
        <w:tc>
          <w:tcPr>
            <w:tcW w:w="4876" w:type="dxa"/>
          </w:tcPr>
          <w:p w14:paraId="72835A9B" w14:textId="2FE6E21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4.</w:t>
            </w:r>
            <w:r w:rsidRPr="003D4816">
              <w:tab/>
              <w:t xml:space="preserve">No caso das medidas relacionadas com os objetivos estabelecidos no artigo 3.º do presente regulamento, caso a Comissão conclua que essas medidas cumprem os requisitos estabelecidos no presente regulamento e no Regulamento (UE) [...] que institui o Fundo Europeu para a Coesão Económica, Territorial e Social, a Agricultura e o Meio Rural, as Pescas e o Setor Marítimo, a Prosperidade e a Segurança, e caso a Comissão </w:t>
            </w:r>
            <w:r w:rsidRPr="003D4816">
              <w:rPr>
                <w:b/>
                <w:i/>
              </w:rPr>
              <w:t>adote um ato delegado</w:t>
            </w:r>
            <w:r w:rsidRPr="003D4816">
              <w:t xml:space="preserve"> que aprove o plano de parceria nacional e regional do Estado</w:t>
            </w:r>
            <w:r>
              <w:noBreakHyphen/>
            </w:r>
            <w:r w:rsidRPr="003D4816">
              <w:t xml:space="preserve">Membro em causa, em conformidade com o procedimento previsto no artigo 23.º do Regulamento (UE) [...] que institui o Fundo Europeu para a Coesão Económica, Territorial e Social, a Agricultura e o Meio Rural, as Pescas e o Setor Marítimo, a Prosperidade e a Segurança, </w:t>
            </w:r>
            <w:r w:rsidRPr="003D4816">
              <w:rPr>
                <w:b/>
                <w:i/>
              </w:rPr>
              <w:t>fica habilitada a adotar um ato delegado em conformidade com o artigo 4.º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 para complementar o presente regulamento aprovando essas</w:t>
            </w:r>
            <w:r w:rsidRPr="003D4816">
              <w:t xml:space="preserve"> medidas.</w:t>
            </w:r>
          </w:p>
        </w:tc>
      </w:tr>
    </w:tbl>
    <w:p w14:paraId="5E4B886D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12BD97D0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0E75D4B7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17</w:t>
      </w:r>
      <w:r w:rsidRPr="003D4816">
        <w:rPr>
          <w:rStyle w:val="HideTWBExt"/>
          <w:b w:val="0"/>
        </w:rPr>
        <w:t>&lt;/NumAm&gt;</w:t>
      </w:r>
    </w:p>
    <w:p w14:paraId="596E3543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73FE41CC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4 – n.º 5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3A36B63A" w14:textId="77777777" w:rsidTr="00BA27ED">
        <w:trPr>
          <w:jc w:val="center"/>
        </w:trPr>
        <w:tc>
          <w:tcPr>
            <w:tcW w:w="9752" w:type="dxa"/>
            <w:gridSpan w:val="2"/>
          </w:tcPr>
          <w:p w14:paraId="7C2F35FA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4D1468BE" w14:textId="77777777" w:rsidTr="00BA27ED">
        <w:trPr>
          <w:jc w:val="center"/>
        </w:trPr>
        <w:tc>
          <w:tcPr>
            <w:tcW w:w="4876" w:type="dxa"/>
          </w:tcPr>
          <w:p w14:paraId="5FF99307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048A6A15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72422007" w14:textId="77777777" w:rsidTr="00BA27ED">
        <w:trPr>
          <w:jc w:val="center"/>
        </w:trPr>
        <w:tc>
          <w:tcPr>
            <w:tcW w:w="4876" w:type="dxa"/>
          </w:tcPr>
          <w:p w14:paraId="230314F2" w14:textId="77777777" w:rsidR="00F61420" w:rsidRPr="003D4816" w:rsidRDefault="00413A6D" w:rsidP="00BA27ED">
            <w:pPr>
              <w:pStyle w:val="Normal6"/>
            </w:pPr>
            <w:r w:rsidRPr="003D4816">
              <w:t>5.</w:t>
            </w:r>
            <w:r w:rsidRPr="003D4816">
              <w:tab/>
            </w:r>
            <w:r w:rsidRPr="003D4816">
              <w:rPr>
                <w:b/>
                <w:i/>
              </w:rPr>
              <w:t xml:space="preserve">Ao apresentar uma </w:t>
            </w:r>
            <w:r w:rsidRPr="003D4816">
              <w:rPr>
                <w:b/>
                <w:i/>
              </w:rPr>
              <w:t>proposta de decisão de execução do Conselho</w:t>
            </w:r>
            <w:r w:rsidRPr="003D4816">
              <w:t xml:space="preserve"> sobre as medidas relacionadas com os objetivos estabelecidos no artigo 3.º do presente regulamento, </w:t>
            </w:r>
            <w:r w:rsidRPr="003D4816">
              <w:rPr>
                <w:b/>
                <w:i/>
              </w:rPr>
              <w:t>a proposta da Comissão deve estabelecer</w:t>
            </w:r>
            <w:r w:rsidRPr="003D4816">
              <w:t xml:space="preserve"> os elementos referidos no artigo 23.º, n.º 4, do Regulamento (UE) [...] que institui o Fundo Europeu para a Coesão Económica, Territorial e Social, a Agricultura e o Meio Rural, as Pescas e o Setor Marítimo, a Prosperidade e a Segurança, tendo em conta os objetivos </w:t>
            </w:r>
            <w:r w:rsidRPr="003D4816">
              <w:lastRenderedPageBreak/>
              <w:t>estabelecidos no artigo 3.º.</w:t>
            </w:r>
          </w:p>
        </w:tc>
        <w:tc>
          <w:tcPr>
            <w:tcW w:w="4876" w:type="dxa"/>
          </w:tcPr>
          <w:p w14:paraId="48474C2C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lastRenderedPageBreak/>
              <w:t>5.</w:t>
            </w:r>
            <w:r w:rsidRPr="003D4816">
              <w:tab/>
            </w:r>
            <w:r w:rsidRPr="003D4816">
              <w:rPr>
                <w:b/>
                <w:i/>
              </w:rPr>
              <w:t>Sempre que seja adotado um ato delegado</w:t>
            </w:r>
            <w:r w:rsidRPr="003D4816">
              <w:t xml:space="preserve"> sobre as medidas relacionadas com os objetivos estabelecidos no artigo 3.º do presente regulamento, </w:t>
            </w:r>
            <w:r w:rsidRPr="003D4816">
              <w:rPr>
                <w:b/>
                <w:i/>
              </w:rPr>
              <w:t>o ato delegado estabelece</w:t>
            </w:r>
            <w:r w:rsidRPr="003D4816">
              <w:t xml:space="preserve"> os elementos referidos no artigo 23.º, n.º 4, do Regulamento (UE) [...] que institui o Fundo Europeu para a Coesão Económica, Territorial e Social, a Agricultura e o Meio Rural, as Pescas e o Setor Marítimo, a Prosperidade e a Segurança, tendo em conta os objetivos estabelecidos no artigo 3.º.</w:t>
            </w:r>
          </w:p>
        </w:tc>
      </w:tr>
    </w:tbl>
    <w:p w14:paraId="6DD3A9E5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6C29B20C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16A059F1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18</w:t>
      </w:r>
      <w:r w:rsidRPr="003D4816">
        <w:rPr>
          <w:rStyle w:val="HideTWBExt"/>
          <w:b w:val="0"/>
        </w:rPr>
        <w:t>&lt;/NumAm&gt;</w:t>
      </w:r>
    </w:p>
    <w:p w14:paraId="20A73577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49BAD193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4 – n.º 6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6253FB81" w14:textId="77777777" w:rsidTr="00BA27ED">
        <w:trPr>
          <w:jc w:val="center"/>
        </w:trPr>
        <w:tc>
          <w:tcPr>
            <w:tcW w:w="9752" w:type="dxa"/>
            <w:gridSpan w:val="2"/>
          </w:tcPr>
          <w:p w14:paraId="1F06C8D9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0B610EC0" w14:textId="77777777" w:rsidTr="00BA27ED">
        <w:trPr>
          <w:jc w:val="center"/>
        </w:trPr>
        <w:tc>
          <w:tcPr>
            <w:tcW w:w="4876" w:type="dxa"/>
          </w:tcPr>
          <w:p w14:paraId="4AE4796D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3A132436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6FBB9807" w14:textId="77777777" w:rsidTr="00BA27ED">
        <w:trPr>
          <w:jc w:val="center"/>
        </w:trPr>
        <w:tc>
          <w:tcPr>
            <w:tcW w:w="4876" w:type="dxa"/>
          </w:tcPr>
          <w:p w14:paraId="257F9B24" w14:textId="77777777" w:rsidR="00F61420" w:rsidRPr="003D4816" w:rsidRDefault="00413A6D" w:rsidP="00BA27ED">
            <w:pPr>
              <w:pStyle w:val="Normal6"/>
            </w:pPr>
            <w:r w:rsidRPr="003D4816">
              <w:t>6.</w:t>
            </w:r>
            <w:r w:rsidRPr="003D4816">
              <w:tab/>
              <w:t xml:space="preserve">Por norma, </w:t>
            </w:r>
            <w:r w:rsidRPr="003D4816">
              <w:rPr>
                <w:b/>
                <w:i/>
              </w:rPr>
              <w:t>o Conselho deve adotar a decisão de execução</w:t>
            </w:r>
            <w:r w:rsidRPr="003D4816">
              <w:t xml:space="preserve"> a que se refere o n.º 4 </w:t>
            </w:r>
            <w:r w:rsidRPr="003D4816">
              <w:rPr>
                <w:b/>
                <w:i/>
              </w:rPr>
              <w:t xml:space="preserve">no prazo de quatro semanas a contar da adoção da </w:t>
            </w:r>
            <w:r w:rsidRPr="003D4816">
              <w:rPr>
                <w:b/>
                <w:i/>
              </w:rPr>
              <w:t>proposta da Comissão e</w:t>
            </w:r>
            <w:r w:rsidRPr="003D4816">
              <w:t xml:space="preserve"> juntamente com </w:t>
            </w:r>
            <w:r w:rsidRPr="003D4816">
              <w:rPr>
                <w:b/>
                <w:i/>
              </w:rPr>
              <w:t>as decisões de execução</w:t>
            </w:r>
            <w:r w:rsidRPr="003D4816">
              <w:t xml:space="preserve"> a que se refere o artigo 23.º, n.º </w:t>
            </w:r>
            <w:r w:rsidRPr="003D4816">
              <w:rPr>
                <w:b/>
                <w:i/>
              </w:rPr>
              <w:t>1</w:t>
            </w:r>
            <w:r w:rsidRPr="003D4816">
              <w:t xml:space="preserve"> [</w:t>
            </w:r>
            <w:r w:rsidRPr="003D4816">
              <w:rPr>
                <w:b/>
                <w:i/>
                <w:iCs/>
              </w:rPr>
              <w:t>proposta da Comissão e decisão</w:t>
            </w:r>
            <w:r w:rsidRPr="003D4816">
              <w:rPr>
                <w:i/>
                <w:iCs/>
              </w:rPr>
              <w:t xml:space="preserve"> de </w:t>
            </w:r>
            <w:r w:rsidRPr="003D4816">
              <w:rPr>
                <w:b/>
                <w:i/>
                <w:iCs/>
              </w:rPr>
              <w:t>execução do Conselho</w:t>
            </w:r>
            <w:r w:rsidRPr="003D4816">
              <w:t>] do Regulamento (UE) [...] que institui o Fundo Europeu para a Coesão Económica, Territorial e Social, a Agricultura e o Meio Rural, as Pescas e o Setor Marítimo, a Prosperidade e a Segurança.</w:t>
            </w:r>
          </w:p>
        </w:tc>
        <w:tc>
          <w:tcPr>
            <w:tcW w:w="4876" w:type="dxa"/>
          </w:tcPr>
          <w:p w14:paraId="2B6F812E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6.</w:t>
            </w:r>
            <w:r w:rsidRPr="003D4816">
              <w:tab/>
              <w:t xml:space="preserve">Por norma, </w:t>
            </w:r>
            <w:r w:rsidRPr="003D4816">
              <w:rPr>
                <w:b/>
                <w:i/>
              </w:rPr>
              <w:t>a Comissão adota o ato delegado</w:t>
            </w:r>
            <w:r w:rsidRPr="003D4816">
              <w:t xml:space="preserve"> a que se refere o n.º 4 </w:t>
            </w:r>
            <w:r w:rsidRPr="003D4816">
              <w:rPr>
                <w:b/>
                <w:i/>
              </w:rPr>
              <w:t>do presente artigo</w:t>
            </w:r>
            <w:r w:rsidRPr="003D4816">
              <w:t xml:space="preserve"> juntamente com </w:t>
            </w:r>
            <w:r w:rsidRPr="003D4816">
              <w:rPr>
                <w:b/>
                <w:i/>
              </w:rPr>
              <w:t>o ato delegado</w:t>
            </w:r>
            <w:r w:rsidRPr="003D4816">
              <w:t xml:space="preserve"> a que se refere o artigo 23.º, n.º </w:t>
            </w:r>
            <w:r w:rsidRPr="003D4816">
              <w:rPr>
                <w:b/>
                <w:i/>
              </w:rPr>
              <w:t>4</w:t>
            </w:r>
            <w:r w:rsidRPr="003D4816">
              <w:t xml:space="preserve"> [</w:t>
            </w:r>
            <w:r w:rsidRPr="003D4816">
              <w:rPr>
                <w:b/>
                <w:i/>
                <w:iCs/>
              </w:rPr>
              <w:t>ato delegado de atribuição</w:t>
            </w:r>
            <w:r w:rsidRPr="003D4816">
              <w:rPr>
                <w:i/>
                <w:iCs/>
              </w:rPr>
              <w:t xml:space="preserve"> de </w:t>
            </w:r>
            <w:r w:rsidRPr="003D4816">
              <w:rPr>
                <w:b/>
                <w:i/>
                <w:iCs/>
              </w:rPr>
              <w:t>poderes em conformidade com o artigo [87]</w:t>
            </w:r>
            <w:r w:rsidRPr="003D4816">
              <w:t>] do Regulamento (UE) [...] que institui o Fundo Europeu para a Coesão Económica, Territorial e Social, a Agricultura e o Meio Rural, as Pescas e o Setor Marítimo, a Prosperidade e a Segurança.</w:t>
            </w:r>
          </w:p>
        </w:tc>
      </w:tr>
    </w:tbl>
    <w:p w14:paraId="0AC427FA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223E56CC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4C9493B2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19</w:t>
      </w:r>
      <w:r w:rsidRPr="003D4816">
        <w:rPr>
          <w:rStyle w:val="HideTWBExt"/>
          <w:b w:val="0"/>
        </w:rPr>
        <w:t>&lt;/NumAm&gt;</w:t>
      </w:r>
    </w:p>
    <w:p w14:paraId="7AF2E75B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53A28A24" w14:textId="77777777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4 – n.º 7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4559F67E" w14:textId="77777777" w:rsidTr="00BA27ED">
        <w:trPr>
          <w:jc w:val="center"/>
        </w:trPr>
        <w:tc>
          <w:tcPr>
            <w:tcW w:w="9752" w:type="dxa"/>
            <w:gridSpan w:val="2"/>
          </w:tcPr>
          <w:p w14:paraId="1D9A5921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51E47D2D" w14:textId="77777777" w:rsidTr="00BA27ED">
        <w:trPr>
          <w:jc w:val="center"/>
        </w:trPr>
        <w:tc>
          <w:tcPr>
            <w:tcW w:w="4876" w:type="dxa"/>
          </w:tcPr>
          <w:p w14:paraId="27521FC2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1499231B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05A465AF" w14:textId="77777777" w:rsidTr="00BA27ED">
        <w:trPr>
          <w:jc w:val="center"/>
        </w:trPr>
        <w:tc>
          <w:tcPr>
            <w:tcW w:w="4876" w:type="dxa"/>
          </w:tcPr>
          <w:p w14:paraId="45A3144B" w14:textId="06BA8842" w:rsidR="00F61420" w:rsidRPr="003D4816" w:rsidRDefault="00413A6D" w:rsidP="00BA27ED">
            <w:pPr>
              <w:pStyle w:val="Normal6"/>
            </w:pPr>
            <w:r w:rsidRPr="003D4816">
              <w:t>7.</w:t>
            </w:r>
            <w:r w:rsidRPr="003D4816">
              <w:tab/>
            </w:r>
            <w:r w:rsidRPr="003D4816">
              <w:t>Aplica</w:t>
            </w:r>
            <w:r>
              <w:noBreakHyphen/>
            </w:r>
            <w:r w:rsidRPr="003D4816">
              <w:t xml:space="preserve">se o artigo 24.º do Regulamento (UE) [...] que institui o Fundo Europeu para a Coesão Económica, Territorial e Social, a Agricultura e o Meio Rural, as Pescas e o Setor Marítimo, a Prosperidade e a Segurança no que respeita à alteração dos planos, desde que a proposta da Comissão e </w:t>
            </w:r>
            <w:r w:rsidRPr="003D4816">
              <w:rPr>
                <w:b/>
                <w:i/>
              </w:rPr>
              <w:t>a decisão de execução do Conselho</w:t>
            </w:r>
            <w:r w:rsidRPr="003D4816">
              <w:t xml:space="preserve"> que </w:t>
            </w:r>
            <w:r w:rsidRPr="003D4816">
              <w:rPr>
                <w:b/>
                <w:i/>
              </w:rPr>
              <w:t>aprova as alterações dos</w:t>
            </w:r>
            <w:r w:rsidRPr="003D4816">
              <w:t xml:space="preserve"> elementos enumerados no artigo 23.º, n.º 4, abranjam apenas os objetivos referidos no artigo 3.º do presente regulamento.</w:t>
            </w:r>
          </w:p>
        </w:tc>
        <w:tc>
          <w:tcPr>
            <w:tcW w:w="4876" w:type="dxa"/>
          </w:tcPr>
          <w:p w14:paraId="1C4E5F22" w14:textId="44E18812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t>7.</w:t>
            </w:r>
            <w:r w:rsidRPr="003D4816">
              <w:tab/>
              <w:t>Aplica</w:t>
            </w:r>
            <w:r>
              <w:noBreakHyphen/>
            </w:r>
            <w:r w:rsidRPr="003D4816">
              <w:t xml:space="preserve">se o artigo 24.º do Regulamento (UE) [...] que institui o Fundo Europeu para a Coesão Económica, Territorial e Social, a Agricultura e o Meio Rural, as Pescas e o Setor Marítimo, a Prosperidade e a Segurança no que respeita à alteração dos planos, desde que a proposta da Comissão e </w:t>
            </w:r>
            <w:r w:rsidRPr="003D4816">
              <w:rPr>
                <w:b/>
                <w:i/>
              </w:rPr>
              <w:t>o ato delegado</w:t>
            </w:r>
            <w:r w:rsidRPr="003D4816">
              <w:t xml:space="preserve"> que </w:t>
            </w:r>
            <w:r w:rsidRPr="003D4816">
              <w:rPr>
                <w:b/>
                <w:i/>
              </w:rPr>
              <w:t>complementa os</w:t>
            </w:r>
            <w:r w:rsidRPr="003D4816">
              <w:t xml:space="preserve"> elementos enumerados no artigo 23.º, n.º 4, </w:t>
            </w:r>
            <w:r w:rsidRPr="003D4816">
              <w:rPr>
                <w:b/>
                <w:i/>
              </w:rPr>
              <w:t>do referido regulamento</w:t>
            </w:r>
            <w:r w:rsidRPr="003D4816">
              <w:t xml:space="preserve"> abranjam apenas os objetivos referidos no artigo 3.º do presente regulamento.</w:t>
            </w:r>
          </w:p>
        </w:tc>
      </w:tr>
    </w:tbl>
    <w:p w14:paraId="0EDDA53F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68191DFA" w14:textId="77777777" w:rsidR="00F61420" w:rsidRPr="003D4816" w:rsidRDefault="00413A6D" w:rsidP="00F61420">
      <w:r w:rsidRPr="003D4816">
        <w:rPr>
          <w:rStyle w:val="HideTWBExt"/>
        </w:rPr>
        <w:t>&lt;/Amend&gt;</w:t>
      </w:r>
    </w:p>
    <w:p w14:paraId="269FF396" w14:textId="77777777" w:rsidR="00F61420" w:rsidRPr="003D4816" w:rsidRDefault="00413A6D" w:rsidP="00F61420">
      <w:pPr>
        <w:pStyle w:val="AMNumberTabs0"/>
        <w:keepNext/>
      </w:pPr>
      <w:r w:rsidRPr="003D4816">
        <w:rPr>
          <w:rStyle w:val="HideTWBExt"/>
          <w:b w:val="0"/>
        </w:rPr>
        <w:lastRenderedPageBreak/>
        <w:t>&lt;Amend&gt;</w:t>
      </w:r>
      <w:r w:rsidRPr="003D4816">
        <w:t>Alteração</w:t>
      </w:r>
      <w:r w:rsidRPr="003D4816">
        <w:tab/>
      </w:r>
      <w:r w:rsidRPr="003D4816">
        <w:tab/>
      </w:r>
      <w:r w:rsidRPr="003D4816">
        <w:rPr>
          <w:rStyle w:val="HideTWBExt"/>
          <w:b w:val="0"/>
        </w:rPr>
        <w:t>&lt;NumAm&gt;</w:t>
      </w:r>
      <w:r w:rsidRPr="003D4816">
        <w:t>20</w:t>
      </w:r>
      <w:r w:rsidRPr="003D4816">
        <w:rPr>
          <w:rStyle w:val="HideTWBExt"/>
          <w:b w:val="0"/>
        </w:rPr>
        <w:t>&lt;/NumAm&gt;</w:t>
      </w:r>
    </w:p>
    <w:p w14:paraId="61508D51" w14:textId="77777777" w:rsidR="00F61420" w:rsidRPr="003D4816" w:rsidRDefault="00413A6D" w:rsidP="00F61420">
      <w:pPr>
        <w:pStyle w:val="NormalBold12b"/>
        <w:keepNext/>
      </w:pPr>
      <w:r w:rsidRPr="003D4816">
        <w:rPr>
          <w:rStyle w:val="HideTWBExt"/>
          <w:b w:val="0"/>
        </w:rPr>
        <w:t>&lt;DocAmend&gt;</w:t>
      </w:r>
      <w:r w:rsidRPr="003D4816">
        <w:t>Proposta de regulamento</w:t>
      </w:r>
      <w:r w:rsidRPr="003D4816">
        <w:rPr>
          <w:rStyle w:val="HideTWBExt"/>
          <w:b w:val="0"/>
        </w:rPr>
        <w:t>&lt;/DocAmend&gt;</w:t>
      </w:r>
    </w:p>
    <w:p w14:paraId="6A4A55BC" w14:textId="4B898FFB" w:rsidR="00F61420" w:rsidRPr="003D4816" w:rsidRDefault="00413A6D" w:rsidP="00F61420">
      <w:pPr>
        <w:pStyle w:val="NormalBold"/>
      </w:pPr>
      <w:r w:rsidRPr="003D4816">
        <w:rPr>
          <w:rStyle w:val="HideTWBExt"/>
          <w:b w:val="0"/>
        </w:rPr>
        <w:t>&lt;Article&gt;</w:t>
      </w:r>
      <w:r w:rsidRPr="003D4816">
        <w:t>Artigo 4</w:t>
      </w:r>
      <w:r>
        <w:noBreakHyphen/>
      </w:r>
      <w:r w:rsidRPr="003D4816">
        <w:t>A (novo)</w:t>
      </w:r>
      <w:r w:rsidRPr="003D481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166EC" w:rsidRPr="003D4816" w14:paraId="506B1658" w14:textId="77777777" w:rsidTr="00BA27ED">
        <w:trPr>
          <w:jc w:val="center"/>
        </w:trPr>
        <w:tc>
          <w:tcPr>
            <w:tcW w:w="9752" w:type="dxa"/>
            <w:gridSpan w:val="2"/>
          </w:tcPr>
          <w:p w14:paraId="40C7EA0F" w14:textId="77777777" w:rsidR="00F61420" w:rsidRPr="003D4816" w:rsidRDefault="00F61420" w:rsidP="00BA27ED">
            <w:pPr>
              <w:keepNext/>
            </w:pPr>
          </w:p>
        </w:tc>
      </w:tr>
      <w:tr w:rsidR="005166EC" w:rsidRPr="003D4816" w14:paraId="31E7E6AA" w14:textId="77777777" w:rsidTr="00BA27ED">
        <w:trPr>
          <w:jc w:val="center"/>
        </w:trPr>
        <w:tc>
          <w:tcPr>
            <w:tcW w:w="4876" w:type="dxa"/>
          </w:tcPr>
          <w:p w14:paraId="37450017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Texto da Comissão</w:t>
            </w:r>
          </w:p>
        </w:tc>
        <w:tc>
          <w:tcPr>
            <w:tcW w:w="4876" w:type="dxa"/>
          </w:tcPr>
          <w:p w14:paraId="6D214F30" w14:textId="77777777" w:rsidR="00F61420" w:rsidRPr="003D4816" w:rsidRDefault="00413A6D" w:rsidP="00BA27ED">
            <w:pPr>
              <w:pStyle w:val="ColumnHeading"/>
              <w:keepNext/>
            </w:pPr>
            <w:r w:rsidRPr="003D4816">
              <w:t>Alteração</w:t>
            </w:r>
          </w:p>
        </w:tc>
      </w:tr>
      <w:tr w:rsidR="005166EC" w:rsidRPr="003D4816" w14:paraId="531A1C0F" w14:textId="77777777" w:rsidTr="00BA27ED">
        <w:trPr>
          <w:jc w:val="center"/>
        </w:trPr>
        <w:tc>
          <w:tcPr>
            <w:tcW w:w="4876" w:type="dxa"/>
          </w:tcPr>
          <w:p w14:paraId="2888D5E9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483106E" w14:textId="09986EBC" w:rsidR="00F61420" w:rsidRPr="003D4816" w:rsidRDefault="00413A6D" w:rsidP="00BA27ED">
            <w:pPr>
              <w:pStyle w:val="Normal6"/>
              <w:jc w:val="center"/>
              <w:rPr>
                <w:szCs w:val="24"/>
              </w:rPr>
            </w:pPr>
            <w:r w:rsidRPr="003D4816">
              <w:rPr>
                <w:b/>
                <w:i/>
              </w:rPr>
              <w:t>Artigo 4.º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A</w:t>
            </w:r>
          </w:p>
        </w:tc>
      </w:tr>
      <w:tr w:rsidR="005166EC" w:rsidRPr="003D4816" w14:paraId="7A6E663E" w14:textId="77777777" w:rsidTr="00BA27ED">
        <w:trPr>
          <w:jc w:val="center"/>
        </w:trPr>
        <w:tc>
          <w:tcPr>
            <w:tcW w:w="4876" w:type="dxa"/>
          </w:tcPr>
          <w:p w14:paraId="2BB34BF5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1875CE0C" w14:textId="77777777" w:rsidR="00F61420" w:rsidRPr="003D4816" w:rsidRDefault="00413A6D" w:rsidP="00BA27ED">
            <w:pPr>
              <w:pStyle w:val="Normal6"/>
              <w:jc w:val="center"/>
              <w:rPr>
                <w:szCs w:val="24"/>
              </w:rPr>
            </w:pPr>
            <w:r w:rsidRPr="003D4816">
              <w:rPr>
                <w:b/>
                <w:i/>
              </w:rPr>
              <w:t>Exercício da delegação</w:t>
            </w:r>
          </w:p>
        </w:tc>
      </w:tr>
      <w:tr w:rsidR="005166EC" w:rsidRPr="003D4816" w14:paraId="07119523" w14:textId="77777777" w:rsidTr="00BA27ED">
        <w:trPr>
          <w:jc w:val="center"/>
        </w:trPr>
        <w:tc>
          <w:tcPr>
            <w:tcW w:w="4876" w:type="dxa"/>
          </w:tcPr>
          <w:p w14:paraId="78554817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7ABB8606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1.</w:t>
            </w:r>
            <w:r w:rsidRPr="003D4816">
              <w:rPr>
                <w:b/>
                <w:i/>
              </w:rPr>
              <w:tab/>
              <w:t xml:space="preserve">O poder de adotar atos delegados é conferido à Comissão nas condições </w:t>
            </w:r>
            <w:r w:rsidRPr="003D4816">
              <w:rPr>
                <w:b/>
                <w:i/>
              </w:rPr>
              <w:t>estabelecidas no presente artigo.</w:t>
            </w:r>
          </w:p>
        </w:tc>
      </w:tr>
      <w:tr w:rsidR="005166EC" w:rsidRPr="003D4816" w14:paraId="29793D6F" w14:textId="77777777" w:rsidTr="00BA27ED">
        <w:trPr>
          <w:jc w:val="center"/>
        </w:trPr>
        <w:tc>
          <w:tcPr>
            <w:tcW w:w="4876" w:type="dxa"/>
          </w:tcPr>
          <w:p w14:paraId="4893040E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4B0F6A99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2.</w:t>
            </w:r>
            <w:r w:rsidRPr="003D4816">
              <w:rPr>
                <w:b/>
                <w:i/>
              </w:rPr>
              <w:tab/>
              <w:t>O poder de adotar atos delegados referido no artigo 4.º é conferido à Comissão por tempo indeterminado a contar de ... [data de entrada em vigor do presente regulamento].</w:t>
            </w:r>
          </w:p>
        </w:tc>
      </w:tr>
      <w:tr w:rsidR="005166EC" w:rsidRPr="003D4816" w14:paraId="6B39EA44" w14:textId="77777777" w:rsidTr="00BA27ED">
        <w:trPr>
          <w:jc w:val="center"/>
        </w:trPr>
        <w:tc>
          <w:tcPr>
            <w:tcW w:w="4876" w:type="dxa"/>
          </w:tcPr>
          <w:p w14:paraId="2B369A9A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8D5C02A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3.</w:t>
            </w:r>
            <w:r w:rsidRPr="003D4816">
              <w:rPr>
                <w:b/>
                <w:i/>
              </w:rPr>
              <w:tab/>
              <w:t>A delegação de poderes referida no artigo 4.º pode ser revogada em qualquer momento pelo Parlamento Europeu ou pelo Conselho. A decisão de revogação põe termo à delegação dos poderes nela especificados. A decisão de revogação produz efeitos a partir do dia seguinte ao da sua publicação no Jornal Oficial da União Europeia ou de uma data posterior nela especificada. A decisão de revogação não afeta os atos delegados já em vigor.</w:t>
            </w:r>
          </w:p>
        </w:tc>
      </w:tr>
      <w:tr w:rsidR="005166EC" w:rsidRPr="003D4816" w14:paraId="0C79BAF4" w14:textId="77777777" w:rsidTr="00BA27ED">
        <w:trPr>
          <w:jc w:val="center"/>
        </w:trPr>
        <w:tc>
          <w:tcPr>
            <w:tcW w:w="4876" w:type="dxa"/>
          </w:tcPr>
          <w:p w14:paraId="27DD18D5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80E6D08" w14:textId="2C91EF28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4.</w:t>
            </w:r>
            <w:r w:rsidRPr="003D4816">
              <w:rPr>
                <w:b/>
                <w:i/>
              </w:rPr>
              <w:tab/>
              <w:t>Antes de adotar um ato delegado, a Comissão consulta os peritos designados por cada Estado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Membro de acordo com os princípios estabelecidos no Acordo Interinstitucional, de 13 de abril de 2016, sobre legislar melhor.</w:t>
            </w:r>
          </w:p>
        </w:tc>
      </w:tr>
      <w:tr w:rsidR="005166EC" w:rsidRPr="003D4816" w14:paraId="53D459B6" w14:textId="77777777" w:rsidTr="00BA27ED">
        <w:trPr>
          <w:jc w:val="center"/>
        </w:trPr>
        <w:tc>
          <w:tcPr>
            <w:tcW w:w="4876" w:type="dxa"/>
          </w:tcPr>
          <w:p w14:paraId="3505DD76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D0DC1E6" w14:textId="4889FE83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5.</w:t>
            </w:r>
            <w:r w:rsidRPr="003D4816">
              <w:rPr>
                <w:b/>
                <w:i/>
              </w:rPr>
              <w:tab/>
              <w:t>Assim que adotar um ato delegado, a Comissão notifica</w:t>
            </w:r>
            <w:r>
              <w:rPr>
                <w:b/>
                <w:i/>
              </w:rPr>
              <w:noBreakHyphen/>
            </w:r>
            <w:r w:rsidRPr="003D4816">
              <w:rPr>
                <w:b/>
                <w:i/>
              </w:rPr>
              <w:t>o simultaneamente ao Parlamento Europeu e ao Conselho.</w:t>
            </w:r>
          </w:p>
        </w:tc>
      </w:tr>
      <w:tr w:rsidR="005166EC" w:rsidRPr="003D4816" w14:paraId="1A8AD39D" w14:textId="77777777" w:rsidTr="00BA27ED">
        <w:trPr>
          <w:jc w:val="center"/>
        </w:trPr>
        <w:tc>
          <w:tcPr>
            <w:tcW w:w="4876" w:type="dxa"/>
          </w:tcPr>
          <w:p w14:paraId="14828E0F" w14:textId="77777777" w:rsidR="00F61420" w:rsidRPr="003D4816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6F90A159" w14:textId="77777777" w:rsidR="00F61420" w:rsidRPr="003D4816" w:rsidRDefault="00413A6D" w:rsidP="00BA27ED">
            <w:pPr>
              <w:pStyle w:val="Normal6"/>
              <w:rPr>
                <w:szCs w:val="24"/>
              </w:rPr>
            </w:pPr>
            <w:r w:rsidRPr="003D4816">
              <w:rPr>
                <w:b/>
                <w:i/>
              </w:rPr>
              <w:t>6.</w:t>
            </w:r>
            <w:r w:rsidRPr="003D4816">
              <w:rPr>
                <w:b/>
                <w:i/>
              </w:rPr>
              <w:tab/>
              <w:t xml:space="preserve">Os atos delegados adotados nos termos do artigo 4.º só entram em vigor se não tiverem sido formuladas objeções pelo Parlamento Europeu ou pelo Conselho no prazo de dois meses a contar da notificação do ato ao Parlamento Europeu e ao Conselho, ou se, antes do termo desse prazo, o Parlamento Europeu e o Conselho tiverem informado a Comissão de que não têm objeções a </w:t>
            </w:r>
            <w:r w:rsidRPr="003D4816">
              <w:rPr>
                <w:b/>
                <w:i/>
              </w:rPr>
              <w:lastRenderedPageBreak/>
              <w:t>formular. O referido prazo é prorrogável por dois meses por iniciativa do Parlamento Europeu ou do Conselho.</w:t>
            </w:r>
          </w:p>
        </w:tc>
      </w:tr>
    </w:tbl>
    <w:p w14:paraId="5AE4E050" w14:textId="77777777" w:rsidR="00F61420" w:rsidRPr="003D4816" w:rsidRDefault="00413A6D" w:rsidP="00F61420">
      <w:pPr>
        <w:pStyle w:val="Olang"/>
        <w:rPr>
          <w:sz w:val="24"/>
          <w:szCs w:val="24"/>
        </w:rPr>
      </w:pPr>
      <w:r w:rsidRPr="003D4816">
        <w:rPr>
          <w:sz w:val="24"/>
          <w:szCs w:val="24"/>
        </w:rPr>
        <w:lastRenderedPageBreak/>
        <w:t xml:space="preserve">Or. </w:t>
      </w:r>
      <w:r w:rsidRPr="003D4816">
        <w:rPr>
          <w:rStyle w:val="HideTWBExt"/>
        </w:rPr>
        <w:t>&lt;Original&gt;</w:t>
      </w:r>
      <w:r w:rsidRPr="003D4816">
        <w:rPr>
          <w:rStyle w:val="HideTWBInt"/>
          <w:sz w:val="24"/>
          <w:szCs w:val="24"/>
        </w:rPr>
        <w:t>{EN}</w:t>
      </w:r>
      <w:r w:rsidRPr="003D4816">
        <w:rPr>
          <w:sz w:val="24"/>
          <w:szCs w:val="24"/>
        </w:rPr>
        <w:t>en</w:t>
      </w:r>
      <w:r w:rsidRPr="003D4816">
        <w:rPr>
          <w:rStyle w:val="HideTWBExt"/>
        </w:rPr>
        <w:t>&lt;/Original&gt;</w:t>
      </w:r>
    </w:p>
    <w:p w14:paraId="197E3255" w14:textId="77777777" w:rsidR="00F61420" w:rsidRPr="003D4816" w:rsidRDefault="00413A6D" w:rsidP="00F61420">
      <w:r w:rsidRPr="003D4816">
        <w:rPr>
          <w:rStyle w:val="HideTWBExt"/>
        </w:rPr>
        <w:t>&lt;/Amend&gt;&lt;/RepeatBlock-Amend&gt;</w:t>
      </w:r>
    </w:p>
    <w:p w14:paraId="195DB57B" w14:textId="77777777" w:rsidR="00F61420" w:rsidRPr="003D4816" w:rsidRDefault="00F61420" w:rsidP="00F61420"/>
    <w:p w14:paraId="3B07F7EA" w14:textId="77777777" w:rsidR="00F61420" w:rsidRPr="003D4816" w:rsidRDefault="00F61420" w:rsidP="00D30DE2">
      <w:pPr>
        <w:sectPr w:rsidR="00F61420" w:rsidRPr="003D4816" w:rsidSect="003D48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BBEA9BE" w14:textId="77777777" w:rsidR="00F61420" w:rsidRPr="003D4816" w:rsidRDefault="00413A6D" w:rsidP="00F61420">
      <w:pPr>
        <w:pStyle w:val="PageHeading"/>
      </w:pPr>
      <w:bookmarkStart w:id="1" w:name="_Toc231291060"/>
      <w:r w:rsidRPr="003D4816">
        <w:lastRenderedPageBreak/>
        <w:t>EXPOSIÇÃO DE MOTIVOS</w:t>
      </w:r>
      <w:bookmarkEnd w:id="1"/>
    </w:p>
    <w:p w14:paraId="1C82C0C8" w14:textId="213DD14A" w:rsidR="00371C38" w:rsidRPr="003D4816" w:rsidRDefault="00413A6D" w:rsidP="00371C38">
      <w:r w:rsidRPr="003D4816">
        <w:t>Em 16 de julho de 2025, a Comissão apresentou uma série de propostas legislativas para o próximo Quadro Financeiro Plurianual («QFP») da União, que abrange o período de 2028</w:t>
      </w:r>
      <w:r>
        <w:noBreakHyphen/>
      </w:r>
      <w:r w:rsidRPr="003D4816">
        <w:t xml:space="preserve">2034, incluindo a presente proposta. </w:t>
      </w:r>
    </w:p>
    <w:p w14:paraId="5F2A7B91" w14:textId="77777777" w:rsidR="00371C38" w:rsidRPr="003D4816" w:rsidRDefault="00371C38" w:rsidP="00371C38"/>
    <w:p w14:paraId="7BD34B61" w14:textId="77777777" w:rsidR="00371C38" w:rsidRPr="003D4816" w:rsidRDefault="00413A6D" w:rsidP="00371C38">
      <w:r w:rsidRPr="003D4816">
        <w:t>No âmbito do novo quadro orçamental proposto, as medidas da União no domínio da Justiça e dos Assuntos Internos devem ser apoiadas por dotações totais que deverão triplicar (para 81 mil milhões de EUR) em comparação com o quadro atual. A presente proposta é uma das três propostas</w:t>
      </w:r>
      <w:r w:rsidRPr="003D4816">
        <w:rPr>
          <w:vertAlign w:val="superscript"/>
        </w:rPr>
        <w:footnoteReference w:id="2"/>
      </w:r>
      <w:r w:rsidRPr="003D4816">
        <w:t xml:space="preserve"> para suceder aos três fundos existentes no domínio dos assuntos internos</w:t>
      </w:r>
      <w:r w:rsidRPr="003D4816">
        <w:rPr>
          <w:vertAlign w:val="superscript"/>
        </w:rPr>
        <w:footnoteReference w:id="3"/>
      </w:r>
      <w:r w:rsidRPr="003D4816">
        <w:t>.</w:t>
      </w:r>
    </w:p>
    <w:p w14:paraId="73FFC30B" w14:textId="77777777" w:rsidR="00371C38" w:rsidRPr="003D4816" w:rsidRDefault="00371C38" w:rsidP="00371C38"/>
    <w:p w14:paraId="35EA721C" w14:textId="4694A9E9" w:rsidR="00371C38" w:rsidRPr="003D4816" w:rsidRDefault="00413A6D" w:rsidP="00371C38">
      <w:r w:rsidRPr="003D4816">
        <w:t>Segundo a Comissão, a nova arquitetura do QFP e do orçamento visa otimizar a utilização dos fundos da União, preservando simultaneamente a coerência e um acompanhamento eficiente. Neste contexto, os três novos instrumentos no domínio dos assuntos internos devem ser alinhados com as regras horizontais constantes da proposta de regulamento que cria o Fundo Europeu para a Coesão Económica, Territorial e Social, a Agricultura e o Meio Rural, as Pescas e o Setor Marítimo, a Prosperidade e a Segurança para o perí</w:t>
      </w:r>
      <w:r w:rsidRPr="003D4816">
        <w:t>odo 2028</w:t>
      </w:r>
      <w:r>
        <w:noBreakHyphen/>
      </w:r>
      <w:r w:rsidRPr="003D4816">
        <w:t>2034</w:t>
      </w:r>
      <w:r w:rsidRPr="003D4816">
        <w:rPr>
          <w:vertAlign w:val="superscript"/>
        </w:rPr>
        <w:footnoteReference w:id="4"/>
      </w:r>
      <w:r w:rsidRPr="003D4816">
        <w:t>, através dos chamados Planos de Parceria Nacionais e Regionais (Planos PNR), que serão elaborados por e para cada Estado</w:t>
      </w:r>
      <w:r>
        <w:noBreakHyphen/>
      </w:r>
      <w:r w:rsidRPr="003D4816">
        <w:t xml:space="preserve">Membro. O apoio financeiro correspondente pode ser complementado pelos fundos atribuídos através de um «mecanismo UE» para ações da União que aumenta a flexibilidade e pode dar resposta a crises imprevistas. </w:t>
      </w:r>
    </w:p>
    <w:p w14:paraId="7E287269" w14:textId="77777777" w:rsidR="00371C38" w:rsidRPr="003D4816" w:rsidRDefault="00371C38" w:rsidP="00371C38"/>
    <w:p w14:paraId="70BA28F7" w14:textId="5296E82B" w:rsidR="00371C38" w:rsidRPr="003D4816" w:rsidRDefault="00413A6D" w:rsidP="00371C38">
      <w:r w:rsidRPr="003D4816">
        <w:t>Devido ao facto de nem todos os Estados</w:t>
      </w:r>
      <w:r>
        <w:noBreakHyphen/>
      </w:r>
      <w:r w:rsidRPr="003D4816">
        <w:t xml:space="preserve">Membros participarem na mesma medida no espaço de liberdade, segurança e justiça da União («geometria variável»), os três instrumentos no domínio dos assuntos internos foram apresentados juntamente com o Fundo PNR, em vez de nele incorporados. Os países associados ao espaço Schengen devem participar através de contribuições financeiras decididas no âmbito de acordos bilaterais com a UE. </w:t>
      </w:r>
    </w:p>
    <w:p w14:paraId="30C291A1" w14:textId="77777777" w:rsidR="00371C38" w:rsidRPr="003D4816" w:rsidRDefault="00371C38" w:rsidP="00371C38"/>
    <w:p w14:paraId="335997BE" w14:textId="2B98FE6A" w:rsidR="00371C38" w:rsidRPr="003D4816" w:rsidRDefault="00413A6D" w:rsidP="00371C38">
      <w:r w:rsidRPr="003D4816">
        <w:t>A presente proposta de regulamento que estabelece o apoio da União à segurança interna para o período de 2028 a 2034 integra</w:t>
      </w:r>
      <w:r>
        <w:noBreakHyphen/>
      </w:r>
      <w:r w:rsidRPr="003D4816">
        <w:t xml:space="preserve">se nesse esforço. A proposta da Comissão prevê um orçamento de 6,8 mil milhões de EUR para o período de 2028 a 2034. Estabelece igualmente regras e objetivos setoriais específicos que complementam as regras horizontais gerais acima referidas no âmbito dos planos PNR. </w:t>
      </w:r>
    </w:p>
    <w:p w14:paraId="0F1F2E17" w14:textId="77777777" w:rsidR="00371C38" w:rsidRPr="003D4816" w:rsidRDefault="00371C38" w:rsidP="00371C38"/>
    <w:p w14:paraId="3A37E892" w14:textId="681B0463" w:rsidR="00371C38" w:rsidRPr="003D4816" w:rsidRDefault="00413A6D" w:rsidP="00371C38">
      <w:r w:rsidRPr="003D4816">
        <w:t>A relatora apoia a arquitetura global do QFP 2028</w:t>
      </w:r>
      <w:r>
        <w:noBreakHyphen/>
      </w:r>
      <w:r w:rsidRPr="003D4816">
        <w:t xml:space="preserve">2024. Propõe uma série de clarificações ao Regulamento Segurança Interna, a fim de alinhar o instrumento com os desafios mais </w:t>
      </w:r>
      <w:r w:rsidRPr="003D4816">
        <w:lastRenderedPageBreak/>
        <w:t>prementes da Europa em matéria de segurança interna e permitir um controlo adequado da utilização dos fundos da UE.</w:t>
      </w:r>
    </w:p>
    <w:p w14:paraId="0DE1F612" w14:textId="77777777" w:rsidR="00371C38" w:rsidRPr="003D4816" w:rsidRDefault="00371C38" w:rsidP="00371C38"/>
    <w:p w14:paraId="30A9B987" w14:textId="77777777" w:rsidR="00371C38" w:rsidRPr="003D4816" w:rsidRDefault="00413A6D" w:rsidP="00371C38">
      <w:r w:rsidRPr="003D4816">
        <w:t xml:space="preserve">A relatora apoia os seguintes objetivos da proposta de regulamento: </w:t>
      </w:r>
    </w:p>
    <w:p w14:paraId="7A3F313A" w14:textId="3C8C39EE" w:rsidR="00371C38" w:rsidRPr="003D4816" w:rsidRDefault="00413A6D" w:rsidP="000E4437">
      <w:pPr>
        <w:ind w:left="720" w:hanging="360"/>
      </w:pPr>
      <w:r w:rsidRPr="003D4816">
        <w:rPr>
          <w:rFonts w:ascii="Abadi" w:hAnsi="Abadi"/>
        </w:rPr>
        <w:t>­</w:t>
      </w:r>
      <w:r w:rsidRPr="003D4816">
        <w:rPr>
          <w:rFonts w:ascii="Abadi" w:hAnsi="Abadi"/>
        </w:rPr>
        <w:tab/>
      </w:r>
      <w:r w:rsidRPr="003D4816">
        <w:t>Reforçar as capacidades da União e dos Estados</w:t>
      </w:r>
      <w:r>
        <w:noBreakHyphen/>
      </w:r>
      <w:r w:rsidRPr="003D4816">
        <w:t>Membros relativamente à prevenção e ao combate contra a criminalidade grave e organizada, em linha e fora de linha, incluindo a radicalização e o terrorismo, o extremismo violento, a cibercriminalidade, o abuso e a exploração sexual de crianças e as ameaças híbridas, bem como relativamente à proteção dos cidadãos e dos espaços públicos contra ataques, nomeadamente através de métodos inovadores e de novas tecnologias no domínio da segurança interna;</w:t>
      </w:r>
    </w:p>
    <w:p w14:paraId="65507F52" w14:textId="44D4A3C9" w:rsidR="00371C38" w:rsidRPr="003D4816" w:rsidRDefault="00413A6D" w:rsidP="000E4437">
      <w:pPr>
        <w:ind w:left="720" w:hanging="360"/>
      </w:pPr>
      <w:r w:rsidRPr="003D4816">
        <w:rPr>
          <w:rFonts w:ascii="Abadi" w:hAnsi="Abadi"/>
        </w:rPr>
        <w:t>­</w:t>
      </w:r>
      <w:r w:rsidRPr="003D4816">
        <w:rPr>
          <w:rFonts w:ascii="Abadi" w:hAnsi="Abadi"/>
        </w:rPr>
        <w:tab/>
      </w:r>
      <w:r w:rsidRPr="003D4816">
        <w:t>Promover as capacidades dos Estados</w:t>
      </w:r>
      <w:r>
        <w:noBreakHyphen/>
      </w:r>
      <w:r w:rsidRPr="003D4816">
        <w:t>Membros, reforçando a resiliência das entidades críticas contra atos hostis, e gerindo incidentes, riscos e crises relacionados com a segurança, nomeadamente através de sistemas de comunicação críticos e interoperáveis;</w:t>
      </w:r>
    </w:p>
    <w:p w14:paraId="5C31535D" w14:textId="77777777" w:rsidR="00371C38" w:rsidRPr="003D4816" w:rsidRDefault="00413A6D" w:rsidP="000E4437">
      <w:pPr>
        <w:ind w:left="720" w:hanging="360"/>
      </w:pPr>
      <w:r w:rsidRPr="003D4816">
        <w:rPr>
          <w:rFonts w:ascii="Abadi" w:hAnsi="Abadi"/>
        </w:rPr>
        <w:t>­</w:t>
      </w:r>
      <w:r w:rsidRPr="003D4816">
        <w:rPr>
          <w:rFonts w:ascii="Abadi" w:hAnsi="Abadi"/>
        </w:rPr>
        <w:tab/>
      </w:r>
      <w:r w:rsidRPr="003D4816">
        <w:t>Melhorar e facilitar o intercâmbio de informações a nível interno e entre as autoridades competentes e os órgãos e organismos pertinentes da União, bem como, sempre que adequado, com países terceiros, organizações internacionais e entidades privadas;</w:t>
      </w:r>
    </w:p>
    <w:p w14:paraId="6B580A2C" w14:textId="77777777" w:rsidR="00371C38" w:rsidRPr="003D4816" w:rsidRDefault="00413A6D" w:rsidP="000E4437">
      <w:pPr>
        <w:ind w:left="720" w:hanging="360"/>
      </w:pPr>
      <w:r w:rsidRPr="003D4816">
        <w:rPr>
          <w:rFonts w:ascii="Abadi" w:hAnsi="Abadi"/>
        </w:rPr>
        <w:t>­</w:t>
      </w:r>
      <w:r w:rsidRPr="003D4816">
        <w:rPr>
          <w:rFonts w:ascii="Abadi" w:hAnsi="Abadi"/>
        </w:rPr>
        <w:tab/>
      </w:r>
      <w:r w:rsidRPr="003D4816">
        <w:t>Melhorar e intensificar a cooperação operacional em matéria de aplicação da lei, incluindo operações conjuntas, entre as autoridades competentes relativamente à prevenção e ao combate da criminalidade grave e organizada, em linha e fora de linha, incluindo o terrorismo, o extremismo violento, a cibercriminalidade, o abuso e a exploração sexual de crianças e as ameaças híbridas, bem como relativamente à proteção dos cidadãos e dos espaços públicos contra ataques.</w:t>
      </w:r>
    </w:p>
    <w:p w14:paraId="2B8B2FB3" w14:textId="77777777" w:rsidR="00371C38" w:rsidRPr="003D4816" w:rsidRDefault="00413A6D" w:rsidP="000E4437">
      <w:pPr>
        <w:ind w:left="720" w:hanging="360"/>
      </w:pPr>
      <w:r w:rsidRPr="003D4816">
        <w:rPr>
          <w:rFonts w:ascii="Abadi" w:hAnsi="Abadi"/>
        </w:rPr>
        <w:t>­</w:t>
      </w:r>
      <w:r w:rsidRPr="003D4816">
        <w:rPr>
          <w:rFonts w:ascii="Abadi" w:hAnsi="Abadi"/>
        </w:rPr>
        <w:tab/>
      </w:r>
      <w:r w:rsidRPr="003D4816">
        <w:t xml:space="preserve">Reforçar o apoio, a proteção e a assistência às vítimas da criminalidade grave e organizada, nomeadamente garantindo o acesso às autoridades competentes, à informação e aos serviços especializados, prestando especial </w:t>
      </w:r>
      <w:r w:rsidRPr="003D4816">
        <w:t>atenção às vítimas vulneráveis.</w:t>
      </w:r>
    </w:p>
    <w:p w14:paraId="15B1A74B" w14:textId="77777777" w:rsidR="00371C38" w:rsidRPr="003D4816" w:rsidRDefault="00371C38" w:rsidP="00371C38"/>
    <w:p w14:paraId="5B6BA3BD" w14:textId="7E3E2417" w:rsidR="00371C38" w:rsidRPr="003D4816" w:rsidRDefault="00413A6D" w:rsidP="00371C38">
      <w:r w:rsidRPr="003D4816">
        <w:t>Por último, nos termos da proposta de regulamento relativo às parcerias nacionais e regionais, os Estados</w:t>
      </w:r>
      <w:r>
        <w:noBreakHyphen/>
      </w:r>
      <w:r w:rsidRPr="003D4816">
        <w:t>Membros podem derrogar regras e requisitos em matéria de parceria e governação a vários níveis no domínio dos assuntos internos. Além disso, podem reafetar fundos entre os três instrumentos, desde que a reafetação sirva para alcançar cada um dos objetivos fixados nesses instrumentos e que a afetação seja proporcional aos desafios e necessidades identificados e respeite os requisitos gerais dos planos PNR.</w:t>
      </w:r>
    </w:p>
    <w:p w14:paraId="4B756C0A" w14:textId="77777777" w:rsidR="00F61420" w:rsidRPr="003D4816" w:rsidRDefault="00F61420" w:rsidP="00371C38"/>
    <w:sectPr w:rsidR="00F61420" w:rsidRPr="003D4816" w:rsidSect="00F614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F9044" w14:textId="77777777" w:rsidR="00413A6D" w:rsidRPr="003D4816" w:rsidRDefault="00413A6D">
      <w:r w:rsidRPr="003D4816">
        <w:separator/>
      </w:r>
    </w:p>
  </w:endnote>
  <w:endnote w:type="continuationSeparator" w:id="0">
    <w:p w14:paraId="103BD9AB" w14:textId="77777777" w:rsidR="00413A6D" w:rsidRPr="003D4816" w:rsidRDefault="00413A6D">
      <w:r w:rsidRPr="003D4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A4CF" w14:textId="649B8827" w:rsidR="003D4816" w:rsidRPr="003D4816" w:rsidRDefault="003D4816" w:rsidP="003D4816">
    <w:pPr>
      <w:pStyle w:val="EPFooter"/>
    </w:pPr>
    <w:r w:rsidRPr="003D4816">
      <w:t>PE</w:t>
    </w:r>
    <w:r w:rsidRPr="003D4816">
      <w:rPr>
        <w:rStyle w:val="HideTWBExt"/>
      </w:rPr>
      <w:t>&lt;NoPE&gt;</w:t>
    </w:r>
    <w:r w:rsidRPr="003D4816">
      <w:t>788.869</w:t>
    </w:r>
    <w:r w:rsidRPr="003D4816">
      <w:rPr>
        <w:rStyle w:val="HideTWBExt"/>
      </w:rPr>
      <w:t>&lt;/NoPE&gt;&lt;Version&gt;</w:t>
    </w:r>
    <w:r w:rsidRPr="003D4816">
      <w:t>v01</w:t>
    </w:r>
    <w:r w:rsidR="00413A6D">
      <w:noBreakHyphen/>
    </w:r>
    <w:r w:rsidRPr="003D4816">
      <w:t>00</w:t>
    </w:r>
    <w:r w:rsidRPr="003D4816">
      <w:rPr>
        <w:rStyle w:val="HideTWBExt"/>
      </w:rPr>
      <w:t>&lt;/Version&gt;</w:t>
    </w:r>
    <w:r w:rsidRPr="003D4816">
      <w:tab/>
    </w:r>
    <w:r w:rsidRPr="003D4816">
      <w:fldChar w:fldCharType="begin"/>
    </w:r>
    <w:r w:rsidRPr="003D4816">
      <w:instrText xml:space="preserve"> PAGE  \* MERGEFORMAT </w:instrText>
    </w:r>
    <w:r w:rsidRPr="003D4816">
      <w:fldChar w:fldCharType="separate"/>
    </w:r>
    <w:r w:rsidRPr="003D4816">
      <w:rPr>
        <w:noProof/>
      </w:rPr>
      <w:t>1</w:t>
    </w:r>
    <w:r w:rsidRPr="003D4816">
      <w:fldChar w:fldCharType="end"/>
    </w:r>
    <w:r w:rsidRPr="003D4816">
      <w:t>/</w:t>
    </w:r>
    <w:fldSimple w:instr=" NUMPAGES  \* MERGEFORMAT ">
      <w:r w:rsidRPr="003D4816">
        <w:rPr>
          <w:noProof/>
        </w:rPr>
        <w:t>1</w:t>
      </w:r>
    </w:fldSimple>
    <w:r w:rsidRPr="003D4816">
      <w:tab/>
    </w:r>
    <w:r w:rsidRPr="003D4816">
      <w:rPr>
        <w:rStyle w:val="HideTWBExt"/>
      </w:rPr>
      <w:t>&lt;PathFdR&gt;</w:t>
    </w:r>
    <w:r w:rsidRPr="003D4816">
      <w:t>PR\1343889PT.docx</w:t>
    </w:r>
    <w:r w:rsidRPr="003D4816">
      <w:rPr>
        <w:rStyle w:val="HideTWBExt"/>
      </w:rPr>
      <w:t>&lt;/PathFdR&gt;</w:t>
    </w:r>
  </w:p>
  <w:p w14:paraId="6943EA18" w14:textId="0A6060F3" w:rsidR="00FB52FE" w:rsidRPr="003D4816" w:rsidRDefault="003D4816" w:rsidP="003D4816">
    <w:pPr>
      <w:pStyle w:val="EPFooter2"/>
    </w:pPr>
    <w:r w:rsidRPr="003D481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F052" w14:textId="00D50FE3" w:rsidR="003D4816" w:rsidRPr="003D4816" w:rsidRDefault="003D4816" w:rsidP="003D4816">
    <w:pPr>
      <w:pStyle w:val="EPFooter"/>
    </w:pPr>
    <w:r w:rsidRPr="003D4816">
      <w:rPr>
        <w:rStyle w:val="HideTWBExt"/>
      </w:rPr>
      <w:t>&lt;PathFdR&gt;</w:t>
    </w:r>
    <w:r w:rsidRPr="003D4816">
      <w:t>PR\1343889PT.docx</w:t>
    </w:r>
    <w:r w:rsidRPr="003D4816">
      <w:rPr>
        <w:rStyle w:val="HideTWBExt"/>
      </w:rPr>
      <w:t>&lt;/PathFdR&gt;</w:t>
    </w:r>
    <w:r w:rsidRPr="003D4816">
      <w:tab/>
    </w:r>
    <w:r w:rsidRPr="003D4816">
      <w:fldChar w:fldCharType="begin"/>
    </w:r>
    <w:r w:rsidRPr="003D4816">
      <w:instrText xml:space="preserve"> PAGE  \* MERGEFORMAT </w:instrText>
    </w:r>
    <w:r w:rsidRPr="003D4816">
      <w:fldChar w:fldCharType="separate"/>
    </w:r>
    <w:r w:rsidRPr="003D4816">
      <w:rPr>
        <w:noProof/>
      </w:rPr>
      <w:t>1</w:t>
    </w:r>
    <w:r w:rsidRPr="003D4816">
      <w:fldChar w:fldCharType="end"/>
    </w:r>
    <w:r w:rsidRPr="003D4816">
      <w:t>/</w:t>
    </w:r>
    <w:fldSimple w:instr=" NUMPAGES  \* MERGEFORMAT ">
      <w:r w:rsidRPr="003D4816">
        <w:rPr>
          <w:noProof/>
        </w:rPr>
        <w:t>1</w:t>
      </w:r>
    </w:fldSimple>
    <w:r w:rsidRPr="003D4816">
      <w:tab/>
      <w:t>PE</w:t>
    </w:r>
    <w:r w:rsidRPr="003D4816">
      <w:rPr>
        <w:rStyle w:val="HideTWBExt"/>
      </w:rPr>
      <w:t>&lt;NoPE&gt;</w:t>
    </w:r>
    <w:r w:rsidRPr="003D4816">
      <w:t>788.869</w:t>
    </w:r>
    <w:r w:rsidRPr="003D4816">
      <w:rPr>
        <w:rStyle w:val="HideTWBExt"/>
      </w:rPr>
      <w:t>&lt;/NoPE&gt;&lt;Version&gt;</w:t>
    </w:r>
    <w:r w:rsidRPr="003D4816">
      <w:t>v01</w:t>
    </w:r>
    <w:r w:rsidR="00413A6D">
      <w:noBreakHyphen/>
    </w:r>
    <w:r w:rsidRPr="003D4816">
      <w:t>00</w:t>
    </w:r>
    <w:r w:rsidRPr="003D4816">
      <w:rPr>
        <w:rStyle w:val="HideTWBExt"/>
      </w:rPr>
      <w:t>&lt;/Version&gt;</w:t>
    </w:r>
  </w:p>
  <w:p w14:paraId="0E6FC841" w14:textId="3EEC8D69" w:rsidR="00FB52FE" w:rsidRPr="003D4816" w:rsidRDefault="003D4816" w:rsidP="003D4816">
    <w:pPr>
      <w:pStyle w:val="EPFooter2"/>
    </w:pPr>
    <w:r w:rsidRPr="003D4816">
      <w:tab/>
    </w:r>
    <w:r w:rsidRPr="003D481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D25F4" w14:textId="0C258E74" w:rsidR="003D4816" w:rsidRPr="003D4816" w:rsidRDefault="003D4816" w:rsidP="003D4816">
    <w:pPr>
      <w:pStyle w:val="EPFooter"/>
    </w:pPr>
    <w:r w:rsidRPr="003D4816">
      <w:rPr>
        <w:rStyle w:val="HideTWBExt"/>
      </w:rPr>
      <w:t>&lt;PathFdR&gt;</w:t>
    </w:r>
    <w:r w:rsidRPr="003D4816">
      <w:t>PR\1343889PT.docx</w:t>
    </w:r>
    <w:r w:rsidRPr="003D4816">
      <w:rPr>
        <w:rStyle w:val="HideTWBExt"/>
      </w:rPr>
      <w:t>&lt;/PathFdR&gt;</w:t>
    </w:r>
    <w:r w:rsidRPr="003D4816">
      <w:tab/>
    </w:r>
    <w:r w:rsidRPr="003D4816">
      <w:tab/>
      <w:t>PE</w:t>
    </w:r>
    <w:r w:rsidRPr="003D4816">
      <w:rPr>
        <w:rStyle w:val="HideTWBExt"/>
      </w:rPr>
      <w:t>&lt;NoPE&gt;</w:t>
    </w:r>
    <w:r w:rsidRPr="003D4816">
      <w:t>788.869</w:t>
    </w:r>
    <w:r w:rsidRPr="003D4816">
      <w:rPr>
        <w:rStyle w:val="HideTWBExt"/>
      </w:rPr>
      <w:t>&lt;/NoPE&gt;&lt;Version&gt;</w:t>
    </w:r>
    <w:r w:rsidRPr="003D4816">
      <w:t>v01</w:t>
    </w:r>
    <w:r w:rsidR="00413A6D">
      <w:noBreakHyphen/>
    </w:r>
    <w:r w:rsidRPr="003D4816">
      <w:t>00</w:t>
    </w:r>
    <w:r w:rsidRPr="003D4816">
      <w:rPr>
        <w:rStyle w:val="HideTWBExt"/>
      </w:rPr>
      <w:t>&lt;/Version&gt;</w:t>
    </w:r>
  </w:p>
  <w:p w14:paraId="5545507A" w14:textId="79CD8637" w:rsidR="00FB52FE" w:rsidRPr="003D4816" w:rsidRDefault="003D4816" w:rsidP="003D4816">
    <w:pPr>
      <w:pStyle w:val="EPFooter2"/>
    </w:pPr>
    <w:r w:rsidRPr="003D4816">
      <w:t>PT</w:t>
    </w:r>
    <w:r w:rsidRPr="003D4816">
      <w:tab/>
    </w:r>
    <w:r w:rsidRPr="003D4816">
      <w:rPr>
        <w:b w:val="0"/>
        <w:i/>
        <w:color w:val="C0C0C0"/>
        <w:sz w:val="22"/>
      </w:rPr>
      <w:t>Unida na diversidade</w:t>
    </w:r>
    <w:r w:rsidRPr="003D4816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5D223" w14:textId="77777777" w:rsidR="005E55C1" w:rsidRPr="003D4816" w:rsidRDefault="00413A6D">
      <w:r w:rsidRPr="003D4816">
        <w:separator/>
      </w:r>
    </w:p>
  </w:footnote>
  <w:footnote w:type="continuationSeparator" w:id="0">
    <w:p w14:paraId="6F31614C" w14:textId="77777777" w:rsidR="005E55C1" w:rsidRPr="003D4816" w:rsidRDefault="00413A6D">
      <w:r w:rsidRPr="003D4816">
        <w:continuationSeparator/>
      </w:r>
    </w:p>
  </w:footnote>
  <w:footnote w:id="1">
    <w:p w14:paraId="2FAAE16E" w14:textId="77777777" w:rsidR="009E7232" w:rsidRPr="003D4816" w:rsidRDefault="00413A6D" w:rsidP="009E7232">
      <w:pPr>
        <w:pStyle w:val="FootnoteText"/>
      </w:pPr>
      <w:r w:rsidRPr="003D4816">
        <w:rPr>
          <w:rStyle w:val="FootnoteReference"/>
          <w:sz w:val="24"/>
          <w:szCs w:val="24"/>
        </w:rPr>
        <w:footnoteRef/>
      </w:r>
      <w:r w:rsidRPr="003D4816">
        <w:t xml:space="preserve"> Ainda não publicado no Jornal Oficial.</w:t>
      </w:r>
    </w:p>
  </w:footnote>
  <w:footnote w:id="2">
    <w:p w14:paraId="4996FE6B" w14:textId="3DA7DF36" w:rsidR="00371C38" w:rsidRPr="003D4816" w:rsidRDefault="00413A6D" w:rsidP="00371C38">
      <w:pPr>
        <w:pStyle w:val="FootnoteText"/>
      </w:pPr>
      <w:r w:rsidRPr="003D4816">
        <w:rPr>
          <w:rStyle w:val="FootnoteReference"/>
        </w:rPr>
        <w:footnoteRef/>
      </w:r>
      <w:r w:rsidRPr="003D4816">
        <w:t xml:space="preserve"> Os outros instrumentos no domínio dos assuntos internos para o período de 2028</w:t>
      </w:r>
      <w:r>
        <w:noBreakHyphen/>
      </w:r>
      <w:r w:rsidRPr="003D4816">
        <w:t>2034, para além da presente proposta, são a proposta de regulamento que estabelece o apoio da União ao asilo, à migração e à integração para o período de 2028 a 2034 (2025/0540(COD)) e a proposta de regulamento que estabelece o apoio da União ao espaço Schengen, à gestão europeia integrada das fronteiras e à política comum de vistos para o período de 2028 a 2034 (2025/0541(COD))</w:t>
      </w:r>
    </w:p>
  </w:footnote>
  <w:footnote w:id="3">
    <w:p w14:paraId="40AB3752" w14:textId="77777777" w:rsidR="00371C38" w:rsidRPr="003D4816" w:rsidRDefault="00413A6D" w:rsidP="00371C38">
      <w:pPr>
        <w:pStyle w:val="FootnoteText"/>
      </w:pPr>
      <w:r w:rsidRPr="003D4816">
        <w:rPr>
          <w:rStyle w:val="FootnoteReference"/>
        </w:rPr>
        <w:footnoteRef/>
      </w:r>
      <w:r w:rsidRPr="003D4816">
        <w:t xml:space="preserve"> Nomeadamente o Regulamento (UE) 2021/1148, de 7 de julho de 2021, que cria, no âmbito do Fundo de Gestão Integrada das Fronteiras, o Instrumento de Apoio Financeiro à Gestão das Fronteiras e à Política de Vistos: Espaço Schengen, para a gestão europeia integrada das fronteiras e para a política comum de vistos; Regulamento (UE) 2021/1147, de 7 de julho de 2021, que cria o Fundo para o Asilo, a Migração e a Integração; Regulamento (UE) 2021/1149, de 7 de julho de 2021, que cria o Fundo para a Segurança Inte</w:t>
      </w:r>
      <w:r w:rsidRPr="003D4816">
        <w:t>rna (FSI: segurança interna);</w:t>
      </w:r>
    </w:p>
  </w:footnote>
  <w:footnote w:id="4">
    <w:p w14:paraId="03762693" w14:textId="47BD14FE" w:rsidR="00371C38" w:rsidRPr="003D4816" w:rsidRDefault="00413A6D" w:rsidP="00371C38">
      <w:pPr>
        <w:pStyle w:val="FootnoteText"/>
      </w:pPr>
      <w:r w:rsidRPr="003D4816">
        <w:rPr>
          <w:rStyle w:val="FootnoteReference"/>
        </w:rPr>
        <w:footnoteRef/>
      </w:r>
      <w:r w:rsidRPr="003D4816">
        <w:t xml:space="preserve"> Proposta de regulamento que cria o Fundo Europeu para a Coesão Económica, Territorial e Social, a Agricultura e o Meio Rural, as Pescas e o Setor Marítimo, a Prosperidade e a Segurança para o período 2028</w:t>
      </w:r>
      <w:r>
        <w:noBreakHyphen/>
      </w:r>
      <w:r w:rsidRPr="003D4816">
        <w:t>2034 e que altera o Regulamento (UE) 2023/955 e o Regulamento (UE, Euratom) 2024/2509 (2025/0240 (COD)) (proposta Plano PNR)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D60E" w14:textId="77777777" w:rsidR="00413A6D" w:rsidRDefault="00413A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1805" w14:textId="77777777" w:rsidR="00413A6D" w:rsidRDefault="00413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9745" w14:textId="77777777" w:rsidR="00413A6D" w:rsidRDefault="00413A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D12D64"/>
    <w:multiLevelType w:val="hybridMultilevel"/>
    <w:tmpl w:val="FD3A57EA"/>
    <w:lvl w:ilvl="0" w:tplc="5744397E">
      <w:start w:val="1"/>
      <w:numFmt w:val="bullet"/>
      <w:lvlText w:val="­"/>
      <w:lvlJc w:val="left"/>
      <w:pPr>
        <w:ind w:left="720" w:hanging="360"/>
      </w:pPr>
      <w:rPr>
        <w:rFonts w:ascii="Abadi" w:hAnsi="Abadi" w:hint="default"/>
      </w:rPr>
    </w:lvl>
    <w:lvl w:ilvl="1" w:tplc="085E64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E3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8EA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C31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CCA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CC1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6028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D0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92420">
    <w:abstractNumId w:val="9"/>
  </w:num>
  <w:num w:numId="2" w16cid:durableId="2109346214">
    <w:abstractNumId w:val="9"/>
  </w:num>
  <w:num w:numId="3" w16cid:durableId="1931766737">
    <w:abstractNumId w:val="7"/>
  </w:num>
  <w:num w:numId="4" w16cid:durableId="1911427930">
    <w:abstractNumId w:val="7"/>
  </w:num>
  <w:num w:numId="5" w16cid:durableId="678313201">
    <w:abstractNumId w:val="6"/>
  </w:num>
  <w:num w:numId="6" w16cid:durableId="1438524128">
    <w:abstractNumId w:val="6"/>
  </w:num>
  <w:num w:numId="7" w16cid:durableId="40984651">
    <w:abstractNumId w:val="5"/>
  </w:num>
  <w:num w:numId="8" w16cid:durableId="972250863">
    <w:abstractNumId w:val="5"/>
  </w:num>
  <w:num w:numId="9" w16cid:durableId="1998922216">
    <w:abstractNumId w:val="4"/>
  </w:num>
  <w:num w:numId="10" w16cid:durableId="1626159926">
    <w:abstractNumId w:val="4"/>
  </w:num>
  <w:num w:numId="11" w16cid:durableId="1006396419">
    <w:abstractNumId w:val="8"/>
  </w:num>
  <w:num w:numId="12" w16cid:durableId="2029408690">
    <w:abstractNumId w:val="8"/>
  </w:num>
  <w:num w:numId="13" w16cid:durableId="1510022016">
    <w:abstractNumId w:val="3"/>
  </w:num>
  <w:num w:numId="14" w16cid:durableId="1805734978">
    <w:abstractNumId w:val="3"/>
  </w:num>
  <w:num w:numId="15" w16cid:durableId="1003238883">
    <w:abstractNumId w:val="2"/>
  </w:num>
  <w:num w:numId="16" w16cid:durableId="477840440">
    <w:abstractNumId w:val="2"/>
  </w:num>
  <w:num w:numId="17" w16cid:durableId="1282767247">
    <w:abstractNumId w:val="1"/>
  </w:num>
  <w:num w:numId="18" w16cid:durableId="441802740">
    <w:abstractNumId w:val="1"/>
  </w:num>
  <w:num w:numId="19" w16cid:durableId="1283265386">
    <w:abstractNumId w:val="0"/>
  </w:num>
  <w:num w:numId="20" w16cid:durableId="1154878900">
    <w:abstractNumId w:val="0"/>
  </w:num>
  <w:num w:numId="21" w16cid:durableId="561645368">
    <w:abstractNumId w:val="9"/>
  </w:num>
  <w:num w:numId="22" w16cid:durableId="2136747713">
    <w:abstractNumId w:val="7"/>
  </w:num>
  <w:num w:numId="23" w16cid:durableId="1639645318">
    <w:abstractNumId w:val="6"/>
  </w:num>
  <w:num w:numId="24" w16cid:durableId="1272398404">
    <w:abstractNumId w:val="5"/>
  </w:num>
  <w:num w:numId="25" w16cid:durableId="1364095337">
    <w:abstractNumId w:val="4"/>
  </w:num>
  <w:num w:numId="26" w16cid:durableId="1060135053">
    <w:abstractNumId w:val="8"/>
  </w:num>
  <w:num w:numId="27" w16cid:durableId="585650942">
    <w:abstractNumId w:val="3"/>
  </w:num>
  <w:num w:numId="28" w16cid:durableId="609354727">
    <w:abstractNumId w:val="2"/>
  </w:num>
  <w:num w:numId="29" w16cid:durableId="579145952">
    <w:abstractNumId w:val="1"/>
  </w:num>
  <w:num w:numId="30" w16cid:durableId="1852714680">
    <w:abstractNumId w:val="0"/>
  </w:num>
  <w:num w:numId="31" w16cid:durableId="640840700">
    <w:abstractNumId w:val="9"/>
  </w:num>
  <w:num w:numId="32" w16cid:durableId="1256204812">
    <w:abstractNumId w:val="7"/>
  </w:num>
  <w:num w:numId="33" w16cid:durableId="658849252">
    <w:abstractNumId w:val="6"/>
  </w:num>
  <w:num w:numId="34" w16cid:durableId="1598636812">
    <w:abstractNumId w:val="5"/>
  </w:num>
  <w:num w:numId="35" w16cid:durableId="1224753247">
    <w:abstractNumId w:val="4"/>
  </w:num>
  <w:num w:numId="36" w16cid:durableId="1791047919">
    <w:abstractNumId w:val="8"/>
  </w:num>
  <w:num w:numId="37" w16cid:durableId="705444392">
    <w:abstractNumId w:val="3"/>
  </w:num>
  <w:num w:numId="38" w16cid:durableId="1545096093">
    <w:abstractNumId w:val="2"/>
  </w:num>
  <w:num w:numId="39" w16cid:durableId="649477852">
    <w:abstractNumId w:val="1"/>
  </w:num>
  <w:num w:numId="40" w16cid:durableId="948590604">
    <w:abstractNumId w:val="0"/>
  </w:num>
  <w:num w:numId="41" w16cid:durableId="220286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JMNU" w:val="1"/>
    <w:docVar w:name="COMKEY" w:val="LIBE"/>
    <w:docVar w:name="CopyToNetwork" w:val="-1"/>
    <w:docVar w:name="DOCDT" w:val="18/05/2026"/>
    <w:docVar w:name="DOCMNU" w:val=" 1"/>
    <w:docVar w:name="EPSTATMNU" w:val=" 5"/>
    <w:docVar w:name="EVABUDGMNU" w:val=" 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896489 HideTWBExt;}{\*\cs18 \additive \v\f1\fs20\cf15 _x000d__x000a_\spriority0 \styrsid3896489 HideTWBInt;}{\s19\ql \li0\ri0\sa120\nowidctlpar\wrapdefault\aspalpha\aspnum\faauto\adjustright\rin0\lin0\itap0 \rtlch\fcs1 \af0\afs20\alang1025 \ltrch\fcs0 \fs24\lang2057\langfe2057\cgrid\langnp2057\langfenp2057 _x000d__x000a_\sbasedon0 \snext19 \spriority0 \styrsid3896489 Normal6a;}{\s20\ql \li0\ri0\nowidctlpar\wrapdefault\aspalpha\aspnum\faauto\adjustright\rin0\lin0\itap0 \rtlch\fcs1 \af0\afs20\alang1025 \ltrch\fcs0 \b\fs24\lang2057\langfe2057\cgrid\langnp2057\langfenp2057 _x000d__x000a_\sbasedon0 \snext20 \spriority0 \styrsid3896489 NormalBold;}{\s21\ql \li0\ri0\sa240\nowidctlpar\wrapdefault\aspalpha\aspnum\faauto\adjustright\rin0\lin0\itap0 \rtlch\fcs1 \af0\afs20\alang1025 \ltrch\fcs0 _x000d__x000a_\i\fs24\lang2057\langfe2057\cgrid\langnp2057\langfenp2057 \sbasedon0 \snext21 \spriority0 \styrsid3896489 AmJustText;}{\s22\qc \li0\ri0\sb240\sa240\nowidctlpar\wrapdefault\aspalpha\aspnum\faauto\adjustright\rin0\lin0\itap0 \rtlch\fcs1 _x000d__x000a_\af0\afs20\alang1025 \ltrch\fcs0 \i\fs24\lang2057\langfe2057\cgrid\langnp2057\langfenp2057 \sbasedon0 \snext22 \spriority0 \styrsid389648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896489 AmJustTitle;}{\s24\qr \li0\ri0\sb240\sa240\nowidctlpar\wrapdefault\aspalpha\aspnum\faauto\adjustright\rin0\lin0\itap0 \rtlch\fcs1 \af0\afs20\alang1025 \ltrch\fcs0 _x000d__x000a_\fs24\lang2057\langfe2057\cgrid\langnp2057\langfenp2057 \sbasedon0 \snext24 \spriority0 \styrsid3896489 AmOrLang;}{\s25\qc \li0\ri0\sa240\nowidctlpar\wrapdefault\aspalpha\aspnum\faauto\adjustright\rin0\lin0\itap0 \rtlch\fcs1 \af0\afs20\alang1025 _x000d__x000a_\ltrch\fcs0 \i\fs24\lang2057\langfe2057\cgrid\langnp2057\langfenp2057 \sbasedon0 \snext25 \spriority0 \styrsid389648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896489 AmNumberTabs;}{\s27\ql \li0\ri0\sb240\nowidctlpar\wrapdefault\aspalpha\aspnum\faauto\adjustright\rin0\lin0\itap0 \rtlch\fcs1 _x000d__x000a_\af0\afs20\alang1025 \ltrch\fcs0 \b\fs24\lang2057\langfe2057\cgrid\langnp2057\langfenp2057 \sbasedon0 \snext27 \spriority0 \styrsid3896489 NormalBold12b;}}{\*\rsidtbl \rsid24658\rsid223860\rsid735077\rsid1718133\rsid2892074\rsid3565327\rsid3896489_x000d__x000a_\rsid4666813\rsid6641733\rsid7823322\rsid9118105\rsid9636012\rsid10377208\rsid11215221\rsid11549030\rsid12154954\rsid14106817\rsid14382809\rsid14424199\rsid15204470\rsid15285974\rsid15950462\rsid16324206\rsid16662270}{\mmathPr\mmathFont34\mbrkBin0_x000d__x000a_\mbrkBinSub0\msmallFrac0\mdispDef1\mlMargin0\mrMargin0\mdefJc1\mwrapIndent1440\mintLim0\mnaryLim1}{\info{\author LECUYER Katarzyna}{\operator LECUYER Katarzyna}{\creatim\yr2026\mo5\dy13\hr10\min38}{\revtim\yr2026\mo5\dy13\hr10\min38}{\version1}{\edmins0}_x000d__x000a_{\nofpages1}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89648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1068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3896489\charrsid6182337 {\*\bkmkstart restart}_x000d__x000a_\hich\af1\dbch\af31501\loch\f1 &lt;Amend&gt;}{\rtlch\fcs1 \af0 \ltrch\fcs0 \insrsid3896489\charrsid6182337 Amendment\tab \tab }{\rtlch\fcs1 \af0 \ltrch\fcs0 _x000d__x000a_\cs17\b0\v\fs20\cf9\lang1024\langfe1024\loch\af1\hich\af1\dbch\af31501\noproof\insrsid3896489\charrsid6182337 \hich\af1\dbch\af31501\loch\f1 &lt;NumAm&gt;}{\rtlch\fcs1 \af0 \ltrch\fcs0 \insrsid3896489\charrsid6182337 #}{\rtlch\fcs1 \af1 \ltrch\fcs0 _x000d__x000a_\cs18\v\f1\fs20\cf15\insrsid3896489\charrsid6182337 ENMIENDA@NRAM@}{\rtlch\fcs1 \af0 \ltrch\fcs0 \insrsid3896489\charrsid6182337 #}{\rtlch\fcs1 \af0 \ltrch\fcs0 _x000d__x000a_\cs17\b0\v\fs20\cf9\lang1024\langfe1024\loch\af1\hich\af1\dbch\af31501\noproof\insrsid3896489\charrsid6182337 \hich\af1\dbch\af31501\loch\f1 &lt;/NumAm&gt;}{\rtlch\fcs1 \af0 \ltrch\fcs0 \insrsid3896489\charrsid6182337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3896489\charrsid6182337 \hich\af1\dbch\af31501\loch\f1 &lt;DocAmend&gt;}{\rtlch\fcs1 \af0 \ltrch\fcs0 \insrsid3896489\charrsid6182337 _x000d__x000a_Proposal for a #}{\rtlch\fcs1 \af1 \ltrch\fcs0 \cs18\v\f1\fs20\cf15\insrsid3896489\charrsid6182337 MNU[DOC1][DOC2][DOC3]@DOCMSG@DOCMNU}{\rtlch\fcs1 \af0 \ltrch\fcs0 \insrsid3896489\charrsid6182337 ##}{\rtlch\fcs1 \af1 \ltrch\fcs0 _x000d__x000a_\cs18\v\f1\fs20\cf15\insrsid3896489\charrsid6182337 MNU[AMACTYES][NOTAPP]@CHOICE@AMACTMNU}{\rtlch\fcs1 \af0 \ltrch\fcs0 \insrsid3896489\charrsid6182337 #}{\rtlch\fcs1 \af0 \ltrch\fcs0 _x000d__x000a_\cs17\b0\v\fs20\cf9\lang1024\langfe1024\loch\af1\hich\af1\dbch\af31501\noproof\insrsid3896489\charrsid6182337 \hich\af1\dbch\af31501\loch\f1 &lt;/DocAmend&gt;}{\rtlch\fcs1 \af0 \ltrch\fcs0 \insrsid3896489\charrsid6182337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3896489\charrsid6182337 \hich\af1\dbch\af31501\loch\f1 &lt;Article&gt;}{\rtlch\fcs1 \af0 \ltrch\fcs0 \insrsid3896489\charrsid6182337 #}{\rtlch\fcs1 \af1 _x000d__x000a_\ltrch\fcs0 \cs18\v\f1\fs20\cf15\insrsid3896489\charrsid6182337 MNU[AMACTPARTYES][AMACTPARTNO]@CHOICE@AMACTMNU}{\rtlch\fcs1 \af0 \ltrch\fcs0 \insrsid3896489\charrsid6182337 #}{\rtlch\fcs1 \af0 \ltrch\fcs0 _x000d__x000a_\cs17\b0\v\fs20\cf9\lang1024\langfe1024\loch\af1\hich\af1\dbch\af31501\noproof\insrsid3896489\charrsid6182337 \hich\af1\dbch\af31501\loch\f1 &lt;/Article&gt;}{\rtlch\fcs1 \af0 \ltrch\fcs0 \insrsid3896489\charrsid6182337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3896489\charrsid6182337 \hich\af1\dbch\af31501\loch\f1 &lt;DocAmend2&gt;&lt;OptDel&gt;}{\rtlch\fcs1 \af0 \ltrch\fcs0 \insrsid3896489\charrsid6182337 #}{\rtlch\fcs1 \af1 _x000d__x000a_\ltrch\fcs0 \cs18\v\f1\fs20\cf15\insrsid3896489\charrsid6182337 MNU[OPTNRACTYES][NOTAPP]@CHOICE@AMACTMNU}{\rtlch\fcs1 \af0 \ltrch\fcs0 \insrsid3896489\charrsid6182337 #}{\rtlch\fcs1 \af0 \ltrch\fcs0 _x000d__x000a_\cs17\v\fs20\cf9\lang1024\langfe1024\loch\af1\hich\af1\dbch\af31501\noproof\insrsid3896489\charrsid6182337 \hich\af1\dbch\af31501\loch\f1 &lt;/OptDel&gt;&lt;/DocAmend2&gt;}{\rtlch\fcs1 \af0 \ltrch\fcs0 \insrsid3896489\charrsid6182337 _x000d__x000a_\par }\pard \ltrpar\ql \li0\ri0\widctlpar\wrapdefault\aspalpha\aspnum\faauto\adjustright\rin0\lin0\itap0\pararsid2517430 {\rtlch\fcs1 \af0 \ltrch\fcs0 \cs17\v\fs20\cf9\lang1024\langfe1024\loch\af1\hich\af1\dbch\af31501\noproof\insrsid3896489\charrsid6182337 _x000d__x000a_\hich\af1\dbch\af31501\loch\f1 &lt;Article2&gt;&lt;OptDel&gt;}{\rtlch\fcs1 \af0 \ltrch\fcs0 \insrsid3896489\charrsid6182337 #}{\rtlch\fcs1 \af1 \ltrch\fcs0 \cs18\v\f1\fs20\cf15\insrsid3896489\charrsid6182337 MNU[OPTACTPARTYES][NOTAPP]@CHOICE@AMACTMNU}{\rtlch\fcs1 _x000d__x000a_\af0 \ltrch\fcs0 \insrsid3896489\charrsid6182337 #}{\rtlch\fcs1 \af0 \ltrch\fcs0 \cs17\v\fs20\cf9\lang1024\langfe1024\loch\af1\hich\af1\dbch\af31501\noproof\insrsid3896489\charrsid6182337 \hich\af1\dbch\af31501\loch\f1 &lt;/OptDel&gt;&lt;/Article2&gt;}{\rtlch\fcs1 _x000d__x000a_\af0 \ltrch\fcs0 \insrsid3896489\charrsid6182337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3896489\charrsid6182337 #}{\rtlch\fcs1 \af1 \ltrch\fcs0 \cs18\v\f1\fs20\cf15\insrsid3896489\charrsid6182337 MNU[OPTLEFTAMACT][LEFTPROP]@CHOICE@AMACTMNU}{_x000d__x000a_\rtlch\fcs1 \af0 \ltrch\fcs0 \insrsid3896489\charrsid618233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3896489\charrsid6182337 ##\cell ##}{\rtlch\fcs1 \af0\afs24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3896489\charrsid6182337 Or. }{\rtlch\fcs1 \af0 \ltrch\fcs0 \cs17\v\fs20\cf9\lang1024\langfe1024\loch\af1\hich\af1\dbch\af31501\noproof\insrsid3896489\charrsid6182337 \hich\af1\dbch\af31501\loch\f1 &lt;Original&gt;}{\rtlch\fcs1 \af0 \ltrch\fcs0 _x000d__x000a_\insrsid3896489\charrsid6182337 #}{\rtlch\fcs1 \af1 \ltrch\fcs0 \cs18\v\f1\fs20\cf15\insrsid3896489\charrsid6182337 MNU[ORLANGONE][ORLANGMORE]@CHOICE@ORLANGMNU}{\rtlch\fcs1 \af0 \ltrch\fcs0 \insrsid3896489\charrsid6182337 #}{\rtlch\fcs1 \af0 \ltrch\fcs0 _x000d__x000a_\cs17\v\fs20\cf9\lang1024\langfe1024\loch\af1\hich\af1\dbch\af31501\noproof\insrsid3896489\charrsid6182337 \hich\af1\dbch\af31501\loch\f1 &lt;/Original&gt;}{\rtlch\fcs1 \af0 \ltrch\fcs0 \insrsid3896489\charrsid6182337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OptDel&gt;}{\rtlch\fcs1 \af0 \ltrch\fcs0 \insrsid3896489\charrsid6182337 #}{_x000d__x000a_\rtlch\fcs1 \af1 \ltrch\fcs0 \cs18\v\f1\fs20\cf15\insrsid3896489\charrsid6182337 MNU[CROSSREFNO][CROSSREFYES]@CHOICE@}{\rtlch\fcs1 \af0 \ltrch\fcs0 \insrsid3896489\charrsid6182337 #}{\rtlch\fcs1 \af0 \ltrch\fcs0 _x000d__x000a_\cs17\i0\v\fs20\cf9\lang1024\langfe1024\loch\af1\hich\af1\dbch\af31501\noproof\insrsid3896489\charrsid6182337 \hich\af1\dbch\af31501\loch\f1 &lt;/OptDel&gt;}{\rtlch\fcs1 \af0 \ltrch\fcs0 \insrsid3896489\charrsid6182337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TitreJust&gt;}{\rtlch\fcs1 \af0 \ltrch\fcs0 \insrsid3896489\charrsid6182337 _x000d__x000a_Justification}{\rtlch\fcs1 \af0 \ltrch\fcs0 \cs17\i0\v\fs20\cf9\lang1024\langfe1024\loch\af1\hich\af1\dbch\af31501\noproof\insrsid3896489\charrsid6182337 \hich\af1\dbch\af31501\loch\f1 &lt;/TitreJust&gt;}{\rtlch\fcs1 \af0 \ltrch\fcs0 _x000d__x000a_\insrsid3896489\charrsid6182337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3896489\charrsid6182337 \hich\af1\dbch\af31501\loch\f1 &lt;OptDelPrev&gt;}{\rtlch\fcs1 \af0 \ltrch\fcs0 \insrsid3896489\charrsid6182337 #}{\rtlch\fcs1 \af1 _x000d__x000a_\ltrch\fcs0 \cs18\v\f1\fs20\cf15\insrsid3896489\charrsid6182337 MNU[TEXTJUSTYES][TEXTJUSTNO]@CHOICE@}{\rtlch\fcs1 \af0 \ltrch\fcs0 \insrsid3896489\charrsid6182337 #}{\rtlch\fcs1 \af0 \ltrch\fcs0 _x000d__x000a_\cs17\i0\v\fs20\cf9\lang1024\langfe1024\loch\af1\hich\af1\dbch\af31501\noproof\insrsid3896489\charrsid6182337 \hich\af1\dbch\af31501\loch\f1 &lt;/OptDelPrev&gt;}{\rtlch\fcs1 \af0 \ltrch\fcs0 \insrsid3896489\charrsid618233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896489\charrsid618233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3"/>
    <w:docVar w:name="TXTLANGUE" w:val="EN"/>
    <w:docVar w:name="TXTLANGUEMIN" w:val="en"/>
    <w:docVar w:name="TXTNRC" w:val="178/2025"/>
    <w:docVar w:name="TXTNRCOD" w:val="2025/0542"/>
    <w:docVar w:name="TXTNRCOM" w:val="(2025)0542"/>
    <w:docVar w:name="TXTNRPE" w:val="788.869"/>
    <w:docVar w:name="TXTPEorAP" w:val="PE"/>
    <w:docVar w:name="TXTROUTE" w:val="PR\1343889EN.docx"/>
    <w:docVar w:name="TXTTITLE" w:val="establishing the Union support for internal security for the period from 2028 to 2034"/>
    <w:docVar w:name="TXTVERSION" w:val="01-00"/>
  </w:docVars>
  <w:rsids>
    <w:rsidRoot w:val="005E55C1"/>
    <w:rsid w:val="00011AAB"/>
    <w:rsid w:val="00012351"/>
    <w:rsid w:val="000139E5"/>
    <w:rsid w:val="0007683B"/>
    <w:rsid w:val="00084DD2"/>
    <w:rsid w:val="00084E89"/>
    <w:rsid w:val="000B62B6"/>
    <w:rsid w:val="000B7489"/>
    <w:rsid w:val="000E4437"/>
    <w:rsid w:val="000F1096"/>
    <w:rsid w:val="00120948"/>
    <w:rsid w:val="00123DD5"/>
    <w:rsid w:val="001277AE"/>
    <w:rsid w:val="00142215"/>
    <w:rsid w:val="00150AA0"/>
    <w:rsid w:val="001767E2"/>
    <w:rsid w:val="00187008"/>
    <w:rsid w:val="001B3829"/>
    <w:rsid w:val="001C5592"/>
    <w:rsid w:val="001C5B44"/>
    <w:rsid w:val="001C6FFC"/>
    <w:rsid w:val="001F7C7C"/>
    <w:rsid w:val="00212B84"/>
    <w:rsid w:val="00220DB0"/>
    <w:rsid w:val="002346B0"/>
    <w:rsid w:val="002667C3"/>
    <w:rsid w:val="002669B6"/>
    <w:rsid w:val="00290BED"/>
    <w:rsid w:val="0029634C"/>
    <w:rsid w:val="002D13EE"/>
    <w:rsid w:val="002E33EE"/>
    <w:rsid w:val="002F40BB"/>
    <w:rsid w:val="002F4B02"/>
    <w:rsid w:val="00305CD9"/>
    <w:rsid w:val="00323EF8"/>
    <w:rsid w:val="003316DD"/>
    <w:rsid w:val="003506ED"/>
    <w:rsid w:val="00366A46"/>
    <w:rsid w:val="00370AC3"/>
    <w:rsid w:val="00371C38"/>
    <w:rsid w:val="003824EE"/>
    <w:rsid w:val="003B4689"/>
    <w:rsid w:val="003B471D"/>
    <w:rsid w:val="003C2068"/>
    <w:rsid w:val="003C37CF"/>
    <w:rsid w:val="003D4816"/>
    <w:rsid w:val="004100B1"/>
    <w:rsid w:val="00413A6D"/>
    <w:rsid w:val="00426E47"/>
    <w:rsid w:val="00455743"/>
    <w:rsid w:val="00461601"/>
    <w:rsid w:val="00480924"/>
    <w:rsid w:val="004C0915"/>
    <w:rsid w:val="004D424E"/>
    <w:rsid w:val="004E42C8"/>
    <w:rsid w:val="004E4CE7"/>
    <w:rsid w:val="004E733D"/>
    <w:rsid w:val="004F3FA5"/>
    <w:rsid w:val="0051271F"/>
    <w:rsid w:val="005166EC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E55C1"/>
    <w:rsid w:val="00613C4B"/>
    <w:rsid w:val="00642325"/>
    <w:rsid w:val="0069092A"/>
    <w:rsid w:val="006A2DD8"/>
    <w:rsid w:val="006A2F5D"/>
    <w:rsid w:val="006F0C47"/>
    <w:rsid w:val="006F7907"/>
    <w:rsid w:val="00743189"/>
    <w:rsid w:val="00743D33"/>
    <w:rsid w:val="00775C3E"/>
    <w:rsid w:val="007932B3"/>
    <w:rsid w:val="00793EA9"/>
    <w:rsid w:val="007D251E"/>
    <w:rsid w:val="007D6F6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8B2199"/>
    <w:rsid w:val="008E5790"/>
    <w:rsid w:val="009022B8"/>
    <w:rsid w:val="00914537"/>
    <w:rsid w:val="00917CC4"/>
    <w:rsid w:val="009763DA"/>
    <w:rsid w:val="009975B3"/>
    <w:rsid w:val="009A216D"/>
    <w:rsid w:val="009B4B93"/>
    <w:rsid w:val="009D1910"/>
    <w:rsid w:val="009E7232"/>
    <w:rsid w:val="009F24BE"/>
    <w:rsid w:val="009F6C2F"/>
    <w:rsid w:val="009F767A"/>
    <w:rsid w:val="00A02819"/>
    <w:rsid w:val="00A22533"/>
    <w:rsid w:val="00A26F46"/>
    <w:rsid w:val="00A34FD3"/>
    <w:rsid w:val="00A36929"/>
    <w:rsid w:val="00A50548"/>
    <w:rsid w:val="00A60EE7"/>
    <w:rsid w:val="00A910C9"/>
    <w:rsid w:val="00AA35B0"/>
    <w:rsid w:val="00AB1BB8"/>
    <w:rsid w:val="00AD18C8"/>
    <w:rsid w:val="00AD7FA6"/>
    <w:rsid w:val="00AE4643"/>
    <w:rsid w:val="00AF0416"/>
    <w:rsid w:val="00B10CB4"/>
    <w:rsid w:val="00B13D6F"/>
    <w:rsid w:val="00B23B72"/>
    <w:rsid w:val="00B308D4"/>
    <w:rsid w:val="00B42702"/>
    <w:rsid w:val="00B54EAF"/>
    <w:rsid w:val="00B57B8B"/>
    <w:rsid w:val="00B85407"/>
    <w:rsid w:val="00B94CD3"/>
    <w:rsid w:val="00B95702"/>
    <w:rsid w:val="00BA27ED"/>
    <w:rsid w:val="00BC6489"/>
    <w:rsid w:val="00BD480C"/>
    <w:rsid w:val="00BF2379"/>
    <w:rsid w:val="00C17518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4617B"/>
    <w:rsid w:val="00D503A3"/>
    <w:rsid w:val="00D76B06"/>
    <w:rsid w:val="00D8539B"/>
    <w:rsid w:val="00DA6ED0"/>
    <w:rsid w:val="00DC5011"/>
    <w:rsid w:val="00DE1281"/>
    <w:rsid w:val="00E171B6"/>
    <w:rsid w:val="00E2160F"/>
    <w:rsid w:val="00E72695"/>
    <w:rsid w:val="00E73C5A"/>
    <w:rsid w:val="00E74DEB"/>
    <w:rsid w:val="00E947A6"/>
    <w:rsid w:val="00EB1753"/>
    <w:rsid w:val="00EB6CFF"/>
    <w:rsid w:val="00EC05C2"/>
    <w:rsid w:val="00EE3996"/>
    <w:rsid w:val="00F07062"/>
    <w:rsid w:val="00F23CFC"/>
    <w:rsid w:val="00F372DB"/>
    <w:rsid w:val="00F433E2"/>
    <w:rsid w:val="00F61420"/>
    <w:rsid w:val="00F8306F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5D23D"/>
  <w15:chartTrackingRefBased/>
  <w15:docId w15:val="{B92E1781-A552-43F8-9B82-E940EE67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13C4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3C4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3C4B"/>
    <w:rPr>
      <w:sz w:val="18"/>
    </w:rPr>
  </w:style>
  <w:style w:type="paragraph" w:customStyle="1" w:styleId="Normal6">
    <w:name w:val="Normal6"/>
    <w:basedOn w:val="Normal"/>
    <w:link w:val="Normal6Char"/>
    <w:rsid w:val="00F6142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61420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F61420"/>
    <w:rPr>
      <w:sz w:val="24"/>
      <w:lang w:val="pt-PT"/>
    </w:rPr>
  </w:style>
  <w:style w:type="paragraph" w:customStyle="1" w:styleId="ColumnHeading">
    <w:name w:val="ColumnHeading"/>
    <w:basedOn w:val="Normal"/>
    <w:rsid w:val="00F614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614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61420"/>
    <w:pPr>
      <w:jc w:val="right"/>
    </w:pPr>
  </w:style>
  <w:style w:type="paragraph" w:styleId="Footer">
    <w:name w:val="footer"/>
    <w:basedOn w:val="Normal"/>
    <w:link w:val="FooterChar"/>
    <w:semiHidden/>
    <w:rsid w:val="006A2D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A2DD8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71C38"/>
    <w:pPr>
      <w:widowControl/>
      <w:jc w:val="both"/>
    </w:pPr>
    <w:rPr>
      <w:rFonts w:eastAsiaTheme="minorHAnsi"/>
      <w:kern w:val="2"/>
      <w:sz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71C38"/>
    <w:rPr>
      <w:rFonts w:eastAsiaTheme="minorHAnsi"/>
      <w:kern w:val="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371C38"/>
    <w:rPr>
      <w:vertAlign w:val="superscript"/>
    </w:rPr>
  </w:style>
  <w:style w:type="paragraph" w:styleId="Revision">
    <w:name w:val="Revision"/>
    <w:hidden/>
    <w:uiPriority w:val="99"/>
    <w:semiHidden/>
    <w:rsid w:val="00E947A6"/>
    <w:rPr>
      <w:sz w:val="24"/>
    </w:rPr>
  </w:style>
  <w:style w:type="character" w:styleId="CommentReference">
    <w:name w:val="annotation reference"/>
    <w:basedOn w:val="DefaultParagraphFont"/>
    <w:rsid w:val="00EC05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05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05C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0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0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5648</Words>
  <Characters>30784</Characters>
  <Application>Microsoft Office Word</Application>
  <DocSecurity>0</DocSecurity>
  <Lines>1061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CORISCO Vasco</cp:lastModifiedBy>
  <cp:revision>2</cp:revision>
  <cp:lastPrinted>2026-05-13T09:01:00Z</cp:lastPrinted>
  <dcterms:created xsi:type="dcterms:W3CDTF">2026-06-02T09:10:00Z</dcterms:created>
  <dcterms:modified xsi:type="dcterms:W3CDTF">2026-06-02T09:10:00Z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1343889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PR\1343889PT.docx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788.869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- 2026/05/19 11:36</vt:lpwstr>
  </property>
  <property fmtid="{D5CDD505-2E9C-101B-9397-08002B2CF9AE}" pid="15" name="Bookout">
    <vt:lpwstr>OK - 2026/06/02 11:10</vt:lpwstr>
  </property>
</Properties>
</file>