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95A4C" w:rsidRPr="00EF2DDB" w14:paraId="6B4DC82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583B9B" w14:textId="77777777" w:rsidR="00B13D6F" w:rsidRPr="00EF2DDB" w:rsidRDefault="00FF295E" w:rsidP="00C85D0F">
            <w:pPr>
              <w:pStyle w:val="EPName"/>
            </w:pPr>
            <w:r w:rsidRPr="00EF2DDB">
              <w:t>Európsky parlament</w:t>
            </w:r>
          </w:p>
          <w:p w14:paraId="3AF3634E" w14:textId="77777777" w:rsidR="00B13D6F" w:rsidRPr="00EF2DDB" w:rsidRDefault="00FF295E" w:rsidP="00C85D0F">
            <w:pPr>
              <w:pStyle w:val="EPTerm"/>
            </w:pPr>
            <w:r w:rsidRPr="00EF2DD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6357171" w14:textId="77777777" w:rsidR="00B13D6F" w:rsidRPr="00EF2DDB" w:rsidRDefault="00FF295E" w:rsidP="00C85D0F">
            <w:pPr>
              <w:pStyle w:val="EPLogo"/>
            </w:pPr>
            <w:r w:rsidRPr="00EF2DDB">
              <w:rPr>
                <w:noProof/>
                <w:lang w:eastAsia="ja-JP"/>
              </w:rPr>
              <w:drawing>
                <wp:inline distT="0" distB="0" distL="0" distR="0" wp14:anchorId="2866C9F0" wp14:editId="0A5DCB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05552B" w14:textId="77777777" w:rsidR="00461601" w:rsidRPr="00EF2DDB" w:rsidRDefault="00461601" w:rsidP="00461601">
      <w:pPr>
        <w:pStyle w:val="LineTop"/>
      </w:pPr>
    </w:p>
    <w:p w14:paraId="41A11EF9" w14:textId="77777777" w:rsidR="00461601" w:rsidRPr="00EF2DDB" w:rsidRDefault="00FF295E" w:rsidP="00461601">
      <w:pPr>
        <w:pStyle w:val="EPBody"/>
      </w:pPr>
      <w:r w:rsidRPr="00EF2DDB">
        <w:rPr>
          <w:rStyle w:val="HideTWBExt"/>
        </w:rPr>
        <w:t>&lt;</w:t>
      </w:r>
      <w:r w:rsidRPr="00EF2DDB">
        <w:rPr>
          <w:rStyle w:val="HideTWBExt"/>
          <w:i w:val="0"/>
        </w:rPr>
        <w:t>Commission</w:t>
      </w:r>
      <w:r w:rsidRPr="00EF2DDB">
        <w:rPr>
          <w:rStyle w:val="HideTWBExt"/>
        </w:rPr>
        <w:t>&gt;</w:t>
      </w:r>
      <w:r w:rsidRPr="00EF2DDB">
        <w:rPr>
          <w:rStyle w:val="HideTWBInt"/>
          <w:color w:val="auto"/>
        </w:rPr>
        <w:t>{LIBE}</w:t>
      </w:r>
      <w:r w:rsidRPr="00EF2DDB">
        <w:t>Výbor pre občianske slobody, spravodlivosť a vnútorné veci</w:t>
      </w:r>
      <w:r w:rsidRPr="00EF2DDB">
        <w:rPr>
          <w:rStyle w:val="HideTWBExt"/>
        </w:rPr>
        <w:t>&lt;/</w:t>
      </w:r>
      <w:r w:rsidRPr="00EF2DDB">
        <w:rPr>
          <w:rStyle w:val="HideTWBExt"/>
          <w:i w:val="0"/>
        </w:rPr>
        <w:t>Commission</w:t>
      </w:r>
      <w:r w:rsidRPr="00EF2DDB">
        <w:rPr>
          <w:rStyle w:val="HideTWBExt"/>
        </w:rPr>
        <w:t>&gt;</w:t>
      </w:r>
    </w:p>
    <w:p w14:paraId="5D2E13D1" w14:textId="77777777" w:rsidR="00461601" w:rsidRPr="00EF2DDB" w:rsidRDefault="00461601" w:rsidP="00461601">
      <w:pPr>
        <w:pStyle w:val="LineBottom"/>
      </w:pPr>
    </w:p>
    <w:p w14:paraId="4BBB1F34" w14:textId="77777777" w:rsidR="00793EA9" w:rsidRPr="00EF2DDB" w:rsidRDefault="00FF295E">
      <w:pPr>
        <w:pStyle w:val="CoverReference"/>
      </w:pPr>
      <w:r w:rsidRPr="00EF2DDB">
        <w:rPr>
          <w:rStyle w:val="HideTWBExt"/>
          <w:b w:val="0"/>
        </w:rPr>
        <w:t>&lt;RefProc&gt;</w:t>
      </w:r>
      <w:r w:rsidRPr="00EF2DDB">
        <w:t>2025/0542</w:t>
      </w:r>
      <w:r w:rsidRPr="00EF2DDB">
        <w:rPr>
          <w:rStyle w:val="HideTWBExt"/>
          <w:b w:val="0"/>
        </w:rPr>
        <w:t>&lt;/RefProc&gt;&lt;RefTypeProc&gt;</w:t>
      </w:r>
      <w:r w:rsidRPr="00EF2DDB">
        <w:t>(COD)</w:t>
      </w:r>
      <w:r w:rsidRPr="00EF2DDB">
        <w:rPr>
          <w:rStyle w:val="HideTWBExt"/>
          <w:b w:val="0"/>
        </w:rPr>
        <w:t>&lt;/RefTypeProc&gt;</w:t>
      </w:r>
    </w:p>
    <w:p w14:paraId="64A8E568" w14:textId="77777777" w:rsidR="00793EA9" w:rsidRPr="00EF2DDB" w:rsidRDefault="00FF295E">
      <w:pPr>
        <w:pStyle w:val="CoverDate"/>
      </w:pPr>
      <w:r w:rsidRPr="00EF2DDB">
        <w:rPr>
          <w:rStyle w:val="HideTWBExt"/>
        </w:rPr>
        <w:t>&lt;Date&gt;</w:t>
      </w:r>
      <w:r w:rsidRPr="00EF2DDB">
        <w:rPr>
          <w:rStyle w:val="HideTWBInt"/>
          <w:color w:val="auto"/>
        </w:rPr>
        <w:t>{19/05/2026}</w:t>
      </w:r>
      <w:r w:rsidRPr="00EF2DDB">
        <w:t>19.5.2026</w:t>
      </w:r>
      <w:r w:rsidRPr="00EF2DDB">
        <w:rPr>
          <w:rStyle w:val="HideTWBExt"/>
        </w:rPr>
        <w:t>&lt;/Date&gt;</w:t>
      </w:r>
    </w:p>
    <w:p w14:paraId="3E75A69D" w14:textId="77777777" w:rsidR="00793EA9" w:rsidRPr="00EF2DDB" w:rsidRDefault="00FF295E">
      <w:pPr>
        <w:pStyle w:val="CoverDocType"/>
      </w:pPr>
      <w:r w:rsidRPr="00EF2DDB">
        <w:rPr>
          <w:rStyle w:val="HideTWBExt"/>
          <w:b w:val="0"/>
        </w:rPr>
        <w:t>&lt;RefProcLect&gt;</w:t>
      </w:r>
      <w:r w:rsidRPr="00EF2DDB">
        <w:t>***I</w:t>
      </w:r>
      <w:r w:rsidRPr="00EF2DDB">
        <w:rPr>
          <w:rStyle w:val="HideTWBExt"/>
          <w:b w:val="0"/>
        </w:rPr>
        <w:t>&lt;/RefProcLect&gt;</w:t>
      </w:r>
    </w:p>
    <w:p w14:paraId="4285BB16" w14:textId="77777777" w:rsidR="00793EA9" w:rsidRPr="00EF2DDB" w:rsidRDefault="00FF295E">
      <w:pPr>
        <w:pStyle w:val="CoverDocType24a"/>
      </w:pPr>
      <w:r w:rsidRPr="00EF2DDB">
        <w:rPr>
          <w:rStyle w:val="HideTWBExt"/>
          <w:b w:val="0"/>
        </w:rPr>
        <w:t>&lt;TitreType&gt;</w:t>
      </w:r>
      <w:r w:rsidRPr="00EF2DDB">
        <w:t>NÁVRH SPRÁVY</w:t>
      </w:r>
      <w:r w:rsidRPr="00EF2DDB">
        <w:rPr>
          <w:rStyle w:val="HideTWBExt"/>
          <w:b w:val="0"/>
        </w:rPr>
        <w:t>&lt;/TitreType&gt;</w:t>
      </w:r>
    </w:p>
    <w:p w14:paraId="1F6723F8" w14:textId="77777777" w:rsidR="00793EA9" w:rsidRPr="00EF2DDB" w:rsidRDefault="00FF295E">
      <w:pPr>
        <w:pStyle w:val="CoverNormal"/>
      </w:pPr>
      <w:r w:rsidRPr="00EF2DDB">
        <w:rPr>
          <w:rStyle w:val="HideTWBExt"/>
        </w:rPr>
        <w:t>&lt;Titre&gt;</w:t>
      </w:r>
      <w:r w:rsidRPr="00EF2DDB">
        <w:t>o návrhu nariadenia Európskeho parlamentu a Rady, ktorým sa stanovuje podpora Únie v oblasti vnútornej bezpečnosti na roky 2028 až 2034</w:t>
      </w:r>
      <w:r w:rsidRPr="00EF2DDB">
        <w:rPr>
          <w:rStyle w:val="HideTWBExt"/>
        </w:rPr>
        <w:t>&lt;/Titre&gt;</w:t>
      </w:r>
    </w:p>
    <w:p w14:paraId="52DBA6ED" w14:textId="77777777" w:rsidR="00793EA9" w:rsidRPr="00EF2DDB" w:rsidRDefault="00FF295E">
      <w:pPr>
        <w:pStyle w:val="CoverNormal24a"/>
      </w:pPr>
      <w:r w:rsidRPr="00EF2DDB">
        <w:rPr>
          <w:rStyle w:val="HideTWBExt"/>
        </w:rPr>
        <w:t>&lt;DocRef&gt;</w:t>
      </w:r>
      <w:r w:rsidRPr="00EF2DDB">
        <w:t>(COM(2025)0542 – C10</w:t>
      </w:r>
      <w:r w:rsidRPr="00EF2DDB">
        <w:noBreakHyphen/>
        <w:t>178/2025 – 2025/0542(COD))</w:t>
      </w:r>
      <w:r w:rsidRPr="00EF2DDB">
        <w:rPr>
          <w:rStyle w:val="HideTWBExt"/>
        </w:rPr>
        <w:t>&lt;/DocRef&gt;</w:t>
      </w:r>
    </w:p>
    <w:p w14:paraId="4F9FB707" w14:textId="77777777" w:rsidR="00793EA9" w:rsidRPr="00EF2DDB" w:rsidRDefault="00FF295E">
      <w:pPr>
        <w:pStyle w:val="CoverNormal24a"/>
      </w:pPr>
      <w:r w:rsidRPr="00EF2DDB">
        <w:rPr>
          <w:rStyle w:val="HideTWBExt"/>
        </w:rPr>
        <w:t>&lt;Commission&gt;</w:t>
      </w:r>
      <w:r w:rsidRPr="00EF2DDB">
        <w:rPr>
          <w:rStyle w:val="HideTWBInt"/>
          <w:color w:val="auto"/>
        </w:rPr>
        <w:t>{LIBE}</w:t>
      </w:r>
      <w:r w:rsidRPr="00EF2DDB">
        <w:t>Výbor pre občianske slobody, spravodlivosť a vnútorné veci</w:t>
      </w:r>
      <w:r w:rsidRPr="00EF2DDB">
        <w:rPr>
          <w:rStyle w:val="HideTWBExt"/>
        </w:rPr>
        <w:t>&lt;/Commission&gt;</w:t>
      </w:r>
    </w:p>
    <w:p w14:paraId="3D3D54B8" w14:textId="77777777" w:rsidR="00793EA9" w:rsidRPr="00EF2DDB" w:rsidRDefault="00FF295E">
      <w:pPr>
        <w:pStyle w:val="CoverNormal24a"/>
      </w:pPr>
      <w:r w:rsidRPr="00EF2DDB">
        <w:t xml:space="preserve">Spravodajkyňa: </w:t>
      </w:r>
      <w:r w:rsidRPr="00EF2DDB">
        <w:rPr>
          <w:rStyle w:val="HideTWBExt"/>
        </w:rPr>
        <w:t>&lt;Depute&gt;</w:t>
      </w:r>
      <w:r w:rsidRPr="00EF2DDB">
        <w:t>Assita Kanko</w:t>
      </w:r>
      <w:r w:rsidRPr="00EF2DDB">
        <w:rPr>
          <w:rStyle w:val="HideTWBExt"/>
        </w:rPr>
        <w:t>&lt;/Depute&gt;</w:t>
      </w:r>
    </w:p>
    <w:p w14:paraId="74E7F420" w14:textId="77777777" w:rsidR="001C5B44" w:rsidRPr="00EF2DDB" w:rsidRDefault="001C5B44" w:rsidP="001C5B44">
      <w:pPr>
        <w:pStyle w:val="CoverNormal"/>
      </w:pPr>
    </w:p>
    <w:p w14:paraId="018D754D" w14:textId="30B34D14" w:rsidR="00613C4B" w:rsidRPr="00EF2DDB" w:rsidRDefault="00FF295E" w:rsidP="00894923">
      <w:r w:rsidRPr="00EF2DDB">
        <w:br w:type="page"/>
      </w:r>
      <w:r w:rsidRPr="00EF2DDB">
        <w:lastRenderedPageBreak/>
        <w:fldChar w:fldCharType="begin"/>
      </w:r>
      <w:r w:rsidRPr="00EF2DDB">
        <w:instrText xml:space="preserve"> TITLE  \* MERGEFORMAT </w:instrText>
      </w:r>
      <w:r w:rsidRPr="00EF2DDB">
        <w:fldChar w:fldCharType="separate"/>
      </w:r>
      <w:r>
        <w:t>PR_COD_1amCom</w:t>
      </w:r>
      <w:r w:rsidRPr="00EF2DDB">
        <w:fldChar w:fldCharType="end"/>
      </w:r>
    </w:p>
    <w:p w14:paraId="2AD9C040" w14:textId="77777777" w:rsidR="00613C4B" w:rsidRPr="00EF2DDB" w:rsidRDefault="00613C4B" w:rsidP="00894923"/>
    <w:p w14:paraId="7EB11058" w14:textId="77777777" w:rsidR="00613C4B" w:rsidRPr="00EF2DDB" w:rsidRDefault="00613C4B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F95A4C" w:rsidRPr="00EF2DDB" w14:paraId="76E18CF8" w14:textId="77777777">
        <w:tc>
          <w:tcPr>
            <w:tcW w:w="5811" w:type="dxa"/>
          </w:tcPr>
          <w:p w14:paraId="69CCF50B" w14:textId="77777777" w:rsidR="00613C4B" w:rsidRPr="00EF2DDB" w:rsidRDefault="00FF295E" w:rsidP="00894923">
            <w:pPr>
              <w:pStyle w:val="Lgendetitre"/>
            </w:pPr>
            <w:r w:rsidRPr="00EF2DDB">
              <w:t>Označenie postupov</w:t>
            </w:r>
          </w:p>
        </w:tc>
      </w:tr>
      <w:tr w:rsidR="00F95A4C" w:rsidRPr="00EF2DDB" w14:paraId="1F82B230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45EA0E77" w14:textId="77777777" w:rsidR="00613C4B" w:rsidRPr="00EF2DDB" w:rsidRDefault="00FF295E" w:rsidP="003506ED">
            <w:pPr>
              <w:pStyle w:val="Lgendesigne"/>
            </w:pPr>
            <w:r w:rsidRPr="00EF2DDB">
              <w:tab/>
              <w:t>*</w:t>
            </w:r>
            <w:r w:rsidRPr="00EF2DDB">
              <w:tab/>
              <w:t>Konzultácia</w:t>
            </w:r>
          </w:p>
          <w:p w14:paraId="3F39B52F" w14:textId="77777777" w:rsidR="00613C4B" w:rsidRPr="00EF2DDB" w:rsidRDefault="00FF295E" w:rsidP="003506ED">
            <w:pPr>
              <w:pStyle w:val="Lgendesigne"/>
            </w:pPr>
            <w:r w:rsidRPr="00EF2DDB">
              <w:tab/>
              <w:t>***</w:t>
            </w:r>
            <w:r w:rsidRPr="00EF2DDB">
              <w:tab/>
              <w:t>Súhlas</w:t>
            </w:r>
          </w:p>
          <w:p w14:paraId="23E8B0A1" w14:textId="77777777" w:rsidR="00613C4B" w:rsidRPr="00EF2DDB" w:rsidRDefault="00FF295E" w:rsidP="003506ED">
            <w:pPr>
              <w:pStyle w:val="Lgendesigne"/>
            </w:pPr>
            <w:r w:rsidRPr="00EF2DDB">
              <w:tab/>
              <w:t>***I</w:t>
            </w:r>
            <w:r w:rsidRPr="00EF2DDB">
              <w:tab/>
              <w:t xml:space="preserve">Riadny </w:t>
            </w:r>
            <w:r w:rsidRPr="00EF2DDB">
              <w:t>legislatívny postup (prvé čítanie)</w:t>
            </w:r>
          </w:p>
          <w:p w14:paraId="30CCE130" w14:textId="77777777" w:rsidR="00613C4B" w:rsidRPr="00EF2DDB" w:rsidRDefault="00FF295E" w:rsidP="003506ED">
            <w:pPr>
              <w:pStyle w:val="Lgendesigne"/>
            </w:pPr>
            <w:r w:rsidRPr="00EF2DDB">
              <w:tab/>
              <w:t>***II</w:t>
            </w:r>
            <w:r w:rsidRPr="00EF2DDB">
              <w:tab/>
              <w:t>Riadny legislatívny postup (druhé čítanie)</w:t>
            </w:r>
          </w:p>
          <w:p w14:paraId="3EE7B9F7" w14:textId="77777777" w:rsidR="00613C4B" w:rsidRPr="00EF2DDB" w:rsidRDefault="00FF295E" w:rsidP="003506ED">
            <w:pPr>
              <w:pStyle w:val="Lgendesigne"/>
            </w:pPr>
            <w:r w:rsidRPr="00EF2DDB">
              <w:tab/>
              <w:t>***III</w:t>
            </w:r>
            <w:r w:rsidRPr="00EF2DDB">
              <w:tab/>
              <w:t>Riadny legislatívny postup (tretie čítanie)</w:t>
            </w:r>
          </w:p>
          <w:p w14:paraId="5AD6162A" w14:textId="77777777" w:rsidR="00613C4B" w:rsidRPr="00EF2DDB" w:rsidRDefault="00613C4B" w:rsidP="003506ED">
            <w:pPr>
              <w:pStyle w:val="Lgendestandard"/>
            </w:pPr>
          </w:p>
          <w:p w14:paraId="621D3680" w14:textId="77777777" w:rsidR="00613C4B" w:rsidRPr="00EF2DDB" w:rsidRDefault="00FF295E" w:rsidP="003506ED">
            <w:pPr>
              <w:pStyle w:val="Lgendestandard"/>
            </w:pPr>
            <w:r w:rsidRPr="00EF2DDB">
              <w:t>(Typ postupu závisí od právneho základu navrhnutého v návrhu aktu.)</w:t>
            </w:r>
          </w:p>
          <w:p w14:paraId="15C0C643" w14:textId="77777777" w:rsidR="00613C4B" w:rsidRPr="00EF2DDB" w:rsidRDefault="00613C4B" w:rsidP="00B54EAF">
            <w:pPr>
              <w:pStyle w:val="Lgendestandard"/>
            </w:pPr>
          </w:p>
        </w:tc>
      </w:tr>
    </w:tbl>
    <w:p w14:paraId="73FA979A" w14:textId="77777777" w:rsidR="00613C4B" w:rsidRPr="00EF2DDB" w:rsidRDefault="00613C4B" w:rsidP="00894923"/>
    <w:p w14:paraId="6F96E9AD" w14:textId="77777777" w:rsidR="00613C4B" w:rsidRPr="00EF2DDB" w:rsidRDefault="00613C4B" w:rsidP="00894923"/>
    <w:p w14:paraId="0B8F8012" w14:textId="77777777" w:rsidR="00613C4B" w:rsidRPr="00EF2DDB" w:rsidRDefault="00613C4B" w:rsidP="00894923"/>
    <w:p w14:paraId="1B30ED83" w14:textId="77777777" w:rsidR="00613C4B" w:rsidRPr="00EF2DDB" w:rsidRDefault="00613C4B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F95A4C" w:rsidRPr="00EF2DDB" w14:paraId="0D877716" w14:textId="77777777">
        <w:tc>
          <w:tcPr>
            <w:tcW w:w="5811" w:type="dxa"/>
          </w:tcPr>
          <w:p w14:paraId="3F146C31" w14:textId="77777777" w:rsidR="00613C4B" w:rsidRPr="00EF2DDB" w:rsidRDefault="00FF295E" w:rsidP="00894923">
            <w:pPr>
              <w:pStyle w:val="Lgendetitre"/>
            </w:pPr>
            <w:r w:rsidRPr="00EF2DDB">
              <w:t>Pozmeňujúce návrhy k návrhu aktu</w:t>
            </w:r>
          </w:p>
        </w:tc>
      </w:tr>
      <w:tr w:rsidR="00F95A4C" w:rsidRPr="00EF2DDB" w14:paraId="75C8E2B5" w14:textId="77777777" w:rsidTr="00554250">
        <w:trPr>
          <w:trHeight w:val="4496"/>
        </w:trPr>
        <w:tc>
          <w:tcPr>
            <w:tcW w:w="5811" w:type="dxa"/>
          </w:tcPr>
          <w:p w14:paraId="20F02DF5" w14:textId="77777777" w:rsidR="00613C4B" w:rsidRPr="00EF2DDB" w:rsidRDefault="00FF295E" w:rsidP="003506ED">
            <w:pPr>
              <w:pStyle w:val="Lgendestandard"/>
              <w:rPr>
                <w:szCs w:val="24"/>
              </w:rPr>
            </w:pPr>
            <w:r w:rsidRPr="00EF2DDB">
              <w:rPr>
                <w:b/>
              </w:rPr>
              <w:t>Pozmeňujúce návrhy Európskeho parlamentu v dvoch stĺpcoch</w:t>
            </w:r>
          </w:p>
          <w:p w14:paraId="391FD4DD" w14:textId="77777777" w:rsidR="00613C4B" w:rsidRPr="00EF2DDB" w:rsidRDefault="00613C4B" w:rsidP="003506ED">
            <w:pPr>
              <w:pStyle w:val="Lgendestandard"/>
              <w:rPr>
                <w:szCs w:val="24"/>
              </w:rPr>
            </w:pPr>
          </w:p>
          <w:p w14:paraId="1535F95B" w14:textId="77777777" w:rsidR="00613C4B" w:rsidRPr="00EF2DDB" w:rsidRDefault="00FF295E" w:rsidP="003506ED">
            <w:pPr>
              <w:pStyle w:val="Lgendestandard"/>
              <w:rPr>
                <w:szCs w:val="24"/>
              </w:rPr>
            </w:pPr>
            <w:r w:rsidRPr="00EF2DDB">
              <w:t xml:space="preserve">Vypustenia sa označujú </w:t>
            </w:r>
            <w:r w:rsidRPr="00EF2DDB">
              <w:rPr>
                <w:b/>
                <w:i/>
              </w:rPr>
              <w:t>hrubou kurzívou</w:t>
            </w:r>
            <w:r w:rsidRPr="00EF2DDB">
              <w:t xml:space="preserve"> v ľavom stĺpci. Nahradenia sa označujú </w:t>
            </w:r>
            <w:r w:rsidRPr="00EF2DDB">
              <w:rPr>
                <w:b/>
                <w:i/>
              </w:rPr>
              <w:t>hrubou kurzívou</w:t>
            </w:r>
            <w:r w:rsidRPr="00EF2DDB">
              <w:t xml:space="preserve"> v oboch stĺpcoch. Nový text sa označuje </w:t>
            </w:r>
            <w:r w:rsidRPr="00EF2DDB">
              <w:rPr>
                <w:b/>
                <w:i/>
              </w:rPr>
              <w:t>hrubou kurzívou</w:t>
            </w:r>
            <w:r w:rsidRPr="00EF2DDB">
              <w:t xml:space="preserve"> v pravom stĺpci.</w:t>
            </w:r>
          </w:p>
          <w:p w14:paraId="52ABCE15" w14:textId="77777777" w:rsidR="00613C4B" w:rsidRPr="00EF2DDB" w:rsidRDefault="00613C4B" w:rsidP="003506ED">
            <w:pPr>
              <w:pStyle w:val="Lgendestandard"/>
              <w:rPr>
                <w:szCs w:val="24"/>
              </w:rPr>
            </w:pPr>
          </w:p>
          <w:p w14:paraId="240DD40C" w14:textId="77777777" w:rsidR="00613C4B" w:rsidRPr="00EF2DDB" w:rsidRDefault="00FF295E" w:rsidP="003506ED">
            <w:pPr>
              <w:pStyle w:val="Lgendestandard"/>
              <w:rPr>
                <w:szCs w:val="24"/>
              </w:rPr>
            </w:pPr>
            <w:r w:rsidRPr="00EF2DDB">
              <w:t xml:space="preserve">Prvý a druhý riadok </w:t>
            </w:r>
            <w:r w:rsidRPr="00EF2DDB">
              <w:t>záhlavia každého pozmeňujúceho návrhu vymedzujú príslušnú časť v návrhu aktu predloženého na prerokovanie. Ak sa pozmeňujúci návrh týka platného aktu, ktorý sa má návrhom aktu zmeniť, záhlavie navyše obsahuje tretí riadok uvádzajúci platný akt a štvrtý riadok uvádzajúci príslušné ustanovenie tohto aktu.</w:t>
            </w:r>
          </w:p>
          <w:p w14:paraId="418C90B9" w14:textId="77777777" w:rsidR="00613C4B" w:rsidRPr="00EF2DDB" w:rsidRDefault="00613C4B" w:rsidP="003506ED">
            <w:pPr>
              <w:pStyle w:val="Lgendestandard"/>
              <w:rPr>
                <w:szCs w:val="24"/>
              </w:rPr>
            </w:pPr>
          </w:p>
          <w:p w14:paraId="4898E42B" w14:textId="77777777" w:rsidR="00613C4B" w:rsidRPr="00EF2DDB" w:rsidRDefault="00FF295E" w:rsidP="003506ED">
            <w:pPr>
              <w:pStyle w:val="Lgendestandard"/>
              <w:rPr>
                <w:b/>
                <w:szCs w:val="24"/>
              </w:rPr>
            </w:pPr>
            <w:r w:rsidRPr="00EF2DDB">
              <w:rPr>
                <w:b/>
              </w:rPr>
              <w:t>Pozmeňujúce návrhy Európskeho parlamentu v podobe konsolidovaného textu</w:t>
            </w:r>
          </w:p>
          <w:p w14:paraId="2C763318" w14:textId="77777777" w:rsidR="00613C4B" w:rsidRPr="00EF2DDB" w:rsidRDefault="00613C4B" w:rsidP="003506ED">
            <w:pPr>
              <w:pStyle w:val="Lgendestandard"/>
              <w:rPr>
                <w:szCs w:val="24"/>
              </w:rPr>
            </w:pPr>
          </w:p>
          <w:p w14:paraId="4D92E1A8" w14:textId="77777777" w:rsidR="00613C4B" w:rsidRPr="00EF2DDB" w:rsidRDefault="00FF295E" w:rsidP="003506ED">
            <w:pPr>
              <w:pStyle w:val="Lgendestandard"/>
              <w:rPr>
                <w:szCs w:val="24"/>
              </w:rPr>
            </w:pPr>
            <w:r w:rsidRPr="00EF2DDB">
              <w:t xml:space="preserve">Nové časti textov sa označujú </w:t>
            </w:r>
            <w:r w:rsidRPr="00EF2DDB">
              <w:rPr>
                <w:b/>
                <w:i/>
              </w:rPr>
              <w:t>hrubou kurzívou</w:t>
            </w:r>
            <w:r w:rsidRPr="00EF2DDB">
              <w:t xml:space="preserve">. Vypustené časti textu sa označujú symbolom ▌ alebo sa prečiarkujú. V prípade nahradenia sa nový text vyznačí </w:t>
            </w:r>
            <w:r w:rsidRPr="00EF2DDB">
              <w:rPr>
                <w:b/>
                <w:i/>
              </w:rPr>
              <w:t>hrubou kurzívou</w:t>
            </w:r>
            <w:r w:rsidRPr="00EF2DDB">
              <w:t xml:space="preserve"> a nahradený text sa vymaže alebo sa prečiarkne. </w:t>
            </w:r>
          </w:p>
          <w:p w14:paraId="16E7BDE1" w14:textId="77777777" w:rsidR="00613C4B" w:rsidRPr="00EF2DDB" w:rsidRDefault="00FF295E" w:rsidP="003506ED">
            <w:pPr>
              <w:pStyle w:val="Lgendestandard"/>
            </w:pPr>
            <w:r w:rsidRPr="00EF2DDB">
              <w:t>Čisto technické zmeny, ktoré vykonávajú útvary s cieľom vypracovať konečný text, sa však nevyznačujú.</w:t>
            </w:r>
          </w:p>
          <w:p w14:paraId="536C1E07" w14:textId="77777777" w:rsidR="00613C4B" w:rsidRPr="00EF2DDB" w:rsidRDefault="00613C4B" w:rsidP="0069092A">
            <w:pPr>
              <w:pStyle w:val="Lgendestandard"/>
            </w:pPr>
          </w:p>
        </w:tc>
      </w:tr>
    </w:tbl>
    <w:p w14:paraId="36AE36BC" w14:textId="77777777" w:rsidR="00613C4B" w:rsidRPr="00EF2DDB" w:rsidRDefault="00613C4B" w:rsidP="00894923"/>
    <w:p w14:paraId="5476A33C" w14:textId="77777777" w:rsidR="00793EA9" w:rsidRPr="00EF2DDB" w:rsidRDefault="00793EA9" w:rsidP="00012351">
      <w:pPr>
        <w:widowControl/>
        <w:tabs>
          <w:tab w:val="center" w:pos="4677"/>
        </w:tabs>
      </w:pPr>
    </w:p>
    <w:p w14:paraId="666125F0" w14:textId="77777777" w:rsidR="00793EA9" w:rsidRPr="00EF2DDB" w:rsidRDefault="00FF295E">
      <w:pPr>
        <w:pStyle w:val="TOCHeading"/>
      </w:pPr>
      <w:r w:rsidRPr="00EF2DDB">
        <w:br w:type="page"/>
      </w:r>
      <w:r w:rsidRPr="00EF2DDB">
        <w:lastRenderedPageBreak/>
        <w:t>OBSAH</w:t>
      </w:r>
    </w:p>
    <w:p w14:paraId="37F94CAB" w14:textId="77777777" w:rsidR="00793EA9" w:rsidRPr="00EF2DDB" w:rsidRDefault="00FF295E">
      <w:pPr>
        <w:pStyle w:val="TOCPage"/>
      </w:pPr>
      <w:r w:rsidRPr="00EF2DDB">
        <w:t>strana</w:t>
      </w:r>
    </w:p>
    <w:p w14:paraId="2F4881A2" w14:textId="55425A2D" w:rsidR="00FF295E" w:rsidRDefault="00FF295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F2DDB">
        <w:rPr>
          <w:b/>
        </w:rPr>
        <w:fldChar w:fldCharType="begin"/>
      </w:r>
      <w:r w:rsidRPr="00EF2DDB">
        <w:rPr>
          <w:b/>
        </w:rPr>
        <w:instrText xml:space="preserve"> TOC \t "PageHeading</w:instrText>
      </w:r>
      <w:r w:rsidR="00D8539B" w:rsidRPr="00EF2DDB">
        <w:rPr>
          <w:b/>
        </w:rPr>
        <w:instrText>;</w:instrText>
      </w:r>
      <w:r w:rsidRPr="00EF2DDB">
        <w:rPr>
          <w:b/>
        </w:rPr>
        <w:instrText xml:space="preserve">1" </w:instrText>
      </w:r>
      <w:r w:rsidRPr="00EF2DDB">
        <w:rPr>
          <w:b/>
        </w:rPr>
        <w:fldChar w:fldCharType="separate"/>
      </w:r>
      <w:r>
        <w:rPr>
          <w:noProof/>
        </w:rPr>
        <w:t>NÁVRH LEGISLATÍVNEHO UZNESENIA EURÓPSKEHO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_Toc231390759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BA1E232" w14:textId="6DDC9EA4" w:rsidR="00FF295E" w:rsidRDefault="00FF295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DÔVODOVÁ SPRÁVA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_Toc231390760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14:paraId="3DBA7A9B" w14:textId="5C6F506F" w:rsidR="002346B0" w:rsidRPr="00EF2DDB" w:rsidRDefault="00FF295E" w:rsidP="00C23324">
      <w:r w:rsidRPr="00EF2DDB">
        <w:rPr>
          <w:b/>
        </w:rPr>
        <w:fldChar w:fldCharType="end"/>
      </w:r>
    </w:p>
    <w:p w14:paraId="35FE5DAF" w14:textId="77777777" w:rsidR="00793EA9" w:rsidRPr="00EF2DDB" w:rsidRDefault="00FF295E">
      <w:pPr>
        <w:pStyle w:val="PageHeading"/>
      </w:pPr>
      <w:r w:rsidRPr="00EF2DDB">
        <w:br w:type="page"/>
      </w:r>
      <w:r w:rsidRPr="00EF2DDB">
        <w:lastRenderedPageBreak/>
        <w:br w:type="page"/>
      </w:r>
      <w:bookmarkStart w:id="0" w:name="_Toc231390759"/>
      <w:r w:rsidRPr="00EF2DDB">
        <w:lastRenderedPageBreak/>
        <w:t>NÁVRH LEGISLATÍVNEHO UZNESENIA EURÓPSKEHO PARLAMENTU</w:t>
      </w:r>
      <w:bookmarkEnd w:id="0"/>
    </w:p>
    <w:p w14:paraId="7A5CC016" w14:textId="77777777" w:rsidR="00793EA9" w:rsidRPr="00EF2DDB" w:rsidRDefault="00FF295E">
      <w:pPr>
        <w:pStyle w:val="NormalBold"/>
      </w:pPr>
      <w:r w:rsidRPr="00EF2DDB">
        <w:t>o návrhu nariadenia Európskeho parlamentu a Rady, ktorým sa stanovuje podpora Únie v oblasti vnútornej bezpečnosti na roky 2028 až 2034</w:t>
      </w:r>
    </w:p>
    <w:p w14:paraId="53421110" w14:textId="77777777" w:rsidR="00793EA9" w:rsidRPr="00EF2DDB" w:rsidRDefault="00FF295E">
      <w:pPr>
        <w:pStyle w:val="NormalBold12a"/>
      </w:pPr>
      <w:r w:rsidRPr="00EF2DDB">
        <w:t>(COM(2025)0542 – C10</w:t>
      </w:r>
      <w:r w:rsidRPr="00EF2DDB">
        <w:noBreakHyphen/>
        <w:t>178/2025 – 2025/0542(COD))</w:t>
      </w:r>
    </w:p>
    <w:p w14:paraId="2895836E" w14:textId="77777777" w:rsidR="00793EA9" w:rsidRPr="00EF2DDB" w:rsidRDefault="00FF295E" w:rsidP="00A910C9">
      <w:pPr>
        <w:pStyle w:val="NormalBold"/>
      </w:pPr>
      <w:r w:rsidRPr="00EF2DDB">
        <w:t>(Riadny legislatívny postup: prvé čítanie)</w:t>
      </w:r>
    </w:p>
    <w:p w14:paraId="0ADFED07" w14:textId="77777777" w:rsidR="00793EA9" w:rsidRPr="00EF2DDB" w:rsidRDefault="00FF295E" w:rsidP="00A910C9">
      <w:pPr>
        <w:pStyle w:val="EPComma"/>
      </w:pPr>
      <w:r w:rsidRPr="00EF2DDB">
        <w:rPr>
          <w:i/>
        </w:rPr>
        <w:t>Európsky parlament</w:t>
      </w:r>
      <w:r w:rsidRPr="00EF2DDB">
        <w:t>,</w:t>
      </w:r>
    </w:p>
    <w:p w14:paraId="4B94E5C2" w14:textId="77777777" w:rsidR="00793EA9" w:rsidRPr="00EF2DDB" w:rsidRDefault="00FF295E">
      <w:pPr>
        <w:pStyle w:val="NormalHanging12a"/>
      </w:pPr>
      <w:r w:rsidRPr="00EF2DDB">
        <w:t>–</w:t>
      </w:r>
      <w:r w:rsidRPr="00EF2DDB">
        <w:tab/>
        <w:t>so zreteľom na návrh Komisie pre Európsky parlament a Radu (COM(2025)0542),</w:t>
      </w:r>
    </w:p>
    <w:p w14:paraId="2A3F1081" w14:textId="77777777" w:rsidR="00793EA9" w:rsidRPr="00EF2DDB" w:rsidRDefault="00FF295E">
      <w:pPr>
        <w:pStyle w:val="NormalHanging12a"/>
      </w:pPr>
      <w:r w:rsidRPr="00EF2DDB">
        <w:t>–</w:t>
      </w:r>
      <w:r w:rsidRPr="00EF2DDB">
        <w:tab/>
        <w:t>so zreteľom na článok 294 ods. 2, článok 82 ods. 1, článok 84 a článok 87 ods. 2 Zmluvy o fungovaní Európskej únie, v súlade s ktorými Komisia predložila návrh Európskemu parlamentu (C10</w:t>
      </w:r>
      <w:r w:rsidRPr="00EF2DDB">
        <w:noBreakHyphen/>
        <w:t>178/2025),</w:t>
      </w:r>
    </w:p>
    <w:p w14:paraId="5068F436" w14:textId="77777777" w:rsidR="00A26F46" w:rsidRPr="00EF2DDB" w:rsidRDefault="00FF295E" w:rsidP="00A26F46">
      <w:pPr>
        <w:pStyle w:val="NormalHanging12a"/>
      </w:pPr>
      <w:r w:rsidRPr="00EF2DDB">
        <w:t>–</w:t>
      </w:r>
      <w:r w:rsidRPr="00EF2DDB">
        <w:tab/>
        <w:t>so zreteľom na článok 294 ods. 3 Zmluvy o fungovaní Európskej únie,</w:t>
      </w:r>
    </w:p>
    <w:p w14:paraId="656DA32B" w14:textId="77777777" w:rsidR="00305CD9" w:rsidRPr="00EF2DDB" w:rsidRDefault="00FF295E" w:rsidP="00305CD9">
      <w:pPr>
        <w:pStyle w:val="NormalHanging12a"/>
      </w:pPr>
      <w:r w:rsidRPr="00EF2DDB">
        <w:t>–</w:t>
      </w:r>
      <w:r w:rsidRPr="00EF2DDB">
        <w:tab/>
        <w:t>so zreteľom na rozpočtové posúdenie Výborom pre rozpočet,</w:t>
      </w:r>
    </w:p>
    <w:p w14:paraId="3A198383" w14:textId="77777777" w:rsidR="009E7232" w:rsidRPr="00EF2DDB" w:rsidRDefault="00FF295E" w:rsidP="00305CD9">
      <w:pPr>
        <w:pStyle w:val="NormalHanging12a"/>
      </w:pPr>
      <w:r w:rsidRPr="00EF2DDB">
        <w:t>–</w:t>
      </w:r>
      <w:r w:rsidRPr="00EF2DDB">
        <w:tab/>
        <w:t>so zreteľom na stanovisko Európskeho hospodárskeho a sociálneho výboru z 19. februára 2026</w:t>
      </w:r>
      <w:r w:rsidRPr="00EF2DDB">
        <w:rPr>
          <w:rStyle w:val="FootnoteReference"/>
        </w:rPr>
        <w:footnoteReference w:id="1"/>
      </w:r>
      <w:r w:rsidRPr="00EF2DDB">
        <w:t>,</w:t>
      </w:r>
    </w:p>
    <w:p w14:paraId="7FD6F8BA" w14:textId="77777777" w:rsidR="00793EA9" w:rsidRPr="00EF2DDB" w:rsidRDefault="00FF295E">
      <w:pPr>
        <w:pStyle w:val="NormalHanging12a"/>
      </w:pPr>
      <w:r w:rsidRPr="00EF2DDB">
        <w:t>–</w:t>
      </w:r>
      <w:r w:rsidRPr="00EF2DDB">
        <w:tab/>
        <w:t>so zreteľom na články 60 a 58 rokovacieho poriadku,</w:t>
      </w:r>
    </w:p>
    <w:p w14:paraId="7510E3FD" w14:textId="77777777" w:rsidR="006A2F5D" w:rsidRPr="00EF2DDB" w:rsidRDefault="00FF295E" w:rsidP="006A2F5D">
      <w:pPr>
        <w:pStyle w:val="NormalHanging12a"/>
      </w:pPr>
      <w:r w:rsidRPr="00EF2DDB">
        <w:t>–</w:t>
      </w:r>
      <w:r w:rsidRPr="00EF2DDB">
        <w:tab/>
        <w:t>so zreteľom na správu Výboru pre občianske slobody, spravodlivosť a vnútorné veci (A10</w:t>
      </w:r>
      <w:r w:rsidRPr="00EF2DDB">
        <w:noBreakHyphen/>
        <w:t>0000/2026),</w:t>
      </w:r>
    </w:p>
    <w:p w14:paraId="24075AD2" w14:textId="77777777" w:rsidR="009F6C2F" w:rsidRPr="00EF2DDB" w:rsidRDefault="00FF295E" w:rsidP="009F6C2F">
      <w:pPr>
        <w:pStyle w:val="NormalHanging12a"/>
      </w:pPr>
      <w:r w:rsidRPr="00EF2DDB">
        <w:t>1.</w:t>
      </w:r>
      <w:r w:rsidRPr="00EF2DDB">
        <w:tab/>
        <w:t>prijíma nasledujúcu pozíciu v prvom čítaní;</w:t>
      </w:r>
    </w:p>
    <w:p w14:paraId="4933F225" w14:textId="77777777" w:rsidR="009F6C2F" w:rsidRPr="00EF2DDB" w:rsidRDefault="00FF295E" w:rsidP="009F6C2F">
      <w:pPr>
        <w:pStyle w:val="NormalHanging12a"/>
      </w:pPr>
      <w:r w:rsidRPr="00EF2DDB">
        <w:t>2.</w:t>
      </w:r>
      <w:r w:rsidRPr="00EF2DDB">
        <w:tab/>
        <w:t>žiada Komisiu, aby mu vec znovu predložila, ak nahrádza, podstatne mení alebo má v úmysle podstatne zmeniť svoj návrh;</w:t>
      </w:r>
    </w:p>
    <w:p w14:paraId="68DD56B2" w14:textId="77777777" w:rsidR="00D30DE2" w:rsidRPr="00EF2DDB" w:rsidRDefault="00FF295E" w:rsidP="00F61420">
      <w:pPr>
        <w:pStyle w:val="NormalHanging12a"/>
      </w:pPr>
      <w:r w:rsidRPr="00EF2DDB">
        <w:t>3.</w:t>
      </w:r>
      <w:r w:rsidRPr="00EF2DDB">
        <w:tab/>
        <w:t>poveruje svoju predsedníčku, aby postúpila túto pozíciu Rade, Komisii a národným parlamentom.</w:t>
      </w:r>
    </w:p>
    <w:p w14:paraId="0E53E207" w14:textId="77777777" w:rsidR="00F61420" w:rsidRPr="00EF2DDB" w:rsidRDefault="00F61420" w:rsidP="00F61420"/>
    <w:p w14:paraId="4312E795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&lt;RepeatBlock-Amend&gt;&lt;Amend&gt;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</w:t>
      </w:r>
      <w:r w:rsidRPr="00EF2DDB">
        <w:rPr>
          <w:rStyle w:val="HideTWBExt"/>
          <w:b w:val="0"/>
        </w:rPr>
        <w:t>&lt;/NumAm&gt;</w:t>
      </w:r>
    </w:p>
    <w:p w14:paraId="474B0C15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251B4A03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3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63489591" w14:textId="77777777" w:rsidTr="00BA27ED">
        <w:trPr>
          <w:jc w:val="center"/>
        </w:trPr>
        <w:tc>
          <w:tcPr>
            <w:tcW w:w="9752" w:type="dxa"/>
            <w:gridSpan w:val="2"/>
          </w:tcPr>
          <w:p w14:paraId="22F31A67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0D58DE0D" w14:textId="77777777" w:rsidTr="00BA27ED">
        <w:trPr>
          <w:jc w:val="center"/>
        </w:trPr>
        <w:tc>
          <w:tcPr>
            <w:tcW w:w="4876" w:type="dxa"/>
          </w:tcPr>
          <w:p w14:paraId="729EC5B2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50133EB1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08300469" w14:textId="77777777" w:rsidTr="00BA27ED">
        <w:trPr>
          <w:jc w:val="center"/>
        </w:trPr>
        <w:tc>
          <w:tcPr>
            <w:tcW w:w="4876" w:type="dxa"/>
          </w:tcPr>
          <w:p w14:paraId="254B52B8" w14:textId="77777777" w:rsidR="00F61420" w:rsidRPr="00EF2DDB" w:rsidRDefault="00FF295E" w:rsidP="00BA27ED">
            <w:pPr>
              <w:pStyle w:val="Normal6"/>
            </w:pPr>
            <w:r w:rsidRPr="00EF2DDB">
              <w:t>(3)</w:t>
            </w:r>
            <w:r w:rsidRPr="00EF2DDB">
              <w:tab/>
              <w:t xml:space="preserve">V tomto nariadení sa stanovujú ciele podpory Únie. </w:t>
            </w:r>
            <w:r w:rsidRPr="00EF2DDB">
              <w:t xml:space="preserve">Aby sa čo najlepšie dosiahla vysoká úroveň bezpečnosti v celej </w:t>
            </w:r>
            <w:r w:rsidRPr="00EF2DDB">
              <w:lastRenderedPageBreak/>
              <w:t>Únii, členské štáty by mali zaistiť, aby sa ich plány národného a regionálneho partnerstva zaoberali všetkými cieľmi stanovenými v tomto nariadení.</w:t>
            </w:r>
          </w:p>
        </w:tc>
        <w:tc>
          <w:tcPr>
            <w:tcW w:w="4876" w:type="dxa"/>
          </w:tcPr>
          <w:p w14:paraId="55B126F2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lastRenderedPageBreak/>
              <w:t>(3)</w:t>
            </w:r>
            <w:r w:rsidRPr="00EF2DDB">
              <w:tab/>
              <w:t xml:space="preserve">V tomto nariadení sa stanovujú ciele podpory Únie </w:t>
            </w:r>
            <w:r w:rsidRPr="00EF2DDB">
              <w:rPr>
                <w:b/>
                <w:i/>
              </w:rPr>
              <w:t>v oblasti vnútornej bezpečnosti</w:t>
            </w:r>
            <w:r w:rsidRPr="00EF2DDB">
              <w:t xml:space="preserve">. Aby sa čo najlepšie dosiahla </w:t>
            </w:r>
            <w:r w:rsidRPr="00EF2DDB">
              <w:lastRenderedPageBreak/>
              <w:t>vysoká úroveň bezpečnosti v celej Únii, členské štáty by mali zaistiť, aby sa ich plány národného a regionálneho partnerstva zaoberali všetkými cieľmi stanovenými v tomto nariadení.</w:t>
            </w:r>
          </w:p>
        </w:tc>
      </w:tr>
    </w:tbl>
    <w:p w14:paraId="3525D23D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lastRenderedPageBreak/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06FF3A71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0871B115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2</w:t>
      </w:r>
      <w:r w:rsidRPr="00EF2DDB">
        <w:rPr>
          <w:rStyle w:val="HideTWBExt"/>
          <w:b w:val="0"/>
        </w:rPr>
        <w:t>&lt;/NumAm&gt;</w:t>
      </w:r>
    </w:p>
    <w:p w14:paraId="0CA336AB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C74EEE6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6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10444F18" w14:textId="77777777" w:rsidTr="00BA27ED">
        <w:trPr>
          <w:jc w:val="center"/>
        </w:trPr>
        <w:tc>
          <w:tcPr>
            <w:tcW w:w="9752" w:type="dxa"/>
            <w:gridSpan w:val="2"/>
          </w:tcPr>
          <w:p w14:paraId="5CFDD0E8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0E41336D" w14:textId="77777777" w:rsidTr="00BA27ED">
        <w:trPr>
          <w:jc w:val="center"/>
        </w:trPr>
        <w:tc>
          <w:tcPr>
            <w:tcW w:w="4876" w:type="dxa"/>
          </w:tcPr>
          <w:p w14:paraId="279AF408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7E90A61A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5DB9FD62" w14:textId="77777777" w:rsidTr="00BA27ED">
        <w:trPr>
          <w:jc w:val="center"/>
        </w:trPr>
        <w:tc>
          <w:tcPr>
            <w:tcW w:w="4876" w:type="dxa"/>
          </w:tcPr>
          <w:p w14:paraId="765E995D" w14:textId="77777777" w:rsidR="00F61420" w:rsidRPr="00EF2DDB" w:rsidRDefault="00FF295E" w:rsidP="00BA27ED">
            <w:pPr>
              <w:pStyle w:val="Normal6"/>
            </w:pPr>
            <w:r w:rsidRPr="00EF2DDB">
              <w:t>(6)</w:t>
            </w:r>
            <w:r w:rsidRPr="00EF2DDB">
              <w:tab/>
              <w:t xml:space="preserve">V rýchlo sa vyvíjajúcom prostredí </w:t>
            </w:r>
            <w:r w:rsidRPr="00EF2DDB">
              <w:t>bezpečnostných hrozieb a geopolitických zmien Komisia vymedzila spoločné priority pre bezpečnejšiu Európu v stratégii ProtectEU</w:t>
            </w:r>
            <w:r w:rsidRPr="00EF2DDB">
              <w:rPr>
                <w:vertAlign w:val="superscript"/>
              </w:rPr>
              <w:t>6</w:t>
            </w:r>
            <w:r w:rsidRPr="00EF2DDB">
              <w:t xml:space="preserve">. Geopolitický kontext v Európe sa výrazne zmenil a hlboko ovplyvnil vzájomné prepojenie vnútornej a vonkajšej bezpečnosti </w:t>
            </w:r>
            <w:r w:rsidRPr="00EF2DDB">
              <w:rPr>
                <w:b/>
                <w:i/>
              </w:rPr>
              <w:t>EÚ</w:t>
            </w:r>
            <w:r w:rsidRPr="00EF2DDB">
              <w:t>. Bezpečnostné hrozby sú čoraz globálnejšie a komplexnejšie, pretože páchatelia trestných činov dokážu pôsobiť cezhranične, využívať sociálne a ekonomické rozdiely a pohybovať sa medzi fyzickým a digitálnym svetom. Nové digitálne technológie a umelá inteligen</w:t>
            </w:r>
            <w:r w:rsidRPr="00EF2DDB">
              <w:t>cia zároveň ponúkajú významné príležitosti na posilnenie spôsobilostí v oblasti presadzovania práva a súdnictva a na účinné riešenie týchto vyvíjajúcich sa hrozieb.</w:t>
            </w:r>
          </w:p>
        </w:tc>
        <w:tc>
          <w:tcPr>
            <w:tcW w:w="4876" w:type="dxa"/>
          </w:tcPr>
          <w:p w14:paraId="262E6A8A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(6)</w:t>
            </w:r>
            <w:r w:rsidRPr="00EF2DDB">
              <w:tab/>
              <w:t>V rýchlo sa vyvíjajúcom prostredí bezpečnostných hrozieb a geopolitických zmien Komisia vymedzila spoločné priority pre bezpečnejšiu Európu v stratégii ProtectEU</w:t>
            </w:r>
            <w:r w:rsidRPr="00EF2DDB">
              <w:rPr>
                <w:vertAlign w:val="superscript"/>
              </w:rPr>
              <w:t>6</w:t>
            </w:r>
            <w:r w:rsidRPr="00EF2DDB">
              <w:t xml:space="preserve">. Geopolitický kontext v Európe sa </w:t>
            </w:r>
            <w:r w:rsidRPr="00EF2DDB">
              <w:rPr>
                <w:b/>
                <w:i/>
              </w:rPr>
              <w:t>v posledných rokoch</w:t>
            </w:r>
            <w:r w:rsidRPr="00EF2DDB">
              <w:t xml:space="preserve"> výrazne zmenil a hlboko ovplyvnil vzájomné prepojenie </w:t>
            </w:r>
            <w:r w:rsidRPr="00EF2DDB">
              <w:rPr>
                <w:b/>
                <w:i/>
              </w:rPr>
              <w:t>výziev EÚ v oblasti</w:t>
            </w:r>
            <w:r w:rsidRPr="00EF2DDB">
              <w:t xml:space="preserve"> vnútornej a vonkajšej bezpečnosti. Bezpečnostné hrozby sú čoraz globálnejšie a komplexnejšie, pretože páchatelia trestných činov dokážu pôsobiť cezhranične, využívať sociálne a ekonomické rozdiely a pohybovať sa medzi fyzickým a digitálnym svetom. Nové digitálne technológie a umelá inteligencia zároveň ponúkajú významné príležitosti na posilnenie spôsobilostí v oblasti presadzovania práva a súdnictva a na účinné riešenie týchto vyvíjajúcich sa hrozieb.</w:t>
            </w:r>
          </w:p>
        </w:tc>
      </w:tr>
      <w:tr w:rsidR="00F95A4C" w:rsidRPr="00EF2DDB" w14:paraId="3CC05366" w14:textId="77777777" w:rsidTr="00BA27ED">
        <w:trPr>
          <w:jc w:val="center"/>
        </w:trPr>
        <w:tc>
          <w:tcPr>
            <w:tcW w:w="4876" w:type="dxa"/>
          </w:tcPr>
          <w:p w14:paraId="433A7CDB" w14:textId="77777777" w:rsidR="00F61420" w:rsidRPr="00EF2DDB" w:rsidRDefault="00FF295E" w:rsidP="00BA27ED">
            <w:pPr>
              <w:pStyle w:val="Normal6"/>
            </w:pPr>
            <w:r w:rsidRPr="00EF2DDB">
              <w:t>__________________</w:t>
            </w:r>
          </w:p>
        </w:tc>
        <w:tc>
          <w:tcPr>
            <w:tcW w:w="4876" w:type="dxa"/>
          </w:tcPr>
          <w:p w14:paraId="35D4B8BF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__________________</w:t>
            </w:r>
          </w:p>
        </w:tc>
      </w:tr>
      <w:tr w:rsidR="00F95A4C" w:rsidRPr="00EF2DDB" w14:paraId="4FD7379D" w14:textId="77777777" w:rsidTr="00BA27ED">
        <w:trPr>
          <w:jc w:val="center"/>
        </w:trPr>
        <w:tc>
          <w:tcPr>
            <w:tcW w:w="4876" w:type="dxa"/>
          </w:tcPr>
          <w:p w14:paraId="394C4BFE" w14:textId="77777777" w:rsidR="00F61420" w:rsidRPr="00EF2DDB" w:rsidRDefault="00FF295E" w:rsidP="00BA27ED">
            <w:pPr>
              <w:pStyle w:val="Normal6"/>
            </w:pPr>
            <w:r w:rsidRPr="00EF2DDB">
              <w:rPr>
                <w:vertAlign w:val="superscript"/>
              </w:rPr>
              <w:t>6</w:t>
            </w:r>
            <w:r w:rsidRPr="00EF2DDB">
              <w:t xml:space="preserve"> Oznámenie Komisie Európskemu parlamentu, Rade, Európskemu hospodárskemu a sociálnemu výboru a Výboru regiónov – ProtectEU: európska stratégia vnútornej bezpečnosti [COM(2025) 148 final z 1.4.2025].</w:t>
            </w:r>
          </w:p>
        </w:tc>
        <w:tc>
          <w:tcPr>
            <w:tcW w:w="4876" w:type="dxa"/>
          </w:tcPr>
          <w:p w14:paraId="3F0C243E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vertAlign w:val="superscript"/>
              </w:rPr>
              <w:t>6</w:t>
            </w:r>
            <w:r w:rsidRPr="00EF2DDB">
              <w:t xml:space="preserve"> Oznámenie Komisie Európskemu parlamentu, Rade, Európskemu hospodárskemu a sociálnemu výboru a Výboru regiónov – ProtectEU: európska stratégia vnútornej bezpečnosti [COM(2025) 148 final z 1.4.2025].</w:t>
            </w:r>
          </w:p>
        </w:tc>
      </w:tr>
    </w:tbl>
    <w:p w14:paraId="0E7D5AC1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7A0F53FC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3915DB64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3</w:t>
      </w:r>
      <w:r w:rsidRPr="00EF2DDB">
        <w:rPr>
          <w:rStyle w:val="HideTWBExt"/>
          <w:b w:val="0"/>
        </w:rPr>
        <w:t>&lt;/NumAm&gt;</w:t>
      </w:r>
    </w:p>
    <w:p w14:paraId="168E5416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D3C91C7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9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7C785F48" w14:textId="77777777" w:rsidTr="00BA27ED">
        <w:trPr>
          <w:jc w:val="center"/>
        </w:trPr>
        <w:tc>
          <w:tcPr>
            <w:tcW w:w="9752" w:type="dxa"/>
            <w:gridSpan w:val="2"/>
          </w:tcPr>
          <w:p w14:paraId="47B16B90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4A16066E" w14:textId="77777777" w:rsidTr="00BA27ED">
        <w:trPr>
          <w:jc w:val="center"/>
        </w:trPr>
        <w:tc>
          <w:tcPr>
            <w:tcW w:w="4876" w:type="dxa"/>
          </w:tcPr>
          <w:p w14:paraId="30EC438B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72E80508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71AFBA36" w14:textId="77777777" w:rsidTr="00BA27ED">
        <w:trPr>
          <w:jc w:val="center"/>
        </w:trPr>
        <w:tc>
          <w:tcPr>
            <w:tcW w:w="4876" w:type="dxa"/>
          </w:tcPr>
          <w:p w14:paraId="4A0193FC" w14:textId="77777777" w:rsidR="00F61420" w:rsidRPr="00EF2DDB" w:rsidRDefault="00FF295E" w:rsidP="00BA27ED">
            <w:pPr>
              <w:pStyle w:val="Normal6"/>
            </w:pPr>
            <w:r w:rsidRPr="00EF2DDB">
              <w:t>(9)</w:t>
            </w:r>
            <w:r w:rsidRPr="00EF2DDB">
              <w:tab/>
              <w:t xml:space="preserve">Bezpečnosť je základom, na ktorom sú postavené všetky naše slobody, a schopnosť členských štátov </w:t>
            </w:r>
            <w:r w:rsidRPr="00EF2DDB">
              <w:t>zaručiť občanom bezpečnosť závisí od jednotného európskeho prístupu. Ako sa uvádza v stratégii ProtectEU, bezpečnostné hľadisko je potrebné integrovať a zahrnúť do všetkých právnych predpisov, politík a programov EÚ vrátane vonkajšej činnosti EÚ. Podpora Únie podľa tohto nariadenia by mala prispieť k riešeniu týchto otázok.</w:t>
            </w:r>
          </w:p>
        </w:tc>
        <w:tc>
          <w:tcPr>
            <w:tcW w:w="4876" w:type="dxa"/>
          </w:tcPr>
          <w:p w14:paraId="39970536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(9)</w:t>
            </w:r>
            <w:r w:rsidRPr="00EF2DDB">
              <w:tab/>
              <w:t xml:space="preserve">Bezpečnosť je základom, na ktorom sú postavené všetky naše slobody, a schopnosť členských štátov zaručiť </w:t>
            </w:r>
            <w:r w:rsidRPr="00EF2DDB">
              <w:rPr>
                <w:b/>
                <w:i/>
              </w:rPr>
              <w:t>svojim</w:t>
            </w:r>
            <w:r w:rsidRPr="00EF2DDB">
              <w:t xml:space="preserve"> občanom </w:t>
            </w:r>
            <w:r w:rsidRPr="00EF2DDB">
              <w:rPr>
                <w:b/>
                <w:i/>
              </w:rPr>
              <w:t>v Únii</w:t>
            </w:r>
            <w:r w:rsidRPr="00EF2DDB">
              <w:t xml:space="preserve"> bezpečnosť </w:t>
            </w:r>
            <w:r w:rsidRPr="00EF2DDB">
              <w:rPr>
                <w:b/>
                <w:i/>
              </w:rPr>
              <w:t>bez kontrol na vnútorných hraniciach</w:t>
            </w:r>
            <w:r w:rsidRPr="00EF2DDB">
              <w:t xml:space="preserve"> závisí od jednotného európskeho prístupu</w:t>
            </w:r>
            <w:r w:rsidRPr="00EF2DDB">
              <w:rPr>
                <w:b/>
                <w:i/>
              </w:rPr>
              <w:t>. Podpora zo strany Únie by sa mala vzťahovať na opatrenia, ktoré pomáhajú zabrániť zavedeniu dočasných kontrol na vnútorných hraniciach alebo zrušeniu takýchto kontrol</w:t>
            </w:r>
            <w:r w:rsidRPr="00EF2DDB">
              <w:t>. Ako sa uvádza v stratégii ProtectEU, bezpečnostné hľadisko je potrebné integrovať a zahrnúť do všetkých právnych predpisov, po</w:t>
            </w:r>
            <w:r w:rsidRPr="00EF2DDB">
              <w:t>litík a programov EÚ vrátane vonkajšej činnosti EÚ. Podpora Únie podľa tohto nariadenia by mala prispieť k riešeniu týchto otázok.</w:t>
            </w:r>
          </w:p>
        </w:tc>
      </w:tr>
    </w:tbl>
    <w:p w14:paraId="7D87A266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576E1BC3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362BF9A8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4</w:t>
      </w:r>
      <w:r w:rsidRPr="00EF2DDB">
        <w:rPr>
          <w:rStyle w:val="HideTWBExt"/>
          <w:b w:val="0"/>
        </w:rPr>
        <w:t>&lt;/NumAm&gt;</w:t>
      </w:r>
    </w:p>
    <w:p w14:paraId="5015787F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2BC9180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10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27C1C5D5" w14:textId="77777777" w:rsidTr="00BA27ED">
        <w:trPr>
          <w:jc w:val="center"/>
        </w:trPr>
        <w:tc>
          <w:tcPr>
            <w:tcW w:w="9752" w:type="dxa"/>
            <w:gridSpan w:val="2"/>
          </w:tcPr>
          <w:p w14:paraId="7726D4E1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4D0CF3F6" w14:textId="77777777" w:rsidTr="00BA27ED">
        <w:trPr>
          <w:jc w:val="center"/>
        </w:trPr>
        <w:tc>
          <w:tcPr>
            <w:tcW w:w="4876" w:type="dxa"/>
          </w:tcPr>
          <w:p w14:paraId="4FCF4D3A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5ED28388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65C08A13" w14:textId="77777777" w:rsidTr="00BA27ED">
        <w:trPr>
          <w:jc w:val="center"/>
        </w:trPr>
        <w:tc>
          <w:tcPr>
            <w:tcW w:w="4876" w:type="dxa"/>
          </w:tcPr>
          <w:p w14:paraId="04F8125E" w14:textId="77777777" w:rsidR="00F61420" w:rsidRPr="00EF2DDB" w:rsidRDefault="00FF295E" w:rsidP="00BA27ED">
            <w:pPr>
              <w:pStyle w:val="Normal6"/>
            </w:pPr>
            <w:r w:rsidRPr="00EF2DDB">
              <w:t>(10)</w:t>
            </w:r>
            <w:r w:rsidRPr="00EF2DDB">
              <w:tab/>
              <w:t>Európska rada vo svojich záveroch z 26. júna 2025</w:t>
            </w:r>
            <w:r w:rsidRPr="00EF2DDB">
              <w:rPr>
                <w:vertAlign w:val="superscript"/>
              </w:rPr>
              <w:t>7</w:t>
            </w:r>
            <w:r w:rsidRPr="00EF2DDB">
              <w:t xml:space="preserve"> pripomenula, že závažná a organizovaná trestná činnosť, terorizmus, radikalizácia a násilný extrémizmus, a to na internete aj mimo neho, predstavujú veľkú hrozbu pre európskych občanov a bezpečnosť členských štátov. Európska rada takisto zdôraznila hrozbu, ktorú predstavuje prenikanie zločineckých skupín do legálnych obchodných štruktúr, čo má škodlivý vplyv na verejné financie a jednotný trh. Európska rada vyzvala inštitúcie Únie a členské štáty, aby mobilizovali všetky dostupné zdroje na vnútroštátnej úr</w:t>
            </w:r>
            <w:r w:rsidRPr="00EF2DDB">
              <w:t xml:space="preserve">ovni aj na úrovni EÚ a prijali ďalšie opatrenia na posilnenie spolupráce v oblasti presadzovania práva a justičnej spolupráce, a to aj v oblasti účinného prístupu k údajom na účely presadzovania práva a zabezpečenia </w:t>
            </w:r>
            <w:r w:rsidRPr="00EF2DDB">
              <w:lastRenderedPageBreak/>
              <w:t>výmeny informácií, ako aj prostredníctvom spolupráce s tretími krajinami.</w:t>
            </w:r>
          </w:p>
        </w:tc>
        <w:tc>
          <w:tcPr>
            <w:tcW w:w="4876" w:type="dxa"/>
          </w:tcPr>
          <w:p w14:paraId="3BE54623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i/>
              </w:rPr>
              <w:lastRenderedPageBreak/>
              <w:t>(Netýka sa slovenskej verzie.)</w:t>
            </w:r>
            <w:r w:rsidRPr="00EF2DDB">
              <w:tab/>
              <w:t xml:space="preserve">     </w:t>
            </w:r>
          </w:p>
        </w:tc>
      </w:tr>
      <w:tr w:rsidR="00F95A4C" w:rsidRPr="00EF2DDB" w14:paraId="661B85E7" w14:textId="77777777" w:rsidTr="00BA27ED">
        <w:trPr>
          <w:jc w:val="center"/>
        </w:trPr>
        <w:tc>
          <w:tcPr>
            <w:tcW w:w="4876" w:type="dxa"/>
          </w:tcPr>
          <w:p w14:paraId="267DE12E" w14:textId="77777777" w:rsidR="00F61420" w:rsidRPr="00EF2DDB" w:rsidRDefault="00FF295E" w:rsidP="00BA27ED">
            <w:pPr>
              <w:pStyle w:val="Normal6"/>
            </w:pPr>
            <w:r w:rsidRPr="00EF2DDB">
              <w:t>__________________</w:t>
            </w:r>
          </w:p>
        </w:tc>
        <w:tc>
          <w:tcPr>
            <w:tcW w:w="4876" w:type="dxa"/>
          </w:tcPr>
          <w:p w14:paraId="4634793A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 xml:space="preserve"> </w:t>
            </w:r>
          </w:p>
        </w:tc>
      </w:tr>
      <w:tr w:rsidR="00F95A4C" w:rsidRPr="00EF2DDB" w14:paraId="3188D360" w14:textId="77777777" w:rsidTr="00BA27ED">
        <w:trPr>
          <w:jc w:val="center"/>
        </w:trPr>
        <w:tc>
          <w:tcPr>
            <w:tcW w:w="4876" w:type="dxa"/>
          </w:tcPr>
          <w:p w14:paraId="48ECD4F8" w14:textId="77777777" w:rsidR="00F61420" w:rsidRPr="00EF2DDB" w:rsidRDefault="00FF295E" w:rsidP="00BA27ED">
            <w:pPr>
              <w:pStyle w:val="Normal6"/>
            </w:pPr>
            <w:r w:rsidRPr="00EF2DDB">
              <w:rPr>
                <w:vertAlign w:val="superscript"/>
              </w:rPr>
              <w:t>7</w:t>
            </w:r>
            <w:r w:rsidRPr="00EF2DDB">
              <w:t xml:space="preserve"> Závery Rady EUCO 12/25 z 26. júna 2025.</w:t>
            </w:r>
          </w:p>
        </w:tc>
        <w:tc>
          <w:tcPr>
            <w:tcW w:w="4876" w:type="dxa"/>
          </w:tcPr>
          <w:p w14:paraId="40B31712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 xml:space="preserve"> </w:t>
            </w:r>
          </w:p>
        </w:tc>
      </w:tr>
    </w:tbl>
    <w:p w14:paraId="6921C870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5013643A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12F8E25C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5</w:t>
      </w:r>
      <w:r w:rsidRPr="00EF2DDB">
        <w:rPr>
          <w:rStyle w:val="HideTWBExt"/>
          <w:b w:val="0"/>
        </w:rPr>
        <w:t>&lt;/NumAm&gt;</w:t>
      </w:r>
    </w:p>
    <w:p w14:paraId="71109C5D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254B9DCA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11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19BB9CC5" w14:textId="77777777" w:rsidTr="00BA27ED">
        <w:trPr>
          <w:jc w:val="center"/>
        </w:trPr>
        <w:tc>
          <w:tcPr>
            <w:tcW w:w="9752" w:type="dxa"/>
            <w:gridSpan w:val="2"/>
          </w:tcPr>
          <w:p w14:paraId="60F1078D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7E164759" w14:textId="77777777" w:rsidTr="00BA27ED">
        <w:trPr>
          <w:jc w:val="center"/>
        </w:trPr>
        <w:tc>
          <w:tcPr>
            <w:tcW w:w="4876" w:type="dxa"/>
          </w:tcPr>
          <w:p w14:paraId="4D79DE4C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5751F44E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1FF54E5A" w14:textId="77777777" w:rsidTr="00BA27ED">
        <w:trPr>
          <w:jc w:val="center"/>
        </w:trPr>
        <w:tc>
          <w:tcPr>
            <w:tcW w:w="4876" w:type="dxa"/>
          </w:tcPr>
          <w:p w14:paraId="37BC1A91" w14:textId="77777777" w:rsidR="00F61420" w:rsidRPr="00EF2DDB" w:rsidRDefault="00FF295E" w:rsidP="00BA27ED">
            <w:pPr>
              <w:pStyle w:val="Normal6"/>
            </w:pPr>
            <w:r w:rsidRPr="00EF2DDB">
              <w:t>(11)</w:t>
            </w:r>
            <w:r w:rsidRPr="00EF2DDB">
              <w:tab/>
              <w:t xml:space="preserve">S cieľom predchádzať hrozbám pre vnútornú bezpečnosť a bojovať proti nim by podpora Únie mala viesť: k posilneniu schopnosti členských štátov predchádzať </w:t>
            </w:r>
            <w:r w:rsidRPr="00EF2DDB">
              <w:t>a bojovať proti závažnej a organizovanej trestnej činnosti, terorizmu, násilnému extrémizmu a radikalizácii, sexuálnemu zneužívaniu a vykorisťovaniu detí a počítačovej kriminalite; k opatreniam zameraným na výzvy v oblasti digitálnej a technologickej bezpečnosti, na odolnosť kritickej infraštruktúry voči online hrozbám, bezpečnostné hrozby v námornej oblasti, obchodovanie s ľuďmi, prevádzačstvo migrantov, nedovolené obchodovanie s drogami, nedovolené obchodovanie so zbraňami, pranie špinavých peňazí, vymáha</w:t>
            </w:r>
            <w:r w:rsidRPr="00EF2DDB">
              <w:t>nie majetku a finančnú trestnú činnosť, trestnú činnosť v oblasti životného prostredia, falšovanie platobných prostriedkov a trestné činy poškodzujúce finančné záujmy Únie; ako aj k pomoci obetiam trestných činov a ich ochrane, k ochrane verejných priestorov, riešeniu bezpečnostných hrozieb súvisiacich s chemickými, biologickými, rádiologickými, jadrovými a výbušnými materiálmi a riadeniu incidentov, a to aj prostredníctvom intenzívnejšej spolupráce a výmeny informácií medzi orgánmi verejnej moci, príslušný</w:t>
            </w:r>
            <w:r w:rsidRPr="00EF2DDB">
              <w:t xml:space="preserve">mi orgánmi, úradmi alebo agentúrami Únie, občianskou spoločnosťou a partnermi zo súkromného sektora v rôznych členských štátoch. </w:t>
            </w:r>
            <w:r w:rsidRPr="00EF2DDB">
              <w:lastRenderedPageBreak/>
              <w:t>Podpora Únie by tiež mala prispieť k tomu, aby členské štáty získavali a zavádzali inovačné metódy a technológie v oblasti vnútornej bezpečnosti, najmä tie, ktoré sú podporované nariadením (EÚ) […] o zriadení Európskeho fondu pre konkurencieschopnosť, a nariadením (EÚ) […], ktorým sa zriaďuje rámcový program EÚ pre výskum. Okrem toho má v meniacom sa globálnom politickom prostredí</w:t>
            </w:r>
            <w:r w:rsidRPr="00EF2DDB">
              <w:t xml:space="preserve"> kľúčový význam vonkajší rozmer priestoru slobody, bezpečnosti a spravodlivosti. Podpora Únie by preto mala vzhľadom na záujmy vnútorných politík Únie prispieť aj k posilneniu spolupráce a partnerstva s tretími krajinami.</w:t>
            </w:r>
          </w:p>
        </w:tc>
        <w:tc>
          <w:tcPr>
            <w:tcW w:w="4876" w:type="dxa"/>
          </w:tcPr>
          <w:p w14:paraId="4654029E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i/>
              </w:rPr>
              <w:lastRenderedPageBreak/>
              <w:t>(Netýka sa slovenskej verzie.)</w:t>
            </w:r>
            <w:r w:rsidRPr="00EF2DDB">
              <w:tab/>
              <w:t xml:space="preserve">       </w:t>
            </w:r>
          </w:p>
        </w:tc>
      </w:tr>
    </w:tbl>
    <w:p w14:paraId="20CB9C34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3E3431A3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7360FD46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6</w:t>
      </w:r>
      <w:r w:rsidRPr="00EF2DDB">
        <w:rPr>
          <w:rStyle w:val="HideTWBExt"/>
          <w:b w:val="0"/>
        </w:rPr>
        <w:t>&lt;/NumAm&gt;</w:t>
      </w:r>
    </w:p>
    <w:p w14:paraId="6AE15612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1AFE341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11 a (nové)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37F7439B" w14:textId="77777777" w:rsidTr="00BA27ED">
        <w:trPr>
          <w:jc w:val="center"/>
        </w:trPr>
        <w:tc>
          <w:tcPr>
            <w:tcW w:w="9752" w:type="dxa"/>
            <w:gridSpan w:val="2"/>
          </w:tcPr>
          <w:p w14:paraId="33AE120D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7FE7291C" w14:textId="77777777" w:rsidTr="00BA27ED">
        <w:trPr>
          <w:jc w:val="center"/>
        </w:trPr>
        <w:tc>
          <w:tcPr>
            <w:tcW w:w="4876" w:type="dxa"/>
          </w:tcPr>
          <w:p w14:paraId="23E964B5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4BC92D99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2EA354F9" w14:textId="77777777" w:rsidTr="00BA27ED">
        <w:trPr>
          <w:jc w:val="center"/>
        </w:trPr>
        <w:tc>
          <w:tcPr>
            <w:tcW w:w="4876" w:type="dxa"/>
          </w:tcPr>
          <w:p w14:paraId="622111E7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29B8B924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(11a)</w:t>
            </w:r>
            <w:r w:rsidRPr="00EF2DDB">
              <w:rPr>
                <w:b/>
                <w:i/>
              </w:rPr>
              <w:tab/>
              <w:t xml:space="preserve">V čoraz zložitejšom a </w:t>
            </w:r>
            <w:r w:rsidRPr="00EF2DDB">
              <w:rPr>
                <w:b/>
                <w:i/>
              </w:rPr>
              <w:t xml:space="preserve">spornejšom bezpečnostnom prostredí Únia a jej členské štáty čelia rastúcemu spektru hybridných hrozieb, ktoré spájajú konvenčné a nekonvenčné prostriedky vrátane sabotáže, kybernetických útokov, dezinformačných kampaní, zasahovania do kritickej infraštruktúry a inštrumentalizácie migrácie, ktoré často koordinovaným spôsobom nasadzujú štátne i neštátne subjekty. Cieľom týchto hrozieb je oslabiť dôveru verejnosti v demokratické inštitúcie a účinné fungovanie spoločností a môžu mať vážne dôsledky pre vnútornú </w:t>
            </w:r>
            <w:r w:rsidRPr="00EF2DDB">
              <w:rPr>
                <w:b/>
                <w:i/>
              </w:rPr>
              <w:t xml:space="preserve">bezpečnosť. Preto je potrebné podporovať opatrenia zamerané na predchádzanie hybridným hrozbám, ich odhaľovanie a reakciu na ne, zvyšovanie situačného povedomia, posilňovanie odolnosti kritických subjektov a orgánov verejnej moci a zlepšovanie spolupráce a výmeny informácií v súvislosti s hybridnými </w:t>
            </w:r>
            <w:r w:rsidRPr="00EF2DDB">
              <w:rPr>
                <w:b/>
                <w:i/>
              </w:rPr>
              <w:lastRenderedPageBreak/>
              <w:t xml:space="preserve">hrozbami medzi príslušnými orgánmi na úrovni Únie a členských štátov. </w:t>
            </w:r>
          </w:p>
        </w:tc>
      </w:tr>
    </w:tbl>
    <w:p w14:paraId="4AFFA574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lastRenderedPageBreak/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4C7B3A8B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2E81B373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7</w:t>
      </w:r>
      <w:r w:rsidRPr="00EF2DDB">
        <w:rPr>
          <w:rStyle w:val="HideTWBExt"/>
          <w:b w:val="0"/>
        </w:rPr>
        <w:t>&lt;/NumAm&gt;</w:t>
      </w:r>
    </w:p>
    <w:p w14:paraId="40CE0B29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3B8EE934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12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1E543B72" w14:textId="77777777" w:rsidTr="00BA27ED">
        <w:trPr>
          <w:jc w:val="center"/>
        </w:trPr>
        <w:tc>
          <w:tcPr>
            <w:tcW w:w="9752" w:type="dxa"/>
            <w:gridSpan w:val="2"/>
          </w:tcPr>
          <w:p w14:paraId="74954A67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25ADB994" w14:textId="77777777" w:rsidTr="00BA27ED">
        <w:trPr>
          <w:jc w:val="center"/>
        </w:trPr>
        <w:tc>
          <w:tcPr>
            <w:tcW w:w="4876" w:type="dxa"/>
          </w:tcPr>
          <w:p w14:paraId="207938CB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658475F2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386345F6" w14:textId="77777777" w:rsidTr="00BA27ED">
        <w:trPr>
          <w:jc w:val="center"/>
        </w:trPr>
        <w:tc>
          <w:tcPr>
            <w:tcW w:w="4876" w:type="dxa"/>
          </w:tcPr>
          <w:p w14:paraId="14B5357D" w14:textId="77777777" w:rsidR="00F61420" w:rsidRPr="00EF2DDB" w:rsidRDefault="00FF295E" w:rsidP="00BA27ED">
            <w:pPr>
              <w:pStyle w:val="Normal6"/>
            </w:pPr>
            <w:r w:rsidRPr="00EF2DDB">
              <w:t>(12)</w:t>
            </w:r>
            <w:r w:rsidRPr="00EF2DDB">
              <w:tab/>
              <w:t>Podpora Únie by mala prispieť k zabezpečeniu konzistentnosti, súdržnosti, synergií a komplementárnosti medzi vnútornými a vonkajšími politikami Únie v súlade s uplatňovaním hľadiska bezpečnosti. V tejto súvislosti by podpora Únie podľa tohto nariadenia mala prispieť najmä k boju proti závažnej a organizovanej trestnej činnosti vrátane obchodovania s drogami a obchodovania s ľuďmi, k boju proti cezhraničným zločineckým pašeráckym sieťam a k predchádzaniu tejto činnosti. Podpora Únie podľa tohto nariadenia m</w:t>
            </w:r>
            <w:r w:rsidRPr="00EF2DDB">
              <w:t>ôže v riadne odôvodnených prípadoch zahŕňať aj podporu príslušných zdrojov delegácií EÚ a vo fáze programovania a vykonávania sa môže koordinovať medzi členskými štátmi a Komisiou.</w:t>
            </w:r>
          </w:p>
        </w:tc>
        <w:tc>
          <w:tcPr>
            <w:tcW w:w="4876" w:type="dxa"/>
          </w:tcPr>
          <w:p w14:paraId="06D1C445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(12)</w:t>
            </w:r>
            <w:r w:rsidRPr="00EF2DDB">
              <w:tab/>
              <w:t xml:space="preserve">Podpora Únie by mala prispieť k zabezpečeniu konzistentnosti, súdržnosti, synergií a komplementárnosti medzi vnútornými a vonkajšími politikami Únie v súlade s uplatňovaním hľadiska bezpečnosti </w:t>
            </w:r>
            <w:r w:rsidRPr="00EF2DDB">
              <w:rPr>
                <w:b/>
                <w:i/>
              </w:rPr>
              <w:t>ako cieľa vo všetkých programoch Únie</w:t>
            </w:r>
            <w:r w:rsidRPr="00EF2DDB">
              <w:t>. V tejto súvislosti by podpora Únie podľa tohto nariadenia mala prispieť najmä k boju proti závažnej a organizovanej trestnej činnosti vrátane obchodovania s drogami a obchodovania s ľuďmi, k boju proti cezhraničným zločineckým pašeráckym sieťam a k predchádzaniu tejto činnosti.</w:t>
            </w:r>
            <w:r w:rsidRPr="00EF2DDB">
              <w:t xml:space="preserve"> Podpora Únie podľa tohto nariadenia môže v riadne odôvodnených prípadoch zahŕňať aj podporu príslušných zdrojov delegácií EÚ a vo fáze programovania a vykonávania sa môže koordinovať medzi členskými štátmi a Komisiou.</w:t>
            </w:r>
          </w:p>
        </w:tc>
      </w:tr>
    </w:tbl>
    <w:p w14:paraId="537FBF5D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66DD3A2F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500E1063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8</w:t>
      </w:r>
      <w:r w:rsidRPr="00EF2DDB">
        <w:rPr>
          <w:rStyle w:val="HideTWBExt"/>
          <w:b w:val="0"/>
        </w:rPr>
        <w:t>&lt;/NumAm&gt;</w:t>
      </w:r>
    </w:p>
    <w:p w14:paraId="469794B5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4030CF6D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14 a (nové)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29F11332" w14:textId="77777777" w:rsidTr="00BA27ED">
        <w:trPr>
          <w:jc w:val="center"/>
        </w:trPr>
        <w:tc>
          <w:tcPr>
            <w:tcW w:w="9752" w:type="dxa"/>
            <w:gridSpan w:val="2"/>
          </w:tcPr>
          <w:p w14:paraId="2B92631D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5A194E74" w14:textId="77777777" w:rsidTr="00BA27ED">
        <w:trPr>
          <w:jc w:val="center"/>
        </w:trPr>
        <w:tc>
          <w:tcPr>
            <w:tcW w:w="4876" w:type="dxa"/>
          </w:tcPr>
          <w:p w14:paraId="207A3FD4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0CEF799E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64DFE4E6" w14:textId="77777777" w:rsidTr="00BA27ED">
        <w:trPr>
          <w:jc w:val="center"/>
        </w:trPr>
        <w:tc>
          <w:tcPr>
            <w:tcW w:w="4876" w:type="dxa"/>
          </w:tcPr>
          <w:p w14:paraId="17E3B0DA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15046693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(14a)</w:t>
            </w:r>
            <w:r w:rsidRPr="00EF2DDB">
              <w:rPr>
                <w:b/>
                <w:i/>
              </w:rPr>
              <w:tab/>
              <w:t xml:space="preserve">Okrem dokumentov a stratégií prijatých Radou alebo </w:t>
            </w:r>
            <w:r w:rsidRPr="00EF2DDB">
              <w:rPr>
                <w:b/>
                <w:i/>
              </w:rPr>
              <w:t xml:space="preserve">Komisiou uvedených v článku 22 ods. 2 písm. b) bode iii) nariadenia (EÚ) […], ktorým sa zriaďuje Európsky fond pre hospodársku, sociálnu a územnú súdržnosť, poľnohospodárstvo a vidiek, rybárstvo a námorné záležitosti, prosperitu </w:t>
            </w:r>
            <w:r w:rsidRPr="00EF2DDB">
              <w:rPr>
                <w:b/>
                <w:i/>
              </w:rPr>
              <w:lastRenderedPageBreak/>
              <w:t>a bezpečnosť, ktoré sú relevantné v oblasti vnútornej bezpečnosti, by členské štáty mali vo svojich národných plánoch riešiť aj výzvy identifikované Európskou multidisciplinárnou platformou proti hrozbám trestnej činnosti (EMPACT), v Hodnotení hrozieb závažnej a organizovanej trestn</w:t>
            </w:r>
            <w:r w:rsidRPr="00EF2DDB">
              <w:rPr>
                <w:b/>
                <w:i/>
              </w:rPr>
              <w:t>ej činnosti v Európskej únii (EU-SOCTA) a v Hodnotení hrozieb internetovej organizovanej trestnej činnosti (IOCTA), ktoré uverejnil Europol.</w:t>
            </w:r>
          </w:p>
        </w:tc>
      </w:tr>
    </w:tbl>
    <w:p w14:paraId="7C5D410A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lastRenderedPageBreak/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209515A5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126C1BE8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9</w:t>
      </w:r>
      <w:r w:rsidRPr="00EF2DDB">
        <w:rPr>
          <w:rStyle w:val="HideTWBExt"/>
          <w:b w:val="0"/>
        </w:rPr>
        <w:t>&lt;/NumAm&gt;</w:t>
      </w:r>
    </w:p>
    <w:p w14:paraId="58775943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 xml:space="preserve">Návrh </w:t>
      </w:r>
      <w:r w:rsidRPr="00EF2DDB">
        <w:t>nariadenia</w:t>
      </w:r>
      <w:r w:rsidRPr="00EF2DDB">
        <w:rPr>
          <w:rStyle w:val="HideTWBExt"/>
          <w:b w:val="0"/>
        </w:rPr>
        <w:t>&lt;/DocAmend&gt;</w:t>
      </w:r>
    </w:p>
    <w:p w14:paraId="75A85234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16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58508F79" w14:textId="77777777" w:rsidTr="00BA27ED">
        <w:trPr>
          <w:jc w:val="center"/>
        </w:trPr>
        <w:tc>
          <w:tcPr>
            <w:tcW w:w="9752" w:type="dxa"/>
            <w:gridSpan w:val="2"/>
          </w:tcPr>
          <w:p w14:paraId="55668030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54C5F757" w14:textId="77777777" w:rsidTr="00BA27ED">
        <w:trPr>
          <w:jc w:val="center"/>
        </w:trPr>
        <w:tc>
          <w:tcPr>
            <w:tcW w:w="4876" w:type="dxa"/>
          </w:tcPr>
          <w:p w14:paraId="259CED39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10457C80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19475AD5" w14:textId="77777777" w:rsidTr="00BA27ED">
        <w:trPr>
          <w:jc w:val="center"/>
        </w:trPr>
        <w:tc>
          <w:tcPr>
            <w:tcW w:w="4876" w:type="dxa"/>
          </w:tcPr>
          <w:p w14:paraId="49AEB153" w14:textId="77777777" w:rsidR="00F61420" w:rsidRPr="00EF2DDB" w:rsidRDefault="00FF295E" w:rsidP="00BA27ED">
            <w:pPr>
              <w:pStyle w:val="Normal6"/>
            </w:pPr>
            <w:r w:rsidRPr="00EF2DDB">
              <w:t>(16)</w:t>
            </w:r>
            <w:r w:rsidRPr="00EF2DDB">
              <w:tab/>
            </w:r>
            <w:r w:rsidRPr="00EF2DDB">
              <w:rPr>
                <w:b/>
                <w:i/>
              </w:rPr>
              <w:t>Európa musí chrániť svoje bezpečnostné záujmy pred dodávateľmi, ktorí</w:t>
            </w:r>
            <w:r w:rsidRPr="00EF2DDB">
              <w:t xml:space="preserve"> by </w:t>
            </w:r>
            <w:r w:rsidRPr="00EF2DDB">
              <w:rPr>
                <w:b/>
                <w:i/>
              </w:rPr>
              <w:t>mohli predstavovať pretrvávajúce bezpečnostné riziko z dôvodu možného zasahovania</w:t>
            </w:r>
            <w:r w:rsidRPr="00EF2DDB">
              <w:t xml:space="preserve"> tretích krajín, </w:t>
            </w:r>
            <w:r w:rsidRPr="00EF2DDB">
              <w:rPr>
                <w:b/>
                <w:i/>
              </w:rPr>
              <w:t>ako aj z dôvodu ich postupov</w:t>
            </w:r>
            <w:r w:rsidRPr="00EF2DDB">
              <w:t xml:space="preserve"> v oblasti kybernetickej bezpečnosti. </w:t>
            </w:r>
            <w:r w:rsidRPr="00EF2DDB">
              <w:rPr>
                <w:b/>
                <w:i/>
              </w:rPr>
              <w:t>Je preto potrebné znížiť riziko pretrvávajúcej závislosti od vysokorizikových dodávateľov na vnútornom trhu</w:t>
            </w:r>
            <w:r w:rsidRPr="00EF2DDB">
              <w:t xml:space="preserve">, </w:t>
            </w:r>
            <w:r w:rsidRPr="00EF2DDB">
              <w:rPr>
                <w:b/>
                <w:i/>
              </w:rPr>
              <w:t>pretože</w:t>
            </w:r>
            <w:r w:rsidRPr="00EF2DDB">
              <w:t xml:space="preserve"> by </w:t>
            </w:r>
            <w:r w:rsidRPr="00EF2DDB">
              <w:rPr>
                <w:b/>
                <w:i/>
              </w:rPr>
              <w:t>mohli mať potenciálne závažný negatívny vplyv na bezpečnosť používateľov</w:t>
            </w:r>
            <w:r w:rsidRPr="00EF2DDB">
              <w:t xml:space="preserve">, </w:t>
            </w:r>
            <w:r w:rsidRPr="00EF2DDB">
              <w:rPr>
                <w:b/>
                <w:i/>
              </w:rPr>
              <w:t>podnikov a orgánov</w:t>
            </w:r>
            <w:r w:rsidRPr="00EF2DDB">
              <w:t xml:space="preserve"> v </w:t>
            </w:r>
            <w:r w:rsidRPr="00EF2DDB">
              <w:rPr>
                <w:b/>
                <w:i/>
              </w:rPr>
              <w:t>celej EÚ a na bezpečnosť kritickej infraštruktúry EÚ z hľad</w:t>
            </w:r>
            <w:r w:rsidRPr="00EF2DDB">
              <w:rPr>
                <w:b/>
                <w:i/>
              </w:rPr>
              <w:t>iska integrity</w:t>
            </w:r>
            <w:r w:rsidRPr="00EF2DDB">
              <w:t xml:space="preserve"> údajov a služieb, </w:t>
            </w:r>
            <w:r w:rsidRPr="00EF2DDB">
              <w:rPr>
                <w:b/>
                <w:i/>
              </w:rPr>
              <w:t>ako</w:t>
            </w:r>
            <w:r w:rsidRPr="00EF2DDB">
              <w:t xml:space="preserve"> aj </w:t>
            </w:r>
            <w:r w:rsidRPr="00EF2DDB">
              <w:rPr>
                <w:b/>
                <w:i/>
              </w:rPr>
              <w:t>dostupnosti služieb</w:t>
            </w:r>
            <w:r w:rsidRPr="00EF2DDB">
              <w:t>.</w:t>
            </w:r>
            <w:r w:rsidRPr="00EF2DDB">
              <w:rPr>
                <w:b/>
                <w:i/>
              </w:rPr>
              <w:t xml:space="preserve"> Toto</w:t>
            </w:r>
            <w:r w:rsidRPr="00EF2DDB">
              <w:t xml:space="preserve"> vylúčenie by malo byť založené na primeranom posúdení rizika a </w:t>
            </w:r>
            <w:r w:rsidRPr="00EF2DDB">
              <w:rPr>
                <w:b/>
                <w:i/>
              </w:rPr>
              <w:t>na súvisiacich zmierňujúcich opatreniach, ako sú vymedzené</w:t>
            </w:r>
            <w:r w:rsidRPr="00EF2DDB">
              <w:t xml:space="preserve"> v </w:t>
            </w:r>
            <w:r w:rsidRPr="00EF2DDB">
              <w:rPr>
                <w:b/>
                <w:i/>
              </w:rPr>
              <w:t>politikách</w:t>
            </w:r>
            <w:r w:rsidRPr="00EF2DDB">
              <w:t xml:space="preserve"> a </w:t>
            </w:r>
            <w:r w:rsidRPr="00EF2DDB">
              <w:rPr>
                <w:b/>
                <w:i/>
              </w:rPr>
              <w:t>zákonoch</w:t>
            </w:r>
            <w:r w:rsidRPr="00EF2DDB">
              <w:t xml:space="preserve"> Únie.</w:t>
            </w:r>
          </w:p>
        </w:tc>
        <w:tc>
          <w:tcPr>
            <w:tcW w:w="4876" w:type="dxa"/>
          </w:tcPr>
          <w:p w14:paraId="4DD5AC7F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(16)</w:t>
            </w:r>
            <w:r w:rsidRPr="00EF2DDB">
              <w:tab/>
            </w:r>
            <w:r w:rsidRPr="00EF2DDB">
              <w:rPr>
                <w:b/>
                <w:i/>
              </w:rPr>
              <w:t>S cieľom posilniť svoju strategickú autonómiu by si Únia mala vytvoriť dostatočnú kapacitu na navrhovanie a zavádzanie vlastných technológií vnútornej bezpečnosti. To</w:t>
            </w:r>
            <w:r w:rsidRPr="00EF2DDB">
              <w:t xml:space="preserve"> by </w:t>
            </w:r>
            <w:r w:rsidRPr="00EF2DDB">
              <w:rPr>
                <w:b/>
                <w:i/>
              </w:rPr>
              <w:t>Únii umožnilo zakotviť základné práva, ochranu údajov a záruky právneho štátu už v štádiu návrhu a zároveň znížiť závislosť od systémov</w:t>
            </w:r>
            <w:r w:rsidRPr="00EF2DDB">
              <w:t xml:space="preserve"> tretích krajín </w:t>
            </w:r>
            <w:r w:rsidRPr="00EF2DDB">
              <w:rPr>
                <w:b/>
                <w:i/>
              </w:rPr>
              <w:t>alebo od externých dodávateľov</w:t>
            </w:r>
            <w:r w:rsidRPr="00EF2DDB">
              <w:t xml:space="preserve">, </w:t>
            </w:r>
            <w:r w:rsidRPr="00EF2DDB">
              <w:rPr>
                <w:b/>
                <w:i/>
              </w:rPr>
              <w:t>ktorí nemusia mať rovnaké právne normy, postupy</w:t>
            </w:r>
            <w:r w:rsidRPr="00EF2DDB">
              <w:t xml:space="preserve"> v oblasti kybernetickej bezpečnosti </w:t>
            </w:r>
            <w:r w:rsidRPr="00EF2DDB">
              <w:rPr>
                <w:b/>
                <w:i/>
              </w:rPr>
              <w:t>alebo bezpečnostné záujmy ako Únia</w:t>
            </w:r>
            <w:r w:rsidRPr="00EF2DDB">
              <w:t xml:space="preserve">. </w:t>
            </w:r>
            <w:r w:rsidRPr="00EF2DDB">
              <w:rPr>
                <w:b/>
                <w:i/>
              </w:rPr>
              <w:t>Posilnením technologickej kapacity Úni</w:t>
            </w:r>
            <w:r w:rsidRPr="00EF2DDB">
              <w:rPr>
                <w:b/>
                <w:i/>
              </w:rPr>
              <w:t>e by sa zvýšila aj operačná spoľahlivosť a odolnosť kritických bezpečnostných nástrojov, vďaka čomu by sa zabezpečila ich dostupnosť a dôveryhodnosť v čase geopolitického napätia. V tejto súvislosti treba znížiť pretrvávajúcu závislosť od vysokorizikových dodávateľov</w:t>
            </w:r>
            <w:r w:rsidRPr="00EF2DDB">
              <w:t xml:space="preserve">, </w:t>
            </w:r>
            <w:r w:rsidRPr="00EF2DDB">
              <w:rPr>
                <w:b/>
                <w:i/>
              </w:rPr>
              <w:t>ktorých vystavenie zasahovaniu tretích krajín alebo neprimerané postupy</w:t>
            </w:r>
            <w:r w:rsidRPr="00EF2DDB">
              <w:t xml:space="preserve"> v </w:t>
            </w:r>
            <w:r w:rsidRPr="00EF2DDB">
              <w:rPr>
                <w:b/>
                <w:i/>
              </w:rPr>
              <w:t>oblasti kybernetickej bezpečnosti by mohli predstavovať vážne riziká pre integritu a dostupnosť</w:t>
            </w:r>
            <w:r w:rsidRPr="00EF2DDB">
              <w:t xml:space="preserve"> údajov a služieb, </w:t>
            </w:r>
            <w:r w:rsidRPr="00EF2DDB">
              <w:rPr>
                <w:b/>
                <w:i/>
              </w:rPr>
              <w:t>a to</w:t>
            </w:r>
            <w:r w:rsidRPr="00EF2DDB">
              <w:t xml:space="preserve"> aj </w:t>
            </w:r>
            <w:r w:rsidRPr="00EF2DDB">
              <w:rPr>
                <w:b/>
                <w:i/>
              </w:rPr>
              <w:t>pre kritickú infraštruktúru, orgány verejnej mo</w:t>
            </w:r>
            <w:r w:rsidRPr="00EF2DDB">
              <w:rPr>
                <w:b/>
                <w:i/>
              </w:rPr>
              <w:t>ci a podniky v EÚ</w:t>
            </w:r>
            <w:r w:rsidRPr="00EF2DDB">
              <w:t>.</w:t>
            </w:r>
            <w:r w:rsidRPr="00EF2DDB">
              <w:rPr>
                <w:b/>
                <w:i/>
              </w:rPr>
              <w:t xml:space="preserve"> Akékoľvek</w:t>
            </w:r>
            <w:r w:rsidRPr="00EF2DDB">
              <w:t xml:space="preserve"> </w:t>
            </w:r>
            <w:r w:rsidRPr="00EF2DDB">
              <w:lastRenderedPageBreak/>
              <w:t xml:space="preserve">vylúčenie </w:t>
            </w:r>
            <w:r w:rsidRPr="00EF2DDB">
              <w:rPr>
                <w:b/>
                <w:i/>
              </w:rPr>
              <w:t>alebo obmedzenie takýchto dodávateľov</w:t>
            </w:r>
            <w:r w:rsidRPr="00EF2DDB">
              <w:t xml:space="preserve"> by malo byť založené na primeranom posúdení rizika a </w:t>
            </w:r>
            <w:r w:rsidRPr="00EF2DDB">
              <w:rPr>
                <w:b/>
                <w:i/>
              </w:rPr>
              <w:t>mali by ho sprevádzať náležité zmierňujúce opatrenia</w:t>
            </w:r>
            <w:r w:rsidRPr="00EF2DDB">
              <w:t xml:space="preserve"> v </w:t>
            </w:r>
            <w:r w:rsidRPr="00EF2DDB">
              <w:rPr>
                <w:b/>
                <w:i/>
              </w:rPr>
              <w:t>súlade s právom</w:t>
            </w:r>
            <w:r w:rsidRPr="00EF2DDB">
              <w:t xml:space="preserve"> a </w:t>
            </w:r>
            <w:r w:rsidRPr="00EF2DDB">
              <w:rPr>
                <w:b/>
                <w:i/>
              </w:rPr>
              <w:t>politikami</w:t>
            </w:r>
            <w:r w:rsidRPr="00EF2DDB">
              <w:t xml:space="preserve"> Únie.</w:t>
            </w:r>
            <w:r w:rsidRPr="00EF2DDB">
              <w:rPr>
                <w:b/>
                <w:i/>
              </w:rPr>
              <w:t xml:space="preserve"> </w:t>
            </w:r>
          </w:p>
        </w:tc>
      </w:tr>
    </w:tbl>
    <w:p w14:paraId="617456EC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lastRenderedPageBreak/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473788C1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388638F8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10</w:t>
      </w:r>
      <w:r w:rsidRPr="00EF2DDB">
        <w:rPr>
          <w:rStyle w:val="HideTWBExt"/>
          <w:b w:val="0"/>
        </w:rPr>
        <w:t>&lt;/NumAm&gt;</w:t>
      </w:r>
    </w:p>
    <w:p w14:paraId="1044484E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26969362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Odôvodnenie 18 a (nové)</w:t>
      </w:r>
      <w:r w:rsidRPr="00EF2DD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2938AA25" w14:textId="77777777" w:rsidTr="009D1910">
        <w:trPr>
          <w:jc w:val="center"/>
        </w:trPr>
        <w:tc>
          <w:tcPr>
            <w:tcW w:w="9752" w:type="dxa"/>
            <w:gridSpan w:val="2"/>
          </w:tcPr>
          <w:p w14:paraId="79A0CF2B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69AD5E0C" w14:textId="77777777" w:rsidTr="009D1910">
        <w:trPr>
          <w:jc w:val="center"/>
        </w:trPr>
        <w:tc>
          <w:tcPr>
            <w:tcW w:w="4876" w:type="dxa"/>
          </w:tcPr>
          <w:p w14:paraId="7DE41B4A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32F7DB85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380C0209" w14:textId="77777777" w:rsidTr="009D1910">
        <w:trPr>
          <w:jc w:val="center"/>
        </w:trPr>
        <w:tc>
          <w:tcPr>
            <w:tcW w:w="4876" w:type="dxa"/>
          </w:tcPr>
          <w:p w14:paraId="3AFDDF4E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86C9139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(18a)</w:t>
            </w:r>
            <w:r w:rsidRPr="00EF2DDB">
              <w:rPr>
                <w:b/>
                <w:i/>
              </w:rPr>
              <w:tab/>
              <w:t>S cieľom doplniť toto nariadenie schválením opatrení, ktoré sa týkajú cieľov stanovených v článku 3 tohto nariadenia, pri ktorých Komisia dospeje k záveru, že tieto opatrenia sú v súlade s požiadavkami stanovenými v tomto nariadení a v nariadení (EÚ) […], ktorým sa zriaďuje Európsky fond pre hospodársku, sociálnu a územnú súdržnosť, poľnohospodárstvo a vidiek, rybárstvo a námorné záležitosti, prosperitu a bezpečnosť, a v prípade, že Komisia prijme delegovaný akt, ktorým sa schvaľuje plán národného a region</w:t>
            </w:r>
            <w:r w:rsidRPr="00EF2DDB">
              <w:rPr>
                <w:b/>
                <w:i/>
              </w:rPr>
              <w:t>álneho partnerstva dotknutého členského štátu v súlade s postupom stanoveným v článku 23 nariadenia (EÚ) […], ktorým sa zriaďuje Európsky fond pre hospodársku, sociálnu a územnú súdržnosť, poľnohospodárstvo a vidiek, rybárstvo a námorné záležitosti, prosperitu a bezpečnosť, by sa mala na Komisiu delegovať právomoc prijímať akty v súlade s článkom 290 Zmluvy o fungovaní Európskej únie. Je osobitne dôležité, aby Komisia počas prípravných prác uskutočnila príslušné konzultácie, a to aj na úrovni expertov, a ab</w:t>
            </w:r>
            <w:r w:rsidRPr="00EF2DDB">
              <w:rPr>
                <w:b/>
                <w:i/>
              </w:rPr>
              <w:t>y tieto konzultácie vykonávala v súlade so zásadami stanovenými v Medziinštitucionálnej dohode z 13. apríla 2016 o lepšej tvorbe práva</w:t>
            </w:r>
            <w:r w:rsidRPr="00EF2DDB">
              <w:rPr>
                <w:b/>
                <w:i/>
                <w:vertAlign w:val="superscript"/>
              </w:rPr>
              <w:t>1a</w:t>
            </w:r>
            <w:r w:rsidRPr="00EF2DDB">
              <w:rPr>
                <w:b/>
                <w:i/>
              </w:rPr>
              <w:t xml:space="preserve">. Predovšetkým v záujme rovnakého zastúpenia pri príprave delegovaných aktov sa všetky dokumenty </w:t>
            </w:r>
            <w:r w:rsidRPr="00EF2DDB">
              <w:rPr>
                <w:b/>
                <w:i/>
              </w:rPr>
              <w:lastRenderedPageBreak/>
              <w:t>doručujú Európskemu parlamentu a Rade v rovnakom čase ako expertom z členských štátov a experti Európskeho parlamentu a Rady majú systematicky prístup na zasadnutia skupín expertov Komisie, ktoré sa zaoberajú prípravou delegovaných aktov.</w:t>
            </w:r>
          </w:p>
        </w:tc>
      </w:tr>
      <w:tr w:rsidR="00F95A4C" w:rsidRPr="00EF2DDB" w14:paraId="37CE195D" w14:textId="77777777" w:rsidTr="00F8306F">
        <w:trPr>
          <w:jc w:val="center"/>
        </w:trPr>
        <w:tc>
          <w:tcPr>
            <w:tcW w:w="4876" w:type="dxa"/>
          </w:tcPr>
          <w:p w14:paraId="3FB6F44D" w14:textId="77777777" w:rsidR="00150AA0" w:rsidRPr="00EF2DDB" w:rsidRDefault="00150AA0" w:rsidP="00BA27ED">
            <w:pPr>
              <w:pStyle w:val="Normal6"/>
            </w:pPr>
          </w:p>
        </w:tc>
        <w:tc>
          <w:tcPr>
            <w:tcW w:w="4876" w:type="dxa"/>
          </w:tcPr>
          <w:p w14:paraId="68C7106D" w14:textId="77777777" w:rsidR="00150AA0" w:rsidRPr="00EF2DDB" w:rsidRDefault="00FF295E" w:rsidP="00BA27ED">
            <w:pPr>
              <w:pStyle w:val="Normal6"/>
              <w:rPr>
                <w:b/>
                <w:i/>
              </w:rPr>
            </w:pPr>
            <w:r w:rsidRPr="00EF2DDB">
              <w:rPr>
                <w:b/>
                <w:i/>
              </w:rPr>
              <w:t>__________</w:t>
            </w:r>
          </w:p>
        </w:tc>
      </w:tr>
      <w:tr w:rsidR="00F95A4C" w:rsidRPr="00EF2DDB" w14:paraId="1B371F06" w14:textId="77777777" w:rsidTr="009D1910">
        <w:trPr>
          <w:jc w:val="center"/>
        </w:trPr>
        <w:tc>
          <w:tcPr>
            <w:tcW w:w="4876" w:type="dxa"/>
          </w:tcPr>
          <w:p w14:paraId="78AFD09C" w14:textId="77777777" w:rsidR="00F8306F" w:rsidRPr="00EF2DDB" w:rsidRDefault="00F8306F" w:rsidP="00BA27ED">
            <w:pPr>
              <w:pStyle w:val="Normal6"/>
            </w:pPr>
          </w:p>
        </w:tc>
        <w:tc>
          <w:tcPr>
            <w:tcW w:w="4876" w:type="dxa"/>
          </w:tcPr>
          <w:p w14:paraId="0BE2E9FC" w14:textId="77777777" w:rsidR="00F8306F" w:rsidRPr="00EF2DDB" w:rsidRDefault="00FF295E" w:rsidP="00BA27ED">
            <w:pPr>
              <w:pStyle w:val="Normal6"/>
              <w:rPr>
                <w:b/>
                <w:i/>
              </w:rPr>
            </w:pPr>
            <w:r w:rsidRPr="00EF2DDB">
              <w:rPr>
                <w:b/>
                <w:i/>
                <w:vertAlign w:val="superscript"/>
              </w:rPr>
              <w:t xml:space="preserve">1a </w:t>
            </w:r>
            <w:r w:rsidRPr="00EF2DDB">
              <w:rPr>
                <w:b/>
                <w:i/>
              </w:rPr>
              <w:t>Ú. v. EÚ L 123, 12.5.2016, s. 1, ELI: http://data.europa.eu/eli/agree_interinstit/2016/512/oj.</w:t>
            </w:r>
          </w:p>
        </w:tc>
      </w:tr>
    </w:tbl>
    <w:p w14:paraId="2CADDEAE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25448737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5103FFD4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11</w:t>
      </w:r>
      <w:r w:rsidRPr="00EF2DDB">
        <w:rPr>
          <w:rStyle w:val="HideTWBExt"/>
          <w:b w:val="0"/>
        </w:rPr>
        <w:t>&lt;/NumAm&gt;</w:t>
      </w:r>
    </w:p>
    <w:p w14:paraId="217A405C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A03C2D1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2 – odsek 1 – bod 9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4A8E58D2" w14:textId="77777777" w:rsidTr="00BA27ED">
        <w:trPr>
          <w:jc w:val="center"/>
        </w:trPr>
        <w:tc>
          <w:tcPr>
            <w:tcW w:w="9752" w:type="dxa"/>
            <w:gridSpan w:val="2"/>
          </w:tcPr>
          <w:p w14:paraId="2D55AB03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636D638B" w14:textId="77777777" w:rsidTr="00BA27ED">
        <w:trPr>
          <w:jc w:val="center"/>
        </w:trPr>
        <w:tc>
          <w:tcPr>
            <w:tcW w:w="4876" w:type="dxa"/>
          </w:tcPr>
          <w:p w14:paraId="51F25C1C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59C4869F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4C678B2D" w14:textId="77777777" w:rsidTr="00BA27ED">
        <w:trPr>
          <w:jc w:val="center"/>
        </w:trPr>
        <w:tc>
          <w:tcPr>
            <w:tcW w:w="4876" w:type="dxa"/>
          </w:tcPr>
          <w:p w14:paraId="7690A6E8" w14:textId="77777777" w:rsidR="00F61420" w:rsidRPr="00EF2DDB" w:rsidRDefault="00FF295E" w:rsidP="00BA27ED">
            <w:pPr>
              <w:pStyle w:val="Normal6"/>
            </w:pPr>
            <w:r w:rsidRPr="00EF2DDB">
              <w:t>(9)</w:t>
            </w:r>
            <w:r w:rsidRPr="00EF2DDB">
              <w:tab/>
              <w:t xml:space="preserve">„hybridná hrozba“ sú všetky škodlivé činnosti vrátane manipulácie s informáciami, kybernetických útokov a inštrumentalizácie migrantov, ktoré sa plánujú a vykonávajú koordinovaným spôsobom so </w:t>
            </w:r>
            <w:r w:rsidRPr="00EF2DDB">
              <w:t>zlým úmyslom s cieľom oslabiť členský štát alebo ktorúkoľvek z jeho inštitúcií.</w:t>
            </w:r>
          </w:p>
        </w:tc>
        <w:tc>
          <w:tcPr>
            <w:tcW w:w="4876" w:type="dxa"/>
          </w:tcPr>
          <w:p w14:paraId="26600333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(9)</w:t>
            </w:r>
            <w:r w:rsidRPr="00EF2DDB">
              <w:tab/>
              <w:t xml:space="preserve">„hybridná hrozba“ sú všetky škodlivé činnosti vrátane manipulácie s informáciami, </w:t>
            </w:r>
            <w:r w:rsidRPr="00EF2DDB">
              <w:rPr>
                <w:b/>
                <w:i/>
              </w:rPr>
              <w:t>sabotáže,</w:t>
            </w:r>
            <w:r w:rsidRPr="00EF2DDB">
              <w:t xml:space="preserve"> kybernetických útokov a inštrumentalizácie migrantov </w:t>
            </w:r>
            <w:r w:rsidRPr="00EF2DDB">
              <w:rPr>
                <w:b/>
                <w:i/>
              </w:rPr>
              <w:t>a iných prostriedkov politického zasahovania a hospodárskeho tlaku</w:t>
            </w:r>
            <w:r w:rsidRPr="00EF2DDB">
              <w:t xml:space="preserve">, ktoré sa plánujú a vykonávajú koordinovaným spôsobom so zlým úmyslom s cieľom oslabiť členský štát alebo ktorúkoľvek z jeho </w:t>
            </w:r>
            <w:r w:rsidRPr="00EF2DDB">
              <w:rPr>
                <w:b/>
                <w:i/>
              </w:rPr>
              <w:t>inštitúcií alebo Úniu alebo ktorúkoľvek z jej</w:t>
            </w:r>
            <w:r w:rsidRPr="00EF2DDB">
              <w:t xml:space="preserve"> inštitúcií.</w:t>
            </w:r>
          </w:p>
        </w:tc>
      </w:tr>
    </w:tbl>
    <w:p w14:paraId="3B531A69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7E28F88B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04D3FADD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12</w:t>
      </w:r>
      <w:r w:rsidRPr="00EF2DDB">
        <w:rPr>
          <w:rStyle w:val="HideTWBExt"/>
          <w:b w:val="0"/>
        </w:rPr>
        <w:t>&lt;/NumAm&gt;</w:t>
      </w:r>
    </w:p>
    <w:p w14:paraId="534BA841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1882B9C1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3 – odsek 1 – pododsek 1 – písmeno a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72339292" w14:textId="77777777" w:rsidTr="00BA27ED">
        <w:trPr>
          <w:jc w:val="center"/>
        </w:trPr>
        <w:tc>
          <w:tcPr>
            <w:tcW w:w="9752" w:type="dxa"/>
            <w:gridSpan w:val="2"/>
          </w:tcPr>
          <w:p w14:paraId="6A1CE96B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14735F6E" w14:textId="77777777" w:rsidTr="00BA27ED">
        <w:trPr>
          <w:jc w:val="center"/>
        </w:trPr>
        <w:tc>
          <w:tcPr>
            <w:tcW w:w="4876" w:type="dxa"/>
          </w:tcPr>
          <w:p w14:paraId="3F8AF00A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502772FE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780ED6C8" w14:textId="77777777" w:rsidTr="00BA27ED">
        <w:trPr>
          <w:jc w:val="center"/>
        </w:trPr>
        <w:tc>
          <w:tcPr>
            <w:tcW w:w="4876" w:type="dxa"/>
          </w:tcPr>
          <w:p w14:paraId="2920BAAE" w14:textId="77777777" w:rsidR="00F61420" w:rsidRPr="00EF2DDB" w:rsidRDefault="00FF295E" w:rsidP="00BA27ED">
            <w:pPr>
              <w:pStyle w:val="Normal6"/>
            </w:pPr>
            <w:r w:rsidRPr="00EF2DDB">
              <w:t>a)</w:t>
            </w:r>
            <w:r w:rsidRPr="00EF2DDB">
              <w:tab/>
              <w:t xml:space="preserve">posilňovanie spôsobilostí Únie a členských </w:t>
            </w:r>
            <w:r w:rsidRPr="00EF2DDB">
              <w:t xml:space="preserve">štátov v oblasti predchádzania závažnej a organizovanej trestnej činnosti online a offline vrátane terorizmu, násilného extrémizmu, počítačovej kriminality, sexuálneho zneužívania a vykorisťovania detí a hybridných hrozieb a </w:t>
            </w:r>
            <w:r w:rsidRPr="00EF2DDB">
              <w:lastRenderedPageBreak/>
              <w:t>boja proti nim, ako aj v súvislosti s ochranou občanov a verejných priestorov pred útokmi, a to aj prostredníctvom inovatívnych metód a nových technológií v oblasti vnútornej bezpečnosti;</w:t>
            </w:r>
          </w:p>
        </w:tc>
        <w:tc>
          <w:tcPr>
            <w:tcW w:w="4876" w:type="dxa"/>
          </w:tcPr>
          <w:p w14:paraId="67A67622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lastRenderedPageBreak/>
              <w:t>a)</w:t>
            </w:r>
            <w:r w:rsidRPr="00EF2DDB">
              <w:tab/>
              <w:t xml:space="preserve">posilňovanie spôsobilostí Únie a členských štátov v oblasti predchádzania závažnej a organizovanej trestnej činnosti online a offline vrátane </w:t>
            </w:r>
            <w:r w:rsidRPr="00EF2DDB">
              <w:rPr>
                <w:b/>
                <w:i/>
              </w:rPr>
              <w:t>radikalizácie a</w:t>
            </w:r>
            <w:r w:rsidRPr="00EF2DDB">
              <w:t xml:space="preserve"> terorizmu, násilného extrémizmu, počítačovej kriminality, sexuálneho zneužívania a vykorisťovania detí a </w:t>
            </w:r>
            <w:r w:rsidRPr="00EF2DDB">
              <w:lastRenderedPageBreak/>
              <w:t>hybridných hrozieb a boja proti nim, ako aj v súvislosti s ochranou občanov a verejných priestorov pred útokmi, a to aj prostredníctvom inovatívnych metód a nových technológií v oblasti vnútornej bezpečnosti;</w:t>
            </w:r>
          </w:p>
        </w:tc>
      </w:tr>
    </w:tbl>
    <w:p w14:paraId="6C52AE17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lastRenderedPageBreak/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3AED96E0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47C1E637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13</w:t>
      </w:r>
      <w:r w:rsidRPr="00EF2DDB">
        <w:rPr>
          <w:rStyle w:val="HideTWBExt"/>
          <w:b w:val="0"/>
        </w:rPr>
        <w:t>&lt;/NumAm&gt;</w:t>
      </w:r>
    </w:p>
    <w:p w14:paraId="74A9B9D3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2E4AB86F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3 – odsek 1 – pododsek 1 – písmeno d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1BBA0EB7" w14:textId="77777777" w:rsidTr="00BA27ED">
        <w:trPr>
          <w:jc w:val="center"/>
        </w:trPr>
        <w:tc>
          <w:tcPr>
            <w:tcW w:w="9752" w:type="dxa"/>
            <w:gridSpan w:val="2"/>
          </w:tcPr>
          <w:p w14:paraId="039239A5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4A7E1A5D" w14:textId="77777777" w:rsidTr="00BA27ED">
        <w:trPr>
          <w:jc w:val="center"/>
        </w:trPr>
        <w:tc>
          <w:tcPr>
            <w:tcW w:w="4876" w:type="dxa"/>
          </w:tcPr>
          <w:p w14:paraId="4BD3368E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00E0C8A5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51F4B849" w14:textId="77777777" w:rsidTr="00BA27ED">
        <w:trPr>
          <w:jc w:val="center"/>
        </w:trPr>
        <w:tc>
          <w:tcPr>
            <w:tcW w:w="4876" w:type="dxa"/>
          </w:tcPr>
          <w:p w14:paraId="62C63302" w14:textId="77777777" w:rsidR="00F61420" w:rsidRPr="00EF2DDB" w:rsidRDefault="00FF295E" w:rsidP="00BA27ED">
            <w:pPr>
              <w:pStyle w:val="Normal6"/>
            </w:pPr>
            <w:r w:rsidRPr="00EF2DDB">
              <w:t>d)</w:t>
            </w:r>
            <w:r w:rsidRPr="00EF2DDB">
              <w:tab/>
              <w:t>zlepšenie a zintenzívnenie operačnej spolupráce v oblasti presadzovania práva vrátane spoločných operácií medzi príslušnými orgánmi v súvislosti s predchádzaním závažnej a organizovanej trestnej činnosti online a offline a bojom proti nej vrátane terorizmu, násilného extrémizmu, počítačovej kriminality, sexuálneho zneužívania a vykorisťovania detí</w:t>
            </w:r>
            <w:r w:rsidRPr="00EF2DDB">
              <w:rPr>
                <w:b/>
                <w:i/>
              </w:rPr>
              <w:t>,</w:t>
            </w:r>
            <w:r w:rsidRPr="00EF2DDB">
              <w:t xml:space="preserve"> hybridných hrozieb, ako aj v súvislosti s ochranou občanov a verejných priestorov pred útokmi;</w:t>
            </w:r>
          </w:p>
        </w:tc>
        <w:tc>
          <w:tcPr>
            <w:tcW w:w="4876" w:type="dxa"/>
          </w:tcPr>
          <w:p w14:paraId="689FB522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d)</w:t>
            </w:r>
            <w:r w:rsidRPr="00EF2DDB">
              <w:tab/>
              <w:t xml:space="preserve">zlepšenie a zintenzívnenie operačnej spolupráce v oblasti presadzovania práva vrátane spoločných operácií medzi príslušnými orgánmi v súvislosti s predchádzaním závažnej a organizovanej trestnej činnosti online a offline a bojom proti nej vrátane </w:t>
            </w:r>
            <w:r w:rsidRPr="00EF2DDB">
              <w:rPr>
                <w:b/>
                <w:i/>
              </w:rPr>
              <w:t>radikalizácie a</w:t>
            </w:r>
            <w:r w:rsidRPr="00EF2DDB">
              <w:t xml:space="preserve"> terorizmu, násilného extrémizmu, počítačovej kriminality, sexuálneho zneužívania a vykorisťovania detí </w:t>
            </w:r>
            <w:r w:rsidRPr="00EF2DDB">
              <w:rPr>
                <w:b/>
                <w:i/>
              </w:rPr>
              <w:t>a</w:t>
            </w:r>
            <w:r w:rsidRPr="00EF2DDB">
              <w:t xml:space="preserve"> hybridných hrozieb, ako aj v súvislosti s ochranou občanov a verejných priestorov pred útokmi;</w:t>
            </w:r>
          </w:p>
        </w:tc>
      </w:tr>
    </w:tbl>
    <w:p w14:paraId="344EA7AE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48838BE9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799B5158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14</w:t>
      </w:r>
      <w:r w:rsidRPr="00EF2DDB">
        <w:rPr>
          <w:rStyle w:val="HideTWBExt"/>
          <w:b w:val="0"/>
        </w:rPr>
        <w:t>&lt;/NumAm&gt;</w:t>
      </w:r>
    </w:p>
    <w:p w14:paraId="568C85CB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7F59B14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3 – odsek 1 – pododsek 1 – písmeno d a (nové)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663F5816" w14:textId="77777777" w:rsidTr="00BA27ED">
        <w:trPr>
          <w:jc w:val="center"/>
        </w:trPr>
        <w:tc>
          <w:tcPr>
            <w:tcW w:w="9752" w:type="dxa"/>
            <w:gridSpan w:val="2"/>
          </w:tcPr>
          <w:p w14:paraId="544B4267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5E3A3442" w14:textId="77777777" w:rsidTr="00BA27ED">
        <w:trPr>
          <w:jc w:val="center"/>
        </w:trPr>
        <w:tc>
          <w:tcPr>
            <w:tcW w:w="4876" w:type="dxa"/>
          </w:tcPr>
          <w:p w14:paraId="272328B3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0ADD134D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4078E4A1" w14:textId="77777777" w:rsidTr="00BA27ED">
        <w:trPr>
          <w:jc w:val="center"/>
        </w:trPr>
        <w:tc>
          <w:tcPr>
            <w:tcW w:w="4876" w:type="dxa"/>
          </w:tcPr>
          <w:p w14:paraId="79F3A629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133A591A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da)</w:t>
            </w:r>
            <w:r w:rsidRPr="00EF2DDB">
              <w:rPr>
                <w:b/>
                <w:i/>
              </w:rPr>
              <w:tab/>
              <w:t xml:space="preserve">posilňovanie podpory, ochrany a pomoci obetiam závažnej </w:t>
            </w:r>
            <w:r w:rsidRPr="00EF2DDB">
              <w:rPr>
                <w:b/>
                <w:i/>
              </w:rPr>
              <w:t>a organizovanej trestnej činnosti vrátane zabezpečenia prístupu k príslušným orgánom, informáciám a špecializovaným službám s osobitnou pozornosťou venovanou zraniteľným obetiam;</w:t>
            </w:r>
          </w:p>
        </w:tc>
      </w:tr>
    </w:tbl>
    <w:p w14:paraId="78E7D871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71674CBA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22F76825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lastRenderedPageBreak/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15</w:t>
      </w:r>
      <w:r w:rsidRPr="00EF2DDB">
        <w:rPr>
          <w:rStyle w:val="HideTWBExt"/>
          <w:b w:val="0"/>
        </w:rPr>
        <w:t>&lt;/NumAm&gt;</w:t>
      </w:r>
    </w:p>
    <w:p w14:paraId="08630E90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5B3269DA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3 a (nový)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659CEADF" w14:textId="77777777" w:rsidTr="00BA27ED">
        <w:trPr>
          <w:jc w:val="center"/>
        </w:trPr>
        <w:tc>
          <w:tcPr>
            <w:tcW w:w="9752" w:type="dxa"/>
            <w:gridSpan w:val="2"/>
          </w:tcPr>
          <w:p w14:paraId="3813AB3C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597934F3" w14:textId="77777777" w:rsidTr="00BA27ED">
        <w:trPr>
          <w:jc w:val="center"/>
        </w:trPr>
        <w:tc>
          <w:tcPr>
            <w:tcW w:w="4876" w:type="dxa"/>
          </w:tcPr>
          <w:p w14:paraId="4FEB5131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11969906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2B80B5EA" w14:textId="77777777" w:rsidTr="00BA27ED">
        <w:trPr>
          <w:jc w:val="center"/>
        </w:trPr>
        <w:tc>
          <w:tcPr>
            <w:tcW w:w="4876" w:type="dxa"/>
          </w:tcPr>
          <w:p w14:paraId="19F129D8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53DEF598" w14:textId="77777777" w:rsidR="00F61420" w:rsidRPr="00EF2DDB" w:rsidRDefault="00FF295E" w:rsidP="00BA27ED">
            <w:pPr>
              <w:pStyle w:val="Normal6"/>
              <w:jc w:val="center"/>
              <w:rPr>
                <w:szCs w:val="24"/>
              </w:rPr>
            </w:pPr>
            <w:r w:rsidRPr="00EF2DDB">
              <w:rPr>
                <w:b/>
                <w:i/>
              </w:rPr>
              <w:t>Článok 3a</w:t>
            </w:r>
          </w:p>
        </w:tc>
      </w:tr>
      <w:tr w:rsidR="00F95A4C" w:rsidRPr="00EF2DDB" w14:paraId="5EA823A0" w14:textId="77777777" w:rsidTr="00BA27ED">
        <w:trPr>
          <w:jc w:val="center"/>
        </w:trPr>
        <w:tc>
          <w:tcPr>
            <w:tcW w:w="4876" w:type="dxa"/>
          </w:tcPr>
          <w:p w14:paraId="03CFA8DB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508D7AAD" w14:textId="77777777" w:rsidR="00F61420" w:rsidRPr="00EF2DDB" w:rsidRDefault="00FF295E" w:rsidP="00BA27ED">
            <w:pPr>
              <w:pStyle w:val="Normal6"/>
              <w:jc w:val="center"/>
              <w:rPr>
                <w:szCs w:val="24"/>
              </w:rPr>
            </w:pPr>
            <w:r w:rsidRPr="00EF2DDB">
              <w:rPr>
                <w:b/>
                <w:i/>
              </w:rPr>
              <w:t>Dodržiavanie základných práv</w:t>
            </w:r>
          </w:p>
        </w:tc>
      </w:tr>
      <w:tr w:rsidR="00F95A4C" w:rsidRPr="00EF2DDB" w14:paraId="7D54F4B7" w14:textId="77777777" w:rsidTr="00BA27ED">
        <w:trPr>
          <w:jc w:val="center"/>
        </w:trPr>
        <w:tc>
          <w:tcPr>
            <w:tcW w:w="4876" w:type="dxa"/>
          </w:tcPr>
          <w:p w14:paraId="736B96BA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0182431A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 xml:space="preserve">Všetky akcie podporované v rámci podpory Únie podľa tohto </w:t>
            </w:r>
            <w:r w:rsidRPr="00EF2DDB">
              <w:rPr>
                <w:b/>
                <w:i/>
              </w:rPr>
              <w:t>nariadenia sa vykonávajú v súlade s právami a zásadami zakotvenými v acquis Únie a Charte základných práv Európskej únie a v súlade s medzinárodnými záväzkami Únie a členských štátov vyplývajúcimi z medzinárodných nástrojov, ktorých sú tieto štáty zmluvnými stranami.</w:t>
            </w:r>
          </w:p>
        </w:tc>
      </w:tr>
    </w:tbl>
    <w:p w14:paraId="3F3CFA22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2154ADB7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48990445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16</w:t>
      </w:r>
      <w:r w:rsidRPr="00EF2DDB">
        <w:rPr>
          <w:rStyle w:val="HideTWBExt"/>
          <w:b w:val="0"/>
        </w:rPr>
        <w:t>&lt;/NumAm&gt;</w:t>
      </w:r>
    </w:p>
    <w:p w14:paraId="3145AD26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59105BBA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4 – odsek 4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6B612A6F" w14:textId="77777777" w:rsidTr="00BA27ED">
        <w:trPr>
          <w:jc w:val="center"/>
        </w:trPr>
        <w:tc>
          <w:tcPr>
            <w:tcW w:w="9752" w:type="dxa"/>
            <w:gridSpan w:val="2"/>
          </w:tcPr>
          <w:p w14:paraId="639BCF00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011213C4" w14:textId="77777777" w:rsidTr="00BA27ED">
        <w:trPr>
          <w:jc w:val="center"/>
        </w:trPr>
        <w:tc>
          <w:tcPr>
            <w:tcW w:w="4876" w:type="dxa"/>
          </w:tcPr>
          <w:p w14:paraId="09A5D2B2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3990BF92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7214591F" w14:textId="77777777" w:rsidTr="00BA27ED">
        <w:trPr>
          <w:jc w:val="center"/>
        </w:trPr>
        <w:tc>
          <w:tcPr>
            <w:tcW w:w="4876" w:type="dxa"/>
          </w:tcPr>
          <w:p w14:paraId="2D8D03DF" w14:textId="77777777" w:rsidR="00F61420" w:rsidRPr="00EF2DDB" w:rsidRDefault="00FF295E" w:rsidP="00BA27ED">
            <w:pPr>
              <w:pStyle w:val="Normal6"/>
            </w:pPr>
            <w:r w:rsidRPr="00EF2DDB">
              <w:t>4.</w:t>
            </w:r>
            <w:r w:rsidRPr="00EF2DDB">
              <w:tab/>
            </w:r>
            <w:r w:rsidRPr="00EF2DDB">
              <w:t xml:space="preserve">V prípade opatrení, ktoré sa týkajú cieľov stanovených v článku 3 tohto nariadenia, pri ktorých Komisia dospeje k záveru, že tieto opatrenia sú v súlade s požiadavkami stanovenými v tomto nariadení a nariadení (EÚ) […], ktorým sa zriaďuje Európsky fond pre hospodársku, sociálnu a územnú súdržnosť, poľnohospodárstvo a vidiek, rybárstvo a námorné záležitosti, prosperitu a bezpečnosť, a v prípade, že Komisia </w:t>
            </w:r>
            <w:r w:rsidRPr="00EF2DDB">
              <w:rPr>
                <w:b/>
                <w:i/>
              </w:rPr>
              <w:t>navrhne vykonávacie rozhodnutie Rady</w:t>
            </w:r>
            <w:r w:rsidRPr="00EF2DDB">
              <w:t>, ktorým sa schvaľuje plán národného a regionálneho partnerstva dot</w:t>
            </w:r>
            <w:r w:rsidRPr="00EF2DDB">
              <w:t xml:space="preserve">knutého členského štátu v súlade s postupom stanoveným v článku 23 nariadenia (EÚ) […], ktorým sa zriaďuje Európsky fond pre hospodársku, sociálnu a územnú súdržnosť, poľnohospodárstvo a vidiek, rybárstvo a námorné záležitosti, prosperitu a bezpečnosť, </w:t>
            </w:r>
            <w:r w:rsidRPr="00EF2DDB">
              <w:rPr>
                <w:b/>
                <w:i/>
              </w:rPr>
              <w:t xml:space="preserve">predloží návrh vykonávacieho </w:t>
            </w:r>
            <w:r w:rsidRPr="00EF2DDB">
              <w:rPr>
                <w:b/>
                <w:i/>
              </w:rPr>
              <w:lastRenderedPageBreak/>
              <w:t>rozhodnutia Rady o schválení</w:t>
            </w:r>
            <w:r w:rsidRPr="00EF2DDB">
              <w:t xml:space="preserve"> uvedených opatrení.</w:t>
            </w:r>
          </w:p>
        </w:tc>
        <w:tc>
          <w:tcPr>
            <w:tcW w:w="4876" w:type="dxa"/>
          </w:tcPr>
          <w:p w14:paraId="15DA484C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lastRenderedPageBreak/>
              <w:t>4.</w:t>
            </w:r>
            <w:r w:rsidRPr="00EF2DDB">
              <w:tab/>
              <w:t xml:space="preserve">V prípade opatrení, ktoré sa týkajú cieľov stanovených v článku 3 tohto nariadenia, pri ktorých Komisia dospeje k záveru, že tieto opatrenia sú v súlade s požiadavkami stanovenými v tomto nariadení a nariadení (EÚ) […], ktorým sa zriaďuje Európsky fond pre hospodársku, sociálnu a územnú súdržnosť, poľnohospodárstvo a vidiek, rybárstvo a námorné záležitosti, prosperitu a bezpečnosť, a v prípade, že Komisia </w:t>
            </w:r>
            <w:r w:rsidRPr="00EF2DDB">
              <w:rPr>
                <w:b/>
                <w:i/>
              </w:rPr>
              <w:t>prijme delegovaný akt</w:t>
            </w:r>
            <w:r w:rsidRPr="00EF2DDB">
              <w:t>, ktorým sa schvaľuje plán národného a regionálneho partnerstva dotknutého člensk</w:t>
            </w:r>
            <w:r w:rsidRPr="00EF2DDB">
              <w:t xml:space="preserve">ého štátu v súlade s postupom stanoveným v článku 23 nariadenia (EÚ) […], ktorým sa zriaďuje Európsky fond pre hospodársku, sociálnu a územnú súdržnosť, poľnohospodárstvo a vidiek, rybárstvo a námorné záležitosti, prosperitu a bezpečnosť, </w:t>
            </w:r>
            <w:r w:rsidRPr="00EF2DDB">
              <w:rPr>
                <w:b/>
                <w:i/>
              </w:rPr>
              <w:t xml:space="preserve">je Komisia splnomocnená prijať delegovaný akt v </w:t>
            </w:r>
            <w:r w:rsidRPr="00EF2DDB">
              <w:rPr>
                <w:b/>
                <w:i/>
              </w:rPr>
              <w:lastRenderedPageBreak/>
              <w:t>súlade s článkom 4a s cieľom doplniť toto nariadenie schválením</w:t>
            </w:r>
            <w:r w:rsidRPr="00EF2DDB">
              <w:t xml:space="preserve"> uvedených opatrení.</w:t>
            </w:r>
          </w:p>
        </w:tc>
      </w:tr>
    </w:tbl>
    <w:p w14:paraId="11ABE3BA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lastRenderedPageBreak/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0A4C1032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2315F56E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17</w:t>
      </w:r>
      <w:r w:rsidRPr="00EF2DDB">
        <w:rPr>
          <w:rStyle w:val="HideTWBExt"/>
          <w:b w:val="0"/>
        </w:rPr>
        <w:t>&lt;/NumAm&gt;</w:t>
      </w:r>
    </w:p>
    <w:p w14:paraId="1C753755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57D87E76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4 – odsek 5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4E0B8071" w14:textId="77777777" w:rsidTr="00BA27ED">
        <w:trPr>
          <w:jc w:val="center"/>
        </w:trPr>
        <w:tc>
          <w:tcPr>
            <w:tcW w:w="9752" w:type="dxa"/>
            <w:gridSpan w:val="2"/>
          </w:tcPr>
          <w:p w14:paraId="277852C1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5044D164" w14:textId="77777777" w:rsidTr="00BA27ED">
        <w:trPr>
          <w:jc w:val="center"/>
        </w:trPr>
        <w:tc>
          <w:tcPr>
            <w:tcW w:w="4876" w:type="dxa"/>
          </w:tcPr>
          <w:p w14:paraId="2A4B5016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264C1816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63E6F72D" w14:textId="77777777" w:rsidTr="00BA27ED">
        <w:trPr>
          <w:jc w:val="center"/>
        </w:trPr>
        <w:tc>
          <w:tcPr>
            <w:tcW w:w="4876" w:type="dxa"/>
          </w:tcPr>
          <w:p w14:paraId="7B21DB84" w14:textId="77777777" w:rsidR="00F61420" w:rsidRPr="00EF2DDB" w:rsidRDefault="00FF295E" w:rsidP="00BA27ED">
            <w:pPr>
              <w:pStyle w:val="Normal6"/>
            </w:pPr>
            <w:r w:rsidRPr="00EF2DDB">
              <w:t>5.</w:t>
            </w:r>
            <w:r w:rsidRPr="00EF2DDB">
              <w:tab/>
              <w:t xml:space="preserve">Pri </w:t>
            </w:r>
            <w:r w:rsidRPr="00EF2DDB">
              <w:rPr>
                <w:b/>
                <w:i/>
              </w:rPr>
              <w:t>predkladaní návrhu vykonávacieho rozhodnutia Rady</w:t>
            </w:r>
            <w:r w:rsidRPr="00EF2DDB">
              <w:t xml:space="preserve"> o opatreniach, ktoré sa týkajú cieľov stanovených v článku 3 tohto nariadenia, sa v </w:t>
            </w:r>
            <w:r w:rsidRPr="00EF2DDB">
              <w:rPr>
                <w:b/>
                <w:i/>
              </w:rPr>
              <w:t>návrhu Komisie</w:t>
            </w:r>
            <w:r w:rsidRPr="00EF2DDB">
              <w:t xml:space="preserve"> stanovia prvky uvedené v článku 23 ods. 4 nariadenia (EÚ) [</w:t>
            </w:r>
            <w:r w:rsidRPr="00EF2DDB">
              <w:rPr>
                <w:b/>
                <w:i/>
              </w:rPr>
              <w:t>...</w:t>
            </w:r>
            <w:r w:rsidRPr="00EF2DDB">
              <w:t>], ktorým sa zriaďuje Európsky fond pre hospodársku, sociálnu a územnú súdržnosť, poľnohospodárstvo a vidiek, rybárstvo a námorné záležitosti, prosperitu a bezpečnosť, a to so zreteľom na ciele stanovené v článku 3.</w:t>
            </w:r>
          </w:p>
        </w:tc>
        <w:tc>
          <w:tcPr>
            <w:tcW w:w="4876" w:type="dxa"/>
          </w:tcPr>
          <w:p w14:paraId="5CEF5043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5.</w:t>
            </w:r>
            <w:r w:rsidRPr="00EF2DDB">
              <w:tab/>
              <w:t xml:space="preserve">Pri </w:t>
            </w:r>
            <w:r w:rsidRPr="00EF2DDB">
              <w:rPr>
                <w:b/>
                <w:i/>
              </w:rPr>
              <w:t>prijímaní delegovaného aktu</w:t>
            </w:r>
            <w:r w:rsidRPr="00EF2DDB">
              <w:t xml:space="preserve"> o opatreniach, ktoré sa týkajú cieľov stanovených v článku 3 tohto nariadenia, sa v </w:t>
            </w:r>
            <w:r w:rsidRPr="00EF2DDB">
              <w:rPr>
                <w:b/>
                <w:i/>
              </w:rPr>
              <w:t>delegovanom akte</w:t>
            </w:r>
            <w:r w:rsidRPr="00EF2DDB">
              <w:t xml:space="preserve"> stanovia prvky uvedené v článku 23 ods. 4 nariadenia (EÚ) [</w:t>
            </w:r>
            <w:r w:rsidRPr="00EF2DDB">
              <w:rPr>
                <w:b/>
                <w:i/>
              </w:rPr>
              <w:t>…</w:t>
            </w:r>
            <w:r w:rsidRPr="00EF2DDB">
              <w:t>], ktorým sa zriaďuje Európsky fond pre hospodársku, sociálnu a územnú súdržnosť, poľnohospodárstvo a vidiek, rybárstvo a námorné záležitosti, prosperitu a bezpečnosť, a to so zreteľom na ciele stanovené v článku 3.</w:t>
            </w:r>
          </w:p>
        </w:tc>
      </w:tr>
    </w:tbl>
    <w:p w14:paraId="2EA55536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17C2C69F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264A789C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18</w:t>
      </w:r>
      <w:r w:rsidRPr="00EF2DDB">
        <w:rPr>
          <w:rStyle w:val="HideTWBExt"/>
          <w:b w:val="0"/>
        </w:rPr>
        <w:t>&lt;/NumAm&gt;</w:t>
      </w:r>
    </w:p>
    <w:p w14:paraId="1201D104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ABC3FD9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4 – odsek 6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00AF6C1C" w14:textId="77777777" w:rsidTr="00BA27ED">
        <w:trPr>
          <w:jc w:val="center"/>
        </w:trPr>
        <w:tc>
          <w:tcPr>
            <w:tcW w:w="9752" w:type="dxa"/>
            <w:gridSpan w:val="2"/>
          </w:tcPr>
          <w:p w14:paraId="52EA46EA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0D7B0F6B" w14:textId="77777777" w:rsidTr="00BA27ED">
        <w:trPr>
          <w:jc w:val="center"/>
        </w:trPr>
        <w:tc>
          <w:tcPr>
            <w:tcW w:w="4876" w:type="dxa"/>
          </w:tcPr>
          <w:p w14:paraId="64D30D44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0FB0D228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5250DC28" w14:textId="77777777" w:rsidTr="00BA27ED">
        <w:trPr>
          <w:jc w:val="center"/>
        </w:trPr>
        <w:tc>
          <w:tcPr>
            <w:tcW w:w="4876" w:type="dxa"/>
          </w:tcPr>
          <w:p w14:paraId="450B28E7" w14:textId="77777777" w:rsidR="00F61420" w:rsidRPr="00EF2DDB" w:rsidRDefault="00FF295E" w:rsidP="00BA27ED">
            <w:pPr>
              <w:pStyle w:val="Normal6"/>
            </w:pPr>
            <w:r w:rsidRPr="00EF2DDB">
              <w:t>6.</w:t>
            </w:r>
            <w:r w:rsidRPr="00EF2DDB">
              <w:tab/>
            </w:r>
            <w:r w:rsidRPr="00EF2DDB">
              <w:rPr>
                <w:b/>
                <w:i/>
              </w:rPr>
              <w:t>Rada</w:t>
            </w:r>
            <w:r w:rsidRPr="00EF2DDB">
              <w:t xml:space="preserve"> prijme </w:t>
            </w:r>
            <w:r w:rsidRPr="00EF2DDB">
              <w:rPr>
                <w:b/>
                <w:i/>
              </w:rPr>
              <w:t>vykonávacie rozhodnutie uvedené</w:t>
            </w:r>
            <w:r w:rsidRPr="00EF2DDB">
              <w:t xml:space="preserve"> v odseku 4 </w:t>
            </w:r>
            <w:r w:rsidRPr="00EF2DDB">
              <w:rPr>
                <w:b/>
                <w:i/>
              </w:rPr>
              <w:t>spravidla do štyroch týždňov od prijatia návrhu Komisie a</w:t>
            </w:r>
            <w:r w:rsidRPr="00EF2DDB">
              <w:t xml:space="preserve"> spolu s </w:t>
            </w:r>
            <w:r w:rsidRPr="00EF2DDB">
              <w:rPr>
                <w:b/>
                <w:i/>
              </w:rPr>
              <w:t>vykonávacími rozhodnutiami uvedenými</w:t>
            </w:r>
            <w:r w:rsidRPr="00EF2DDB">
              <w:t xml:space="preserve"> v článku 23 ods. </w:t>
            </w:r>
            <w:r w:rsidRPr="00EF2DDB">
              <w:rPr>
                <w:b/>
                <w:i/>
              </w:rPr>
              <w:t>1</w:t>
            </w:r>
            <w:r w:rsidRPr="00EF2DDB">
              <w:t xml:space="preserve"> [</w:t>
            </w:r>
            <w:r w:rsidRPr="00EF2DDB">
              <w:rPr>
                <w:b/>
                <w:i/>
              </w:rPr>
              <w:t>návrhom Komisie a vykonávacím rozhodnutím Rady</w:t>
            </w:r>
            <w:r w:rsidRPr="00EF2DDB">
              <w:t>] nariadenia (EÚ) [</w:t>
            </w:r>
            <w:r w:rsidRPr="00EF2DDB">
              <w:rPr>
                <w:b/>
                <w:i/>
              </w:rPr>
              <w:t>...</w:t>
            </w:r>
            <w:r w:rsidRPr="00EF2DDB">
              <w:t>], ktorým sa zriaďuje Európsky fond pre hospodársku, sociálnu a územnú súdržnosť, poľnohospodárstvo a vidiek, rybárstvo a námorné záležitosti, prosperitu a bezpečnosť.</w:t>
            </w:r>
          </w:p>
        </w:tc>
        <w:tc>
          <w:tcPr>
            <w:tcW w:w="4876" w:type="dxa"/>
          </w:tcPr>
          <w:p w14:paraId="582D0620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6.</w:t>
            </w:r>
            <w:r w:rsidRPr="00EF2DDB">
              <w:tab/>
            </w:r>
            <w:r w:rsidRPr="00EF2DDB">
              <w:rPr>
                <w:b/>
                <w:i/>
              </w:rPr>
              <w:t>Komisia</w:t>
            </w:r>
            <w:r w:rsidRPr="00EF2DDB">
              <w:t xml:space="preserve"> prijme </w:t>
            </w:r>
            <w:r w:rsidRPr="00EF2DDB">
              <w:rPr>
                <w:b/>
                <w:i/>
              </w:rPr>
              <w:t>delegovaný akt uvedený</w:t>
            </w:r>
            <w:r w:rsidRPr="00EF2DDB">
              <w:t xml:space="preserve"> v odseku 4 </w:t>
            </w:r>
            <w:r w:rsidRPr="00EF2DDB">
              <w:rPr>
                <w:b/>
                <w:i/>
              </w:rPr>
              <w:t>tohto článku spravidla</w:t>
            </w:r>
            <w:r w:rsidRPr="00EF2DDB">
              <w:t xml:space="preserve"> spolu s </w:t>
            </w:r>
            <w:r w:rsidRPr="00EF2DDB">
              <w:rPr>
                <w:b/>
                <w:i/>
              </w:rPr>
              <w:t>delegovaným aktom uvedeným</w:t>
            </w:r>
            <w:r w:rsidRPr="00EF2DDB">
              <w:t xml:space="preserve"> v článku 23 ods. </w:t>
            </w:r>
            <w:r w:rsidRPr="00EF2DDB">
              <w:rPr>
                <w:b/>
                <w:i/>
              </w:rPr>
              <w:t>4</w:t>
            </w:r>
            <w:r w:rsidRPr="00EF2DDB">
              <w:t xml:space="preserve"> [</w:t>
            </w:r>
            <w:r w:rsidRPr="00EF2DDB">
              <w:rPr>
                <w:b/>
                <w:i/>
              </w:rPr>
              <w:t>delegovaný akt o splnomocnení v súlade s článkom [87]</w:t>
            </w:r>
            <w:r w:rsidRPr="00EF2DDB">
              <w:t>] nariadenia (EÚ) [</w:t>
            </w:r>
            <w:r w:rsidRPr="00EF2DDB">
              <w:rPr>
                <w:b/>
                <w:i/>
              </w:rPr>
              <w:t>…</w:t>
            </w:r>
            <w:r w:rsidRPr="00EF2DDB">
              <w:t>], ktorým sa zriaďuje Európsky fond pre hospodársku, sociálnu a územnú súdržnosť, poľnohospodárstvo a vidiek, rybárstvo a námorné záležitosti, prosperitu a bezpečnosť.</w:t>
            </w:r>
          </w:p>
        </w:tc>
      </w:tr>
    </w:tbl>
    <w:p w14:paraId="031ABEE8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341A6BA0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749FAC72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lastRenderedPageBreak/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19</w:t>
      </w:r>
      <w:r w:rsidRPr="00EF2DDB">
        <w:rPr>
          <w:rStyle w:val="HideTWBExt"/>
          <w:b w:val="0"/>
        </w:rPr>
        <w:t>&lt;/NumAm&gt;</w:t>
      </w:r>
    </w:p>
    <w:p w14:paraId="2CA781A8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3125E7C5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4 – odsek 7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2A7E9C48" w14:textId="77777777" w:rsidTr="00BA27ED">
        <w:trPr>
          <w:jc w:val="center"/>
        </w:trPr>
        <w:tc>
          <w:tcPr>
            <w:tcW w:w="9752" w:type="dxa"/>
            <w:gridSpan w:val="2"/>
          </w:tcPr>
          <w:p w14:paraId="16392CF6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661F4596" w14:textId="77777777" w:rsidTr="00BA27ED">
        <w:trPr>
          <w:jc w:val="center"/>
        </w:trPr>
        <w:tc>
          <w:tcPr>
            <w:tcW w:w="4876" w:type="dxa"/>
          </w:tcPr>
          <w:p w14:paraId="563E3180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2AFDCFF2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7B88E927" w14:textId="77777777" w:rsidTr="00BA27ED">
        <w:trPr>
          <w:jc w:val="center"/>
        </w:trPr>
        <w:tc>
          <w:tcPr>
            <w:tcW w:w="4876" w:type="dxa"/>
          </w:tcPr>
          <w:p w14:paraId="58BD810E" w14:textId="77777777" w:rsidR="00F61420" w:rsidRPr="00EF2DDB" w:rsidRDefault="00FF295E" w:rsidP="00BA27ED">
            <w:pPr>
              <w:pStyle w:val="Normal6"/>
            </w:pPr>
            <w:r w:rsidRPr="00EF2DDB">
              <w:t>7.</w:t>
            </w:r>
            <w:r w:rsidRPr="00EF2DDB">
              <w:tab/>
              <w:t>Článok 24 nariadenia (EÚ) [</w:t>
            </w:r>
            <w:r w:rsidRPr="00EF2DDB">
              <w:rPr>
                <w:b/>
                <w:i/>
              </w:rPr>
              <w:t>...</w:t>
            </w:r>
            <w:r w:rsidRPr="00EF2DDB">
              <w:t xml:space="preserve">], ktorým sa zriaďuje Európsky fond pre hospodársku, sociálnu a územnú súdržnosť, poľnohospodárstvo a vidiek, rybárstvo a námorné záležitosti, prosperitu a bezpečnosť, o zmene plánov sa uplatňuje za predpokladu, že návrh Komisie a </w:t>
            </w:r>
            <w:r w:rsidRPr="00EF2DDB">
              <w:rPr>
                <w:b/>
                <w:i/>
              </w:rPr>
              <w:t>vykonávacie rozhodnutie Rady</w:t>
            </w:r>
            <w:r w:rsidRPr="00EF2DDB">
              <w:t xml:space="preserve">, </w:t>
            </w:r>
            <w:r w:rsidRPr="00EF2DDB">
              <w:rPr>
                <w:b/>
                <w:i/>
              </w:rPr>
              <w:t>ktorými</w:t>
            </w:r>
            <w:r w:rsidRPr="00EF2DDB">
              <w:t xml:space="preserve"> sa </w:t>
            </w:r>
            <w:r w:rsidRPr="00EF2DDB">
              <w:rPr>
                <w:b/>
                <w:i/>
              </w:rPr>
              <w:t>schvaľujú zmeny prvkov uvedených</w:t>
            </w:r>
            <w:r w:rsidRPr="00EF2DDB">
              <w:t xml:space="preserve"> v článku 23 ods. 4, sa vzťahujú len na ciele uvedené v článku 3 tohto nariadenia.</w:t>
            </w:r>
          </w:p>
        </w:tc>
        <w:tc>
          <w:tcPr>
            <w:tcW w:w="4876" w:type="dxa"/>
          </w:tcPr>
          <w:p w14:paraId="790CCFB2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t>7.</w:t>
            </w:r>
            <w:r w:rsidRPr="00EF2DDB">
              <w:tab/>
              <w:t>Článok 24 nariadenia (EÚ) [</w:t>
            </w:r>
            <w:r w:rsidRPr="00EF2DDB">
              <w:rPr>
                <w:b/>
                <w:i/>
              </w:rPr>
              <w:t>…</w:t>
            </w:r>
            <w:r w:rsidRPr="00EF2DDB">
              <w:t xml:space="preserve">], ktorým sa zriaďuje Európsky fond pre hospodársku, sociálnu a územnú súdržnosť, poľnohospodárstvo a vidiek, rybárstvo a námorné záležitosti, prosperitu a bezpečnosť, o zmene plánov sa uplatňuje za predpokladu, že návrh Komisie a </w:t>
            </w:r>
            <w:r w:rsidRPr="00EF2DDB">
              <w:rPr>
                <w:b/>
                <w:i/>
              </w:rPr>
              <w:t>delegovaný akt</w:t>
            </w:r>
            <w:r w:rsidRPr="00EF2DDB">
              <w:t xml:space="preserve">, </w:t>
            </w:r>
            <w:r w:rsidRPr="00EF2DDB">
              <w:rPr>
                <w:b/>
                <w:i/>
              </w:rPr>
              <w:t>ktorým</w:t>
            </w:r>
            <w:r w:rsidRPr="00EF2DDB">
              <w:t xml:space="preserve"> sa </w:t>
            </w:r>
            <w:r w:rsidRPr="00EF2DDB">
              <w:rPr>
                <w:b/>
                <w:i/>
              </w:rPr>
              <w:t>dopĺňajú prvky uvedené</w:t>
            </w:r>
            <w:r w:rsidRPr="00EF2DDB">
              <w:t xml:space="preserve"> v článku 23 ods. 4 </w:t>
            </w:r>
            <w:r w:rsidRPr="00EF2DDB">
              <w:rPr>
                <w:b/>
                <w:i/>
              </w:rPr>
              <w:t>uvedeného nariadenia</w:t>
            </w:r>
            <w:r w:rsidRPr="00EF2DDB">
              <w:t>, sa vzťahujú len na ciele uvedené v článku 3 tohto nariadenia.</w:t>
            </w:r>
          </w:p>
        </w:tc>
      </w:tr>
    </w:tbl>
    <w:p w14:paraId="4E65895C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28536291" w14:textId="77777777" w:rsidR="00F61420" w:rsidRPr="00EF2DDB" w:rsidRDefault="00FF295E" w:rsidP="00F61420">
      <w:r w:rsidRPr="00EF2DDB">
        <w:rPr>
          <w:rStyle w:val="HideTWBExt"/>
        </w:rPr>
        <w:t>&lt;/Amend&gt;</w:t>
      </w:r>
    </w:p>
    <w:p w14:paraId="21F92DD8" w14:textId="77777777" w:rsidR="00F61420" w:rsidRPr="00EF2DDB" w:rsidRDefault="00FF295E" w:rsidP="00F61420">
      <w:pPr>
        <w:pStyle w:val="AMNumberTabs0"/>
        <w:keepNext/>
      </w:pPr>
      <w:r w:rsidRPr="00EF2DDB">
        <w:rPr>
          <w:rStyle w:val="HideTWBExt"/>
          <w:b w:val="0"/>
        </w:rPr>
        <w:t>&lt;Amend&gt;</w:t>
      </w:r>
      <w:r w:rsidRPr="00EF2DDB">
        <w:t>Pozmeňujúci návrh</w:t>
      </w:r>
      <w:r w:rsidRPr="00EF2DDB">
        <w:tab/>
      </w:r>
      <w:r w:rsidRPr="00EF2DDB">
        <w:tab/>
      </w:r>
      <w:r w:rsidRPr="00EF2DDB">
        <w:rPr>
          <w:rStyle w:val="HideTWBExt"/>
          <w:b w:val="0"/>
        </w:rPr>
        <w:t>&lt;NumAm&gt;</w:t>
      </w:r>
      <w:r w:rsidRPr="00EF2DDB">
        <w:t>20</w:t>
      </w:r>
      <w:r w:rsidRPr="00EF2DDB">
        <w:rPr>
          <w:rStyle w:val="HideTWBExt"/>
          <w:b w:val="0"/>
        </w:rPr>
        <w:t>&lt;/NumAm&gt;</w:t>
      </w:r>
    </w:p>
    <w:p w14:paraId="6F6070C9" w14:textId="77777777" w:rsidR="00F61420" w:rsidRPr="00EF2DDB" w:rsidRDefault="00FF295E" w:rsidP="00F61420">
      <w:pPr>
        <w:pStyle w:val="NormalBold12b"/>
        <w:keepNext/>
      </w:pPr>
      <w:r w:rsidRPr="00EF2DDB">
        <w:rPr>
          <w:rStyle w:val="HideTWBExt"/>
          <w:b w:val="0"/>
        </w:rPr>
        <w:t>&lt;DocAmend&gt;</w:t>
      </w:r>
      <w:r w:rsidRPr="00EF2DDB">
        <w:t>Návrh nariadenia</w:t>
      </w:r>
      <w:r w:rsidRPr="00EF2DDB">
        <w:rPr>
          <w:rStyle w:val="HideTWBExt"/>
          <w:b w:val="0"/>
        </w:rPr>
        <w:t>&lt;/DocAmend&gt;</w:t>
      </w:r>
    </w:p>
    <w:p w14:paraId="61D3CD7F" w14:textId="77777777" w:rsidR="00F61420" w:rsidRPr="00EF2DDB" w:rsidRDefault="00FF295E" w:rsidP="00F61420">
      <w:pPr>
        <w:pStyle w:val="NormalBold"/>
      </w:pPr>
      <w:r w:rsidRPr="00EF2DDB">
        <w:rPr>
          <w:rStyle w:val="HideTWBExt"/>
          <w:b w:val="0"/>
        </w:rPr>
        <w:t>&lt;Article&gt;</w:t>
      </w:r>
      <w:r w:rsidRPr="00EF2DDB">
        <w:t>Článok 4 a (nový)</w:t>
      </w:r>
      <w:r w:rsidRPr="00EF2DDB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95A4C" w:rsidRPr="00EF2DDB" w14:paraId="5552D224" w14:textId="77777777" w:rsidTr="00BA27ED">
        <w:trPr>
          <w:jc w:val="center"/>
        </w:trPr>
        <w:tc>
          <w:tcPr>
            <w:tcW w:w="9752" w:type="dxa"/>
            <w:gridSpan w:val="2"/>
          </w:tcPr>
          <w:p w14:paraId="157F725B" w14:textId="77777777" w:rsidR="00F61420" w:rsidRPr="00EF2DDB" w:rsidRDefault="00F61420" w:rsidP="00BA27ED">
            <w:pPr>
              <w:keepNext/>
            </w:pPr>
          </w:p>
        </w:tc>
      </w:tr>
      <w:tr w:rsidR="00F95A4C" w:rsidRPr="00EF2DDB" w14:paraId="4B2EA5ED" w14:textId="77777777" w:rsidTr="00BA27ED">
        <w:trPr>
          <w:jc w:val="center"/>
        </w:trPr>
        <w:tc>
          <w:tcPr>
            <w:tcW w:w="4876" w:type="dxa"/>
          </w:tcPr>
          <w:p w14:paraId="65549B0C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Text predložený Komisiou</w:t>
            </w:r>
          </w:p>
        </w:tc>
        <w:tc>
          <w:tcPr>
            <w:tcW w:w="4876" w:type="dxa"/>
          </w:tcPr>
          <w:p w14:paraId="79CD11BE" w14:textId="77777777" w:rsidR="00F61420" w:rsidRPr="00EF2DDB" w:rsidRDefault="00FF295E" w:rsidP="00BA27ED">
            <w:pPr>
              <w:pStyle w:val="ColumnHeading"/>
              <w:keepNext/>
            </w:pPr>
            <w:r w:rsidRPr="00EF2DDB">
              <w:t>Pozmeňujúci návrh</w:t>
            </w:r>
          </w:p>
        </w:tc>
      </w:tr>
      <w:tr w:rsidR="00F95A4C" w:rsidRPr="00EF2DDB" w14:paraId="5AD6F3D0" w14:textId="77777777" w:rsidTr="00BA27ED">
        <w:trPr>
          <w:jc w:val="center"/>
        </w:trPr>
        <w:tc>
          <w:tcPr>
            <w:tcW w:w="4876" w:type="dxa"/>
          </w:tcPr>
          <w:p w14:paraId="57A05155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C5D1AB9" w14:textId="77777777" w:rsidR="00F61420" w:rsidRPr="00EF2DDB" w:rsidRDefault="00FF295E" w:rsidP="00BA27ED">
            <w:pPr>
              <w:pStyle w:val="Normal6"/>
              <w:jc w:val="center"/>
              <w:rPr>
                <w:szCs w:val="24"/>
              </w:rPr>
            </w:pPr>
            <w:r w:rsidRPr="00EF2DDB">
              <w:rPr>
                <w:b/>
                <w:i/>
              </w:rPr>
              <w:t>Článok 4a</w:t>
            </w:r>
          </w:p>
        </w:tc>
      </w:tr>
      <w:tr w:rsidR="00F95A4C" w:rsidRPr="00EF2DDB" w14:paraId="5AA5A633" w14:textId="77777777" w:rsidTr="00BA27ED">
        <w:trPr>
          <w:jc w:val="center"/>
        </w:trPr>
        <w:tc>
          <w:tcPr>
            <w:tcW w:w="4876" w:type="dxa"/>
          </w:tcPr>
          <w:p w14:paraId="03544CC8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54123C71" w14:textId="77777777" w:rsidR="00F61420" w:rsidRPr="00EF2DDB" w:rsidRDefault="00FF295E" w:rsidP="00BA27ED">
            <w:pPr>
              <w:pStyle w:val="Normal6"/>
              <w:jc w:val="center"/>
              <w:rPr>
                <w:szCs w:val="24"/>
              </w:rPr>
            </w:pPr>
            <w:r w:rsidRPr="00EF2DDB">
              <w:rPr>
                <w:b/>
                <w:i/>
              </w:rPr>
              <w:t>Vykonávanie delegovania právomoci</w:t>
            </w:r>
          </w:p>
        </w:tc>
      </w:tr>
      <w:tr w:rsidR="00F95A4C" w:rsidRPr="00EF2DDB" w14:paraId="17F49F54" w14:textId="77777777" w:rsidTr="00BA27ED">
        <w:trPr>
          <w:jc w:val="center"/>
        </w:trPr>
        <w:tc>
          <w:tcPr>
            <w:tcW w:w="4876" w:type="dxa"/>
          </w:tcPr>
          <w:p w14:paraId="1FE5D9A2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4FDACCEE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1.</w:t>
            </w:r>
            <w:r w:rsidRPr="00EF2DDB">
              <w:rPr>
                <w:b/>
                <w:i/>
              </w:rPr>
              <w:tab/>
              <w:t>Komisii sa udeľuje právomoc prijímať delegované akty za podmienok stanovených v tomto článku.</w:t>
            </w:r>
          </w:p>
        </w:tc>
      </w:tr>
      <w:tr w:rsidR="00F95A4C" w:rsidRPr="00EF2DDB" w14:paraId="7BC77277" w14:textId="77777777" w:rsidTr="00BA27ED">
        <w:trPr>
          <w:jc w:val="center"/>
        </w:trPr>
        <w:tc>
          <w:tcPr>
            <w:tcW w:w="4876" w:type="dxa"/>
          </w:tcPr>
          <w:p w14:paraId="1E911D54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401EE1C1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2.</w:t>
            </w:r>
            <w:r w:rsidRPr="00EF2DDB">
              <w:rPr>
                <w:b/>
                <w:i/>
              </w:rPr>
              <w:tab/>
              <w:t xml:space="preserve">Právomoc prijímať delegované akty uvedená v článku 4 sa Komisii udeľuje na dobu neurčitú od… [dátum </w:t>
            </w:r>
            <w:r w:rsidRPr="00EF2DDB">
              <w:rPr>
                <w:b/>
                <w:i/>
              </w:rPr>
              <w:t>nadobudnutia účinnosti tohto nariadenia].</w:t>
            </w:r>
          </w:p>
        </w:tc>
      </w:tr>
      <w:tr w:rsidR="00F95A4C" w:rsidRPr="00EF2DDB" w14:paraId="28EE3D80" w14:textId="77777777" w:rsidTr="00BA27ED">
        <w:trPr>
          <w:jc w:val="center"/>
        </w:trPr>
        <w:tc>
          <w:tcPr>
            <w:tcW w:w="4876" w:type="dxa"/>
          </w:tcPr>
          <w:p w14:paraId="2D7F38C4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04B182A9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3.</w:t>
            </w:r>
            <w:r w:rsidRPr="00EF2DDB">
              <w:rPr>
                <w:b/>
                <w:i/>
              </w:rPr>
              <w:tab/>
              <w:t xml:space="preserve">Delegovanie právomoci uvedené v článku 4 môže Európsky parlament alebo Rada kedykoľvek odvolať. Rozhodnutím o odvolaní sa ukončuje delegovanie právomoci, ktoré sa v ňom uvádza. Rozhodnutie nadobúda účinnosť dňom nasledujúcim po jeho uverejnení v Úradnom vestníku Európskej únie alebo k neskoršiemu dátumu, ktorý je v ňom určený. Nie je ním dotknutá platnosť </w:t>
            </w:r>
            <w:r w:rsidRPr="00EF2DDB">
              <w:rPr>
                <w:b/>
                <w:i/>
              </w:rPr>
              <w:lastRenderedPageBreak/>
              <w:t>delegovaných aktov, ktoré už nadobudli účinnosť.</w:t>
            </w:r>
          </w:p>
        </w:tc>
      </w:tr>
      <w:tr w:rsidR="00F95A4C" w:rsidRPr="00EF2DDB" w14:paraId="1CE59ED5" w14:textId="77777777" w:rsidTr="00BA27ED">
        <w:trPr>
          <w:jc w:val="center"/>
        </w:trPr>
        <w:tc>
          <w:tcPr>
            <w:tcW w:w="4876" w:type="dxa"/>
          </w:tcPr>
          <w:p w14:paraId="56BA2281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DCA81E2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4.</w:t>
            </w:r>
            <w:r w:rsidRPr="00EF2DDB">
              <w:rPr>
                <w:b/>
                <w:i/>
              </w:rPr>
              <w:tab/>
              <w:t>Komisia pred prijatím delegovaného aktu konzultuje s expertmi určenými jednotlivými členskými štátmi v súlade so zásadami stanovenými v Medziinštitucionálnej dohode z 13. apríla 2016 o lepšej tvorbe práva.</w:t>
            </w:r>
          </w:p>
        </w:tc>
      </w:tr>
      <w:tr w:rsidR="00F95A4C" w:rsidRPr="00EF2DDB" w14:paraId="0501C714" w14:textId="77777777" w:rsidTr="00BA27ED">
        <w:trPr>
          <w:jc w:val="center"/>
        </w:trPr>
        <w:tc>
          <w:tcPr>
            <w:tcW w:w="4876" w:type="dxa"/>
          </w:tcPr>
          <w:p w14:paraId="300B2227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362A04AA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5.</w:t>
            </w:r>
            <w:r w:rsidRPr="00EF2DDB">
              <w:rPr>
                <w:b/>
                <w:i/>
              </w:rPr>
              <w:tab/>
              <w:t>Komisia oznamuje delegovaný akt hneď po jeho prijatí súčasne Európskemu parlamentu a Rade.</w:t>
            </w:r>
          </w:p>
        </w:tc>
      </w:tr>
      <w:tr w:rsidR="00F95A4C" w:rsidRPr="00EF2DDB" w14:paraId="6B2A782B" w14:textId="77777777" w:rsidTr="00BA27ED">
        <w:trPr>
          <w:jc w:val="center"/>
        </w:trPr>
        <w:tc>
          <w:tcPr>
            <w:tcW w:w="4876" w:type="dxa"/>
          </w:tcPr>
          <w:p w14:paraId="303EEB29" w14:textId="77777777" w:rsidR="00F61420" w:rsidRPr="00EF2DDB" w:rsidRDefault="00F61420" w:rsidP="00BA27ED">
            <w:pPr>
              <w:pStyle w:val="Normal6"/>
            </w:pPr>
          </w:p>
        </w:tc>
        <w:tc>
          <w:tcPr>
            <w:tcW w:w="4876" w:type="dxa"/>
          </w:tcPr>
          <w:p w14:paraId="78D053C4" w14:textId="77777777" w:rsidR="00F61420" w:rsidRPr="00EF2DDB" w:rsidRDefault="00FF295E" w:rsidP="00BA27ED">
            <w:pPr>
              <w:pStyle w:val="Normal6"/>
              <w:rPr>
                <w:szCs w:val="24"/>
              </w:rPr>
            </w:pPr>
            <w:r w:rsidRPr="00EF2DDB">
              <w:rPr>
                <w:b/>
                <w:i/>
              </w:rPr>
              <w:t>6.</w:t>
            </w:r>
            <w:r w:rsidRPr="00EF2DDB">
              <w:rPr>
                <w:b/>
                <w:i/>
              </w:rPr>
              <w:tab/>
              <w:t>Delegovaný akt prijatý podľa článku 4 nadobudne účinnosť, len ak Európsky parlament alebo Rada voči nemu nevzniesli námietku v lehote dvoch mesiacov odo dňa oznámenia uvedeného aktu Európskemu parlamentu a Rade alebo ak pred uplynutím uvedenej lehoty Európsky parlament a Rada informovali Komisiu o svojom rozhodnutí nevzniesť námietku. Na podnet Európskeho parlamentu alebo Rady sa táto lehota predĺži o dva mesiace.</w:t>
            </w:r>
          </w:p>
        </w:tc>
      </w:tr>
    </w:tbl>
    <w:p w14:paraId="5750EE19" w14:textId="77777777" w:rsidR="00F61420" w:rsidRPr="00EF2DDB" w:rsidRDefault="00FF295E" w:rsidP="00F61420">
      <w:pPr>
        <w:pStyle w:val="Olang"/>
        <w:rPr>
          <w:sz w:val="24"/>
          <w:szCs w:val="24"/>
        </w:rPr>
      </w:pPr>
      <w:r w:rsidRPr="00EF2DDB">
        <w:rPr>
          <w:sz w:val="24"/>
          <w:szCs w:val="24"/>
        </w:rPr>
        <w:t xml:space="preserve">Or. </w:t>
      </w:r>
      <w:r w:rsidRPr="00EF2DDB">
        <w:rPr>
          <w:rStyle w:val="HideTWBExt"/>
        </w:rPr>
        <w:t>&lt;Original&gt;</w:t>
      </w:r>
      <w:r w:rsidRPr="00EF2DDB">
        <w:rPr>
          <w:rStyle w:val="HideTWBInt"/>
          <w:sz w:val="24"/>
          <w:szCs w:val="24"/>
        </w:rPr>
        <w:t>{EN}</w:t>
      </w:r>
      <w:r w:rsidRPr="00EF2DDB">
        <w:rPr>
          <w:sz w:val="24"/>
          <w:szCs w:val="24"/>
        </w:rPr>
        <w:t>en</w:t>
      </w:r>
      <w:r w:rsidRPr="00EF2DDB">
        <w:rPr>
          <w:rStyle w:val="HideTWBExt"/>
        </w:rPr>
        <w:t>&lt;/Original&gt;</w:t>
      </w:r>
    </w:p>
    <w:p w14:paraId="56CB2540" w14:textId="77777777" w:rsidR="00F61420" w:rsidRPr="00EF2DDB" w:rsidRDefault="00FF295E" w:rsidP="00F61420">
      <w:r w:rsidRPr="00EF2DDB">
        <w:rPr>
          <w:rStyle w:val="HideTWBExt"/>
        </w:rPr>
        <w:t>&lt;/Amend&gt;&lt;/RepeatBlock-Amend&gt;</w:t>
      </w:r>
    </w:p>
    <w:p w14:paraId="4A60DEDE" w14:textId="77777777" w:rsidR="00F61420" w:rsidRPr="00EF2DDB" w:rsidRDefault="00F61420" w:rsidP="00F61420"/>
    <w:p w14:paraId="0152C398" w14:textId="77777777" w:rsidR="00F61420" w:rsidRPr="00EF2DDB" w:rsidRDefault="00F61420" w:rsidP="00D30DE2">
      <w:pPr>
        <w:sectPr w:rsidR="00F61420" w:rsidRPr="00EF2DDB" w:rsidSect="00EF2D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F2642A2" w14:textId="77777777" w:rsidR="00F61420" w:rsidRPr="00EF2DDB" w:rsidRDefault="00FF295E" w:rsidP="00F61420">
      <w:pPr>
        <w:pStyle w:val="PageHeading"/>
      </w:pPr>
      <w:bookmarkStart w:id="1" w:name="_Toc231390760"/>
      <w:r w:rsidRPr="00EF2DDB">
        <w:lastRenderedPageBreak/>
        <w:t>DÔVODOVÁ SPRÁVA</w:t>
      </w:r>
      <w:bookmarkEnd w:id="1"/>
    </w:p>
    <w:p w14:paraId="59D72555" w14:textId="77777777" w:rsidR="00371C38" w:rsidRPr="00EF2DDB" w:rsidRDefault="00FF295E" w:rsidP="00371C38">
      <w:r w:rsidRPr="00EF2DDB">
        <w:t xml:space="preserve">Dňa </w:t>
      </w:r>
      <w:r w:rsidRPr="00EF2DDB">
        <w:t xml:space="preserve">16. júla 2025 predložila Komisia niekoľko legislatívnych návrhov týkajúcich sa budúceho viacročného finančného rámca Únie (ďalej len „VFR“) na roky 2028 – 2034 vrátane tohto návrhu. </w:t>
      </w:r>
    </w:p>
    <w:p w14:paraId="2DC00313" w14:textId="77777777" w:rsidR="00371C38" w:rsidRPr="00EF2DDB" w:rsidRDefault="00371C38" w:rsidP="00371C38"/>
    <w:p w14:paraId="3A42B789" w14:textId="77777777" w:rsidR="00371C38" w:rsidRPr="00EF2DDB" w:rsidRDefault="00FF295E" w:rsidP="00371C38">
      <w:r w:rsidRPr="00EF2DDB">
        <w:t>Podľa navrhovaného nového rozpočtového rámca by sa mal objem finančných prostriedkov pridelených na opatrenia Únie v oblasti spravodlivosti a vnútorných vecí v porovnaní so súčasným rámcom celkovo strojnásobiť (na 81 miliárd EUR). Tento návrh je jedným z troch návrhov</w:t>
      </w:r>
      <w:r w:rsidRPr="00EF2DDB">
        <w:rPr>
          <w:vertAlign w:val="superscript"/>
        </w:rPr>
        <w:footnoteReference w:id="2"/>
      </w:r>
      <w:r w:rsidRPr="00EF2DDB">
        <w:t>, ktorými sa majú nahradiť existujúce tri fondy v oblasti vnútorných vecí</w:t>
      </w:r>
      <w:r w:rsidRPr="00EF2DDB">
        <w:rPr>
          <w:vertAlign w:val="superscript"/>
        </w:rPr>
        <w:footnoteReference w:id="3"/>
      </w:r>
      <w:r w:rsidRPr="00EF2DDB">
        <w:t>.</w:t>
      </w:r>
    </w:p>
    <w:p w14:paraId="2C87CF1F" w14:textId="77777777" w:rsidR="00371C38" w:rsidRPr="00EF2DDB" w:rsidRDefault="00371C38" w:rsidP="00371C38"/>
    <w:p w14:paraId="7121B59F" w14:textId="77777777" w:rsidR="00371C38" w:rsidRPr="00EF2DDB" w:rsidRDefault="00FF295E" w:rsidP="00371C38">
      <w:r w:rsidRPr="00EF2DDB">
        <w:t xml:space="preserve">Podľa Komisie je cieľom novej štruktúry VFR a rozpočtu optimalizovať využívanie finančných prostriedkov Únie a zároveň zachovať súdržnosť a efektívne monitorovanie. Tri nové nástroje v oblasti vnútorných vecí sa na základe toho majú zosúladiť s horizontálnymi pravidlami uvedenými v navrhovanom </w:t>
      </w:r>
      <w:r w:rsidRPr="00EF2DDB">
        <w:rPr>
          <w:i/>
          <w:iCs/>
        </w:rPr>
        <w:t>nariadení, ktorým sa zriaďuje Európsky fond pre hospodársku, sociálnu a územnú súdržnosť, poľnohospodárstvo a vidiek, rybárstvo a námorné záležitosti, prosperitu a bezpečnosť na roky 2028 – 2034</w:t>
      </w:r>
      <w:r w:rsidRPr="00EF2DDB">
        <w:rPr>
          <w:vertAlign w:val="superscript"/>
        </w:rPr>
        <w:footnoteReference w:id="4"/>
      </w:r>
      <w:r w:rsidRPr="00EF2DDB">
        <w:t xml:space="preserve">, a to prostredníctvom tzv. plánov národného a regionálneho partnerstva (plány NRP) vypracovaných každým členským štátom a pre každý členský štát. Zodpovedajúcu finančnú podporu možno doplniť finančnými prostriedkami pridelenými na akcie Únie prostredníctvom Nástroja EÚ, vďaka čomu sa zvýši flexibilita a bude možné reagovať na nepredvídané krízy. </w:t>
      </w:r>
    </w:p>
    <w:p w14:paraId="35417B0A" w14:textId="77777777" w:rsidR="00371C38" w:rsidRPr="00EF2DDB" w:rsidRDefault="00371C38" w:rsidP="00371C38"/>
    <w:p w14:paraId="2C1A063A" w14:textId="77777777" w:rsidR="00371C38" w:rsidRPr="00EF2DDB" w:rsidRDefault="00FF295E" w:rsidP="00371C38">
      <w:r w:rsidRPr="00EF2DDB">
        <w:t xml:space="preserve">Keďže nie všetky členské štáty sú zapojené do priestoru slobody, bezpečnosti a spravodlivosti Únie v rovnakej miere (tzv. variabilná geometria), uvedené tri nástroje v oblasti vnútorných vecí neboli začlenené do Fondu pre NRP, ale boli predložené popri nariadení o tomto fonde. Krajiny pridružené k schengenskému priestoru doň majú byť zapojené prostredníctvom finančných príspevkov dohodnutých v dvojstranných dohodách s EÚ. </w:t>
      </w:r>
    </w:p>
    <w:p w14:paraId="7D6D9F81" w14:textId="77777777" w:rsidR="00371C38" w:rsidRPr="00EF2DDB" w:rsidRDefault="00371C38" w:rsidP="00371C38"/>
    <w:p w14:paraId="718D2028" w14:textId="77777777" w:rsidR="00371C38" w:rsidRPr="00EF2DDB" w:rsidRDefault="00FF295E" w:rsidP="00371C38">
      <w:r w:rsidRPr="00EF2DDB">
        <w:t xml:space="preserve">Súčasný </w:t>
      </w:r>
      <w:r w:rsidRPr="00EF2DDB">
        <w:rPr>
          <w:i/>
        </w:rPr>
        <w:t>návrh nariadenia, ktorým sa stanovuje podpora Únie v oblasti vnútornej bezpečnosti na roky 2028 až 2034</w:t>
      </w:r>
      <w:r w:rsidRPr="00EF2DDB">
        <w:t xml:space="preserve">, je súčasťou tohto úsilia. V návrhu Komisie sa predpokladá rozpočet vo výške 6,8 miliardy EUR na roky 2028 až 2034. Zároveň sa </w:t>
      </w:r>
      <w:r w:rsidRPr="00EF2DDB">
        <w:t xml:space="preserve">v ňom stanovujú pravidlá a ciele špecifické pre jednotlivé odvetvia, ktoré dopĺňajú uvedené všeobecné horizontálne pravidlá v rámci plánov NRP. </w:t>
      </w:r>
    </w:p>
    <w:p w14:paraId="4E1787F4" w14:textId="77777777" w:rsidR="00371C38" w:rsidRPr="00EF2DDB" w:rsidRDefault="00371C38" w:rsidP="00371C38"/>
    <w:p w14:paraId="77C78B5B" w14:textId="77777777" w:rsidR="00371C38" w:rsidRPr="00EF2DDB" w:rsidRDefault="00FF295E" w:rsidP="00371C38">
      <w:r w:rsidRPr="00EF2DDB">
        <w:t xml:space="preserve">Spravodajkyňa celkovú štruktúru VFR na roky 2028 – 2034 podporuje. Navrhuje však niekoľko objasnení týkajúcich sa nariadenia o vnútornej bezpečnosti s cieľom zosúladiť daný nástroj s najnaliehavejšími výzvami Európy v oblasti vnútornej bezpečnosti a umožniť riadnu </w:t>
      </w:r>
      <w:r w:rsidRPr="00EF2DDB">
        <w:lastRenderedPageBreak/>
        <w:t>kontrolu využívania finančných prostriedkov EÚ.</w:t>
      </w:r>
    </w:p>
    <w:p w14:paraId="3D3A1B98" w14:textId="77777777" w:rsidR="00371C38" w:rsidRPr="00EF2DDB" w:rsidRDefault="00371C38" w:rsidP="00371C38"/>
    <w:p w14:paraId="794161AB" w14:textId="77777777" w:rsidR="00371C38" w:rsidRPr="00EF2DDB" w:rsidRDefault="00FF295E" w:rsidP="00371C38">
      <w:r w:rsidRPr="00EF2DDB">
        <w:t xml:space="preserve">Spravodajkyňa podporuje tieto ciele navrhovaného nariadenia: </w:t>
      </w:r>
    </w:p>
    <w:p w14:paraId="5C4CD9F3" w14:textId="77777777" w:rsidR="00371C38" w:rsidRPr="00EF2DDB" w:rsidRDefault="00FF295E" w:rsidP="000E4437">
      <w:pPr>
        <w:ind w:left="720" w:hanging="360"/>
      </w:pPr>
      <w:r w:rsidRPr="00EF2DDB">
        <w:rPr>
          <w:rFonts w:ascii="Abadi" w:hAnsi="Abadi"/>
        </w:rPr>
        <w:t>­</w:t>
      </w:r>
      <w:r w:rsidRPr="00EF2DDB">
        <w:rPr>
          <w:rFonts w:ascii="Abadi" w:hAnsi="Abadi"/>
        </w:rPr>
        <w:tab/>
      </w:r>
      <w:r w:rsidRPr="00EF2DDB">
        <w:t>posilňovanie spôsobilostí Únie a členských štátov v oblasti predchádzania závažnej a organizovanej trestnej činnosti online a offline vrátane radikalizácie a terorizmu, násilného extrémizmu, počítačovej kriminality, sexuálneho zneužívania a vykorisťovania detí a hybridných hrozieb a boja proti nim, ako aj v súvislosti s ochranou občanov a verejných priestorov pred útokmi, a to aj prostredníctvom inovatívnych metód a nových technológií v oblasti vnútornej bezpečnosti;</w:t>
      </w:r>
    </w:p>
    <w:p w14:paraId="0B5230CC" w14:textId="77777777" w:rsidR="00371C38" w:rsidRPr="00EF2DDB" w:rsidRDefault="00FF295E" w:rsidP="000E4437">
      <w:pPr>
        <w:ind w:left="720" w:hanging="360"/>
      </w:pPr>
      <w:r w:rsidRPr="00EF2DDB">
        <w:rPr>
          <w:rFonts w:ascii="Abadi" w:hAnsi="Abadi"/>
        </w:rPr>
        <w:t>­</w:t>
      </w:r>
      <w:r w:rsidRPr="00EF2DDB">
        <w:rPr>
          <w:rFonts w:ascii="Abadi" w:hAnsi="Abadi"/>
        </w:rPr>
        <w:tab/>
      </w:r>
      <w:r w:rsidRPr="00EF2DDB">
        <w:t>podpora spôsobilostí členských štátov zvyšovaním odolnosti kritických subjektov voči nepriateľským aktom a riadenie incidentov, rizík a kríz súvisiacich s bezpečnosťou, a to aj prostredníctvom interoperabilných kritických komunikačných systémov;</w:t>
      </w:r>
    </w:p>
    <w:p w14:paraId="6B26BCB3" w14:textId="77777777" w:rsidR="00371C38" w:rsidRPr="00EF2DDB" w:rsidRDefault="00FF295E" w:rsidP="000E4437">
      <w:pPr>
        <w:ind w:left="720" w:hanging="360"/>
      </w:pPr>
      <w:r w:rsidRPr="00EF2DDB">
        <w:rPr>
          <w:rFonts w:ascii="Abadi" w:hAnsi="Abadi"/>
        </w:rPr>
        <w:t>­</w:t>
      </w:r>
      <w:r w:rsidRPr="00EF2DDB">
        <w:rPr>
          <w:rFonts w:ascii="Abadi" w:hAnsi="Abadi"/>
        </w:rPr>
        <w:tab/>
      </w:r>
      <w:r w:rsidRPr="00EF2DDB">
        <w:t>zlepšenie a uľahčenie výmeny informácií medzi príslušnými orgánmi a príslušnými orgánmi, úradmi a agentúrami Únie, ako aj v rámci nich a prípadne aj s tretími krajinami, medzinárodnými organizáciami a súkromnými subjektmi;</w:t>
      </w:r>
    </w:p>
    <w:p w14:paraId="482220E1" w14:textId="77777777" w:rsidR="00371C38" w:rsidRPr="00EF2DDB" w:rsidRDefault="00FF295E" w:rsidP="000E4437">
      <w:pPr>
        <w:ind w:left="720" w:hanging="360"/>
      </w:pPr>
      <w:r w:rsidRPr="00EF2DDB">
        <w:rPr>
          <w:rFonts w:ascii="Abadi" w:hAnsi="Abadi"/>
        </w:rPr>
        <w:t>­</w:t>
      </w:r>
      <w:r w:rsidRPr="00EF2DDB">
        <w:rPr>
          <w:rFonts w:ascii="Abadi" w:hAnsi="Abadi"/>
        </w:rPr>
        <w:tab/>
      </w:r>
      <w:r w:rsidRPr="00EF2DDB">
        <w:t>zlepšenie a zintenzívnenie operačnej spolupráce v oblasti presadzovania práva vrátane spoločných operácií medzi príslušnými orgánmi v súvislosti s predchádzaním závažnej a organizovanej trestnej činnosti online a offline a bojom proti nej vrátane radikalizácie a terorizmu, násilného extrémizmu, počítačovej kriminality, sexuálneho zneužívania a vykorisťovania detí a hybridných hrozieb, ako aj v súvislosti s ochranou občanov a verejných priestorov pred útokmi;</w:t>
      </w:r>
    </w:p>
    <w:p w14:paraId="60542955" w14:textId="77777777" w:rsidR="00371C38" w:rsidRPr="00EF2DDB" w:rsidRDefault="00FF295E" w:rsidP="000E4437">
      <w:pPr>
        <w:ind w:left="720" w:hanging="360"/>
      </w:pPr>
      <w:r w:rsidRPr="00EF2DDB">
        <w:rPr>
          <w:rFonts w:ascii="Abadi" w:hAnsi="Abadi"/>
        </w:rPr>
        <w:t>­</w:t>
      </w:r>
      <w:r w:rsidRPr="00EF2DDB">
        <w:rPr>
          <w:rFonts w:ascii="Abadi" w:hAnsi="Abadi"/>
        </w:rPr>
        <w:tab/>
      </w:r>
      <w:r w:rsidRPr="00EF2DDB">
        <w:t xml:space="preserve">posilňovanie podpory, ochrany a pomoci obetiam závažnej a organizovanej trestnej činnosti vrátane </w:t>
      </w:r>
      <w:r w:rsidRPr="00EF2DDB">
        <w:t>zabezpečenia prístupu k príslušným orgánom, informáciám a špecializovaným službám s osobitnou pozornosťou venovanou zraniteľným obetiam.</w:t>
      </w:r>
    </w:p>
    <w:p w14:paraId="17C29AAB" w14:textId="77777777" w:rsidR="00371C38" w:rsidRPr="00EF2DDB" w:rsidRDefault="00371C38" w:rsidP="00371C38"/>
    <w:p w14:paraId="1FB43E1B" w14:textId="77777777" w:rsidR="00371C38" w:rsidRPr="00EF2DDB" w:rsidRDefault="00FF295E" w:rsidP="00371C38">
      <w:r w:rsidRPr="00EF2DDB">
        <w:t>Napokon, podľa návrhu nariadenia o NRP sa členské štáty môžu odchýliť od pravidiel a požiadaviek týkajúcich sa partnerstva a viacúrovňového riadenia v oblasti vnútorných vecí. Okrem toho môžu prerozdeliť finančné prostriedky medzi tieto tri nástroje za predpokladu, že prerozdelenie slúži na dosiahnutie každého z cieľov stanovených v týchto nástrojoch a že pridelené prostriedky zodpovedajú identifikovaným výzvam a potrebám a spĺňajú všeobecné požiadavky na plány NRP.</w:t>
      </w:r>
    </w:p>
    <w:p w14:paraId="60BF5D2F" w14:textId="77777777" w:rsidR="00F61420" w:rsidRPr="00EF2DDB" w:rsidRDefault="00F61420" w:rsidP="00371C38"/>
    <w:sectPr w:rsidR="00F61420" w:rsidRPr="00EF2DDB" w:rsidSect="00F614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4B2BB" w14:textId="77777777" w:rsidR="00FF295E" w:rsidRPr="00EF2DDB" w:rsidRDefault="00FF295E">
      <w:r w:rsidRPr="00EF2DDB">
        <w:separator/>
      </w:r>
    </w:p>
  </w:endnote>
  <w:endnote w:type="continuationSeparator" w:id="0">
    <w:p w14:paraId="4BCFC11B" w14:textId="77777777" w:rsidR="00FF295E" w:rsidRPr="00EF2DDB" w:rsidRDefault="00FF295E">
      <w:r w:rsidRPr="00EF2D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2E31" w14:textId="77777777" w:rsidR="00EF2DDB" w:rsidRPr="00EF2DDB" w:rsidRDefault="00EF2DDB" w:rsidP="00EF2DDB">
    <w:pPr>
      <w:pStyle w:val="EPFooter"/>
    </w:pPr>
    <w:r w:rsidRPr="00EF2DDB">
      <w:t>PE</w:t>
    </w:r>
    <w:r w:rsidRPr="00EF2DDB">
      <w:rPr>
        <w:rStyle w:val="HideTWBExt"/>
      </w:rPr>
      <w:t>&lt;NoPE&gt;</w:t>
    </w:r>
    <w:r w:rsidRPr="00EF2DDB">
      <w:t>788.869</w:t>
    </w:r>
    <w:r w:rsidRPr="00EF2DDB">
      <w:rPr>
        <w:rStyle w:val="HideTWBExt"/>
      </w:rPr>
      <w:t>&lt;/NoPE&gt;&lt;Version&gt;</w:t>
    </w:r>
    <w:r w:rsidRPr="00EF2DDB">
      <w:t>v01-00</w:t>
    </w:r>
    <w:r w:rsidRPr="00EF2DDB">
      <w:rPr>
        <w:rStyle w:val="HideTWBExt"/>
      </w:rPr>
      <w:t>&lt;/Version&gt;</w:t>
    </w:r>
    <w:r w:rsidRPr="00EF2DDB">
      <w:tab/>
    </w:r>
    <w:r w:rsidRPr="00EF2DDB">
      <w:fldChar w:fldCharType="begin"/>
    </w:r>
    <w:r w:rsidRPr="00EF2DDB">
      <w:instrText xml:space="preserve"> PAGE  \* MERGEFORMAT </w:instrText>
    </w:r>
    <w:r w:rsidRPr="00EF2DDB">
      <w:fldChar w:fldCharType="separate"/>
    </w:r>
    <w:r w:rsidRPr="00EF2DDB">
      <w:rPr>
        <w:noProof/>
      </w:rPr>
      <w:t>1</w:t>
    </w:r>
    <w:r w:rsidRPr="00EF2DDB">
      <w:fldChar w:fldCharType="end"/>
    </w:r>
    <w:r w:rsidRPr="00EF2DDB">
      <w:t>/</w:t>
    </w:r>
    <w:fldSimple w:instr=" NUMPAGES  \* MERGEFORMAT ">
      <w:r w:rsidRPr="00EF2DDB">
        <w:rPr>
          <w:noProof/>
        </w:rPr>
        <w:t>1</w:t>
      </w:r>
    </w:fldSimple>
    <w:r w:rsidRPr="00EF2DDB">
      <w:tab/>
    </w:r>
    <w:r w:rsidRPr="00EF2DDB">
      <w:rPr>
        <w:rStyle w:val="HideTWBExt"/>
      </w:rPr>
      <w:t>&lt;PathFdR&gt;</w:t>
    </w:r>
    <w:r w:rsidRPr="00EF2DDB">
      <w:t>PR\1343889SK.docx</w:t>
    </w:r>
    <w:r w:rsidRPr="00EF2DDB">
      <w:rPr>
        <w:rStyle w:val="HideTWBExt"/>
      </w:rPr>
      <w:t>&lt;/PathFdR&gt;</w:t>
    </w:r>
  </w:p>
  <w:p w14:paraId="5B6CCEF4" w14:textId="1BC574EF" w:rsidR="00FB52FE" w:rsidRPr="00EF2DDB" w:rsidRDefault="00EF2DDB" w:rsidP="00EF2DDB">
    <w:pPr>
      <w:pStyle w:val="EPFooter2"/>
    </w:pPr>
    <w:r w:rsidRPr="00EF2DD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20D2" w14:textId="77777777" w:rsidR="00EF2DDB" w:rsidRPr="00EF2DDB" w:rsidRDefault="00EF2DDB" w:rsidP="00EF2DDB">
    <w:pPr>
      <w:pStyle w:val="EPFooter"/>
    </w:pPr>
    <w:r w:rsidRPr="00EF2DDB">
      <w:rPr>
        <w:rStyle w:val="HideTWBExt"/>
      </w:rPr>
      <w:t>&lt;PathFdR&gt;</w:t>
    </w:r>
    <w:r w:rsidRPr="00EF2DDB">
      <w:t>PR\1343889SK.docx</w:t>
    </w:r>
    <w:r w:rsidRPr="00EF2DDB">
      <w:rPr>
        <w:rStyle w:val="HideTWBExt"/>
      </w:rPr>
      <w:t>&lt;/PathFdR&gt;</w:t>
    </w:r>
    <w:r w:rsidRPr="00EF2DDB">
      <w:tab/>
    </w:r>
    <w:r w:rsidRPr="00EF2DDB">
      <w:fldChar w:fldCharType="begin"/>
    </w:r>
    <w:r w:rsidRPr="00EF2DDB">
      <w:instrText xml:space="preserve"> PAGE  \* MERGEFORMAT </w:instrText>
    </w:r>
    <w:r w:rsidRPr="00EF2DDB">
      <w:fldChar w:fldCharType="separate"/>
    </w:r>
    <w:r w:rsidRPr="00EF2DDB">
      <w:rPr>
        <w:noProof/>
      </w:rPr>
      <w:t>1</w:t>
    </w:r>
    <w:r w:rsidRPr="00EF2DDB">
      <w:fldChar w:fldCharType="end"/>
    </w:r>
    <w:r w:rsidRPr="00EF2DDB">
      <w:t>/</w:t>
    </w:r>
    <w:fldSimple w:instr=" NUMPAGES  \* MERGEFORMAT ">
      <w:r w:rsidRPr="00EF2DDB">
        <w:rPr>
          <w:noProof/>
        </w:rPr>
        <w:t>1</w:t>
      </w:r>
    </w:fldSimple>
    <w:r w:rsidRPr="00EF2DDB">
      <w:tab/>
      <w:t>PE</w:t>
    </w:r>
    <w:r w:rsidRPr="00EF2DDB">
      <w:rPr>
        <w:rStyle w:val="HideTWBExt"/>
      </w:rPr>
      <w:t>&lt;NoPE&gt;</w:t>
    </w:r>
    <w:r w:rsidRPr="00EF2DDB">
      <w:t>788.869</w:t>
    </w:r>
    <w:r w:rsidRPr="00EF2DDB">
      <w:rPr>
        <w:rStyle w:val="HideTWBExt"/>
      </w:rPr>
      <w:t>&lt;/NoPE&gt;&lt;Version&gt;</w:t>
    </w:r>
    <w:r w:rsidRPr="00EF2DDB">
      <w:t>v01-00</w:t>
    </w:r>
    <w:r w:rsidRPr="00EF2DDB">
      <w:rPr>
        <w:rStyle w:val="HideTWBExt"/>
      </w:rPr>
      <w:t>&lt;/Version&gt;</w:t>
    </w:r>
  </w:p>
  <w:p w14:paraId="15CEC124" w14:textId="6372E773" w:rsidR="00FB52FE" w:rsidRPr="00EF2DDB" w:rsidRDefault="00EF2DDB" w:rsidP="00EF2DDB">
    <w:pPr>
      <w:pStyle w:val="EPFooter2"/>
    </w:pPr>
    <w:r w:rsidRPr="00EF2DDB">
      <w:tab/>
    </w:r>
    <w:r w:rsidRPr="00EF2DD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0E1F" w14:textId="77777777" w:rsidR="00EF2DDB" w:rsidRPr="00EF2DDB" w:rsidRDefault="00EF2DDB" w:rsidP="00EF2DDB">
    <w:pPr>
      <w:pStyle w:val="EPFooter"/>
    </w:pPr>
    <w:r w:rsidRPr="00EF2DDB">
      <w:rPr>
        <w:rStyle w:val="HideTWBExt"/>
      </w:rPr>
      <w:t>&lt;PathFdR&gt;</w:t>
    </w:r>
    <w:r w:rsidRPr="00EF2DDB">
      <w:t>PR\1343889SK.docx</w:t>
    </w:r>
    <w:r w:rsidRPr="00EF2DDB">
      <w:rPr>
        <w:rStyle w:val="HideTWBExt"/>
      </w:rPr>
      <w:t>&lt;/PathFdR&gt;</w:t>
    </w:r>
    <w:r w:rsidRPr="00EF2DDB">
      <w:tab/>
    </w:r>
    <w:r w:rsidRPr="00EF2DDB">
      <w:tab/>
      <w:t>PE</w:t>
    </w:r>
    <w:r w:rsidRPr="00EF2DDB">
      <w:rPr>
        <w:rStyle w:val="HideTWBExt"/>
      </w:rPr>
      <w:t>&lt;NoPE&gt;</w:t>
    </w:r>
    <w:r w:rsidRPr="00EF2DDB">
      <w:t>788.869</w:t>
    </w:r>
    <w:r w:rsidRPr="00EF2DDB">
      <w:rPr>
        <w:rStyle w:val="HideTWBExt"/>
      </w:rPr>
      <w:t>&lt;/NoPE&gt;&lt;Version&gt;</w:t>
    </w:r>
    <w:r w:rsidRPr="00EF2DDB">
      <w:t>v01-00</w:t>
    </w:r>
    <w:r w:rsidRPr="00EF2DDB">
      <w:rPr>
        <w:rStyle w:val="HideTWBExt"/>
      </w:rPr>
      <w:t>&lt;/Version&gt;</w:t>
    </w:r>
  </w:p>
  <w:p w14:paraId="17BA162E" w14:textId="06704D80" w:rsidR="00FB52FE" w:rsidRPr="00EF2DDB" w:rsidRDefault="00EF2DDB" w:rsidP="00EF2DDB">
    <w:pPr>
      <w:pStyle w:val="EPFooter2"/>
    </w:pPr>
    <w:r w:rsidRPr="00EF2DDB">
      <w:t>SK</w:t>
    </w:r>
    <w:r w:rsidRPr="00EF2DDB">
      <w:tab/>
    </w:r>
    <w:r w:rsidRPr="00EF2DDB">
      <w:rPr>
        <w:b w:val="0"/>
        <w:i/>
        <w:color w:val="C0C0C0"/>
        <w:sz w:val="22"/>
      </w:rPr>
      <w:t>Zjednotení v rozmanitosti</w:t>
    </w:r>
    <w:r w:rsidRPr="00EF2DDB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89D00" w14:textId="77777777" w:rsidR="005E55C1" w:rsidRPr="00EF2DDB" w:rsidRDefault="00FF295E">
      <w:r w:rsidRPr="00EF2DDB">
        <w:separator/>
      </w:r>
    </w:p>
  </w:footnote>
  <w:footnote w:type="continuationSeparator" w:id="0">
    <w:p w14:paraId="10948DB9" w14:textId="77777777" w:rsidR="005E55C1" w:rsidRPr="00EF2DDB" w:rsidRDefault="00FF295E">
      <w:r w:rsidRPr="00EF2DDB">
        <w:continuationSeparator/>
      </w:r>
    </w:p>
  </w:footnote>
  <w:footnote w:id="1">
    <w:p w14:paraId="3C67AC10" w14:textId="77777777" w:rsidR="009E7232" w:rsidRPr="00EF2DDB" w:rsidRDefault="00FF295E" w:rsidP="009E7232">
      <w:pPr>
        <w:pStyle w:val="FootnoteText"/>
      </w:pPr>
      <w:r w:rsidRPr="00EF2DDB">
        <w:rPr>
          <w:rStyle w:val="FootnoteReference"/>
          <w:sz w:val="24"/>
          <w:szCs w:val="24"/>
        </w:rPr>
        <w:footnoteRef/>
      </w:r>
      <w:r w:rsidRPr="00EF2DDB">
        <w:rPr>
          <w:sz w:val="24"/>
        </w:rPr>
        <w:t xml:space="preserve"> Zatiaľ neuverejnené v úradnom vestníku.</w:t>
      </w:r>
    </w:p>
  </w:footnote>
  <w:footnote w:id="2">
    <w:p w14:paraId="7040A40C" w14:textId="77777777" w:rsidR="00371C38" w:rsidRPr="00EF2DDB" w:rsidRDefault="00FF295E" w:rsidP="00371C38">
      <w:pPr>
        <w:pStyle w:val="FootnoteText"/>
      </w:pPr>
      <w:r w:rsidRPr="00EF2DDB">
        <w:rPr>
          <w:rStyle w:val="FootnoteReference"/>
        </w:rPr>
        <w:footnoteRef/>
      </w:r>
      <w:r w:rsidRPr="00EF2DDB">
        <w:t xml:space="preserve"> Ďalšími nástrojmi v oblasti vnútorných vecí na obdobie 2028 – 2034 sú okrem tohto návrhu návrh nariadenia, ktorým sa stanovuje podpora Únie pre azyl, migráciu a integráciu na roky 2028 až 2034 (2025/0540(COD)), a návrh nariadenia, ktorým sa stanovuje podpora Únie pre schengenský priestor, európske integrované riadenie hraníc a spoločnú vízovú politiku na roky 2028 až 2034 (2025/0541(COD)).</w:t>
      </w:r>
    </w:p>
  </w:footnote>
  <w:footnote w:id="3">
    <w:p w14:paraId="7AE25013" w14:textId="77777777" w:rsidR="00371C38" w:rsidRPr="00EF2DDB" w:rsidRDefault="00FF295E" w:rsidP="00371C38">
      <w:pPr>
        <w:pStyle w:val="FootnoteText"/>
      </w:pPr>
      <w:r w:rsidRPr="00EF2DDB">
        <w:rPr>
          <w:rStyle w:val="FootnoteReference"/>
        </w:rPr>
        <w:footnoteRef/>
      </w:r>
      <w:r w:rsidRPr="00EF2DDB">
        <w:t xml:space="preserve"> Konkrétne ide o nariadenie (EÚ) 2021/1148 zo 7. júla 2021, ktorým sa ako súčasť Fondu pre integrované riadenie hraníc zriaďuje Nástroj finančnej podpory na riadenie hraníc a vízovú politiku: v súvislosti so schengenským priestorom, európskym integrovaným riadením hraníc a spoločnou vízovou politikou; nariadenie (EÚ) 2021/1147 zo 7. júla 2021, ktorým sa zriaďuje Fond pre azyl, migráciu a integráciu (AMIF), a nariadenie (EÚ) 2021/1149 zo 7. júla 2021, ktorým sa zriaďuje Fond pre vnútornú bezpečnosť (ISF): v </w:t>
      </w:r>
      <w:r w:rsidRPr="00EF2DDB">
        <w:t>súvislosti s vnútornou bezpečnosťou.</w:t>
      </w:r>
    </w:p>
  </w:footnote>
  <w:footnote w:id="4">
    <w:p w14:paraId="5726E283" w14:textId="77777777" w:rsidR="00371C38" w:rsidRPr="00EF2DDB" w:rsidRDefault="00FF295E" w:rsidP="00371C38">
      <w:pPr>
        <w:pStyle w:val="FootnoteText"/>
      </w:pPr>
      <w:r w:rsidRPr="00EF2DDB">
        <w:rPr>
          <w:rStyle w:val="FootnoteReference"/>
        </w:rPr>
        <w:footnoteRef/>
      </w:r>
      <w:r w:rsidRPr="00EF2DDB">
        <w:t xml:space="preserve"> Návrh nariadenia, ktorým sa zriaďuje Európsky fond pre hospodársku, sociálnu a územnú súdržnosť, poľnohospodárstvo a vidiek, rybárstvo a námorné záležitosti, prosperitu a bezpečnosť na roky 2028 – 2034 a ktorým sa mení nariadenie (EÚ) 2023/955 a nariadenie (EÚ, Euratom) 2024/2509 (2025/0240 (COD)) (návrh plánu NRP).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6C8B3" w14:textId="77777777" w:rsidR="00FF295E" w:rsidRDefault="00FF2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BFAA7" w14:textId="77777777" w:rsidR="00FF295E" w:rsidRDefault="00FF2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60140" w14:textId="77777777" w:rsidR="00FF295E" w:rsidRDefault="00FF2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AD12D64"/>
    <w:multiLevelType w:val="hybridMultilevel"/>
    <w:tmpl w:val="FD3A57EA"/>
    <w:lvl w:ilvl="0" w:tplc="022A6922">
      <w:start w:val="1"/>
      <w:numFmt w:val="bullet"/>
      <w:lvlText w:val="­"/>
      <w:lvlJc w:val="left"/>
      <w:pPr>
        <w:ind w:left="720" w:hanging="360"/>
      </w:pPr>
      <w:rPr>
        <w:rFonts w:ascii="Abadi" w:hAnsi="Abadi" w:hint="default"/>
      </w:rPr>
    </w:lvl>
    <w:lvl w:ilvl="1" w:tplc="AA38D1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20CF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89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81B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280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14A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9234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4A43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492420">
    <w:abstractNumId w:val="9"/>
  </w:num>
  <w:num w:numId="2" w16cid:durableId="2109346214">
    <w:abstractNumId w:val="9"/>
  </w:num>
  <w:num w:numId="3" w16cid:durableId="1931766737">
    <w:abstractNumId w:val="7"/>
  </w:num>
  <w:num w:numId="4" w16cid:durableId="1911427930">
    <w:abstractNumId w:val="7"/>
  </w:num>
  <w:num w:numId="5" w16cid:durableId="678313201">
    <w:abstractNumId w:val="6"/>
  </w:num>
  <w:num w:numId="6" w16cid:durableId="1438524128">
    <w:abstractNumId w:val="6"/>
  </w:num>
  <w:num w:numId="7" w16cid:durableId="40984651">
    <w:abstractNumId w:val="5"/>
  </w:num>
  <w:num w:numId="8" w16cid:durableId="972250863">
    <w:abstractNumId w:val="5"/>
  </w:num>
  <w:num w:numId="9" w16cid:durableId="1998922216">
    <w:abstractNumId w:val="4"/>
  </w:num>
  <w:num w:numId="10" w16cid:durableId="1626159926">
    <w:abstractNumId w:val="4"/>
  </w:num>
  <w:num w:numId="11" w16cid:durableId="1006396419">
    <w:abstractNumId w:val="8"/>
  </w:num>
  <w:num w:numId="12" w16cid:durableId="2029408690">
    <w:abstractNumId w:val="8"/>
  </w:num>
  <w:num w:numId="13" w16cid:durableId="1510022016">
    <w:abstractNumId w:val="3"/>
  </w:num>
  <w:num w:numId="14" w16cid:durableId="1805734978">
    <w:abstractNumId w:val="3"/>
  </w:num>
  <w:num w:numId="15" w16cid:durableId="1003238883">
    <w:abstractNumId w:val="2"/>
  </w:num>
  <w:num w:numId="16" w16cid:durableId="477840440">
    <w:abstractNumId w:val="2"/>
  </w:num>
  <w:num w:numId="17" w16cid:durableId="1282767247">
    <w:abstractNumId w:val="1"/>
  </w:num>
  <w:num w:numId="18" w16cid:durableId="441802740">
    <w:abstractNumId w:val="1"/>
  </w:num>
  <w:num w:numId="19" w16cid:durableId="1283265386">
    <w:abstractNumId w:val="0"/>
  </w:num>
  <w:num w:numId="20" w16cid:durableId="1154878900">
    <w:abstractNumId w:val="0"/>
  </w:num>
  <w:num w:numId="21" w16cid:durableId="561645368">
    <w:abstractNumId w:val="9"/>
  </w:num>
  <w:num w:numId="22" w16cid:durableId="2136747713">
    <w:abstractNumId w:val="7"/>
  </w:num>
  <w:num w:numId="23" w16cid:durableId="1639645318">
    <w:abstractNumId w:val="6"/>
  </w:num>
  <w:num w:numId="24" w16cid:durableId="1272398404">
    <w:abstractNumId w:val="5"/>
  </w:num>
  <w:num w:numId="25" w16cid:durableId="1364095337">
    <w:abstractNumId w:val="4"/>
  </w:num>
  <w:num w:numId="26" w16cid:durableId="1060135053">
    <w:abstractNumId w:val="8"/>
  </w:num>
  <w:num w:numId="27" w16cid:durableId="585650942">
    <w:abstractNumId w:val="3"/>
  </w:num>
  <w:num w:numId="28" w16cid:durableId="609354727">
    <w:abstractNumId w:val="2"/>
  </w:num>
  <w:num w:numId="29" w16cid:durableId="579145952">
    <w:abstractNumId w:val="1"/>
  </w:num>
  <w:num w:numId="30" w16cid:durableId="1852714680">
    <w:abstractNumId w:val="0"/>
  </w:num>
  <w:num w:numId="31" w16cid:durableId="640840700">
    <w:abstractNumId w:val="9"/>
  </w:num>
  <w:num w:numId="32" w16cid:durableId="1256204812">
    <w:abstractNumId w:val="7"/>
  </w:num>
  <w:num w:numId="33" w16cid:durableId="658849252">
    <w:abstractNumId w:val="6"/>
  </w:num>
  <w:num w:numId="34" w16cid:durableId="1598636812">
    <w:abstractNumId w:val="5"/>
  </w:num>
  <w:num w:numId="35" w16cid:durableId="1224753247">
    <w:abstractNumId w:val="4"/>
  </w:num>
  <w:num w:numId="36" w16cid:durableId="1791047919">
    <w:abstractNumId w:val="8"/>
  </w:num>
  <w:num w:numId="37" w16cid:durableId="705444392">
    <w:abstractNumId w:val="3"/>
  </w:num>
  <w:num w:numId="38" w16cid:durableId="1545096093">
    <w:abstractNumId w:val="2"/>
  </w:num>
  <w:num w:numId="39" w16cid:durableId="649477852">
    <w:abstractNumId w:val="1"/>
  </w:num>
  <w:num w:numId="40" w16cid:durableId="948590604">
    <w:abstractNumId w:val="0"/>
  </w:num>
  <w:num w:numId="41" w16cid:durableId="2202868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JMNU" w:val="1"/>
    <w:docVar w:name="COMKEY" w:val="LIBE"/>
    <w:docVar w:name="CopyToNetwork" w:val="-1"/>
    <w:docVar w:name="DOCDT" w:val="18/05/2026"/>
    <w:docVar w:name="DOCMNU" w:val=" 1"/>
    <w:docVar w:name="EPSTATMNU" w:val=" 5"/>
    <w:docVar w:name="EVABUDGMNU" w:val=" 1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896489 HideTWBExt;}{\*\cs18 \additive \v\f1\fs20\cf15 _x000d__x000a_\spriority0 \styrsid3896489 HideTWBInt;}{\s19\ql \li0\ri0\sa120\nowidctlpar\wrapdefault\aspalpha\aspnum\faauto\adjustright\rin0\lin0\itap0 \rtlch\fcs1 \af0\afs20\alang1025 \ltrch\fcs0 \fs24\lang2057\langfe2057\cgrid\langnp2057\langfenp2057 _x000d__x000a_\sbasedon0 \snext19 \spriority0 \styrsid3896489 Normal6a;}{\s20\ql \li0\ri0\nowidctlpar\wrapdefault\aspalpha\aspnum\faauto\adjustright\rin0\lin0\itap0 \rtlch\fcs1 \af0\afs20\alang1025 \ltrch\fcs0 \b\fs24\lang2057\langfe2057\cgrid\langnp2057\langfenp2057 _x000d__x000a_\sbasedon0 \snext20 \spriority0 \styrsid3896489 NormalBold;}{\s21\ql \li0\ri0\sa240\nowidctlpar\wrapdefault\aspalpha\aspnum\faauto\adjustright\rin0\lin0\itap0 \rtlch\fcs1 \af0\afs20\alang1025 \ltrch\fcs0 _x000d__x000a_\i\fs24\lang2057\langfe2057\cgrid\langnp2057\langfenp2057 \sbasedon0 \snext21 \spriority0 \styrsid3896489 AmJustText;}{\s22\qc \li0\ri0\sb240\sa240\nowidctlpar\wrapdefault\aspalpha\aspnum\faauto\adjustright\rin0\lin0\itap0 \rtlch\fcs1 _x000d__x000a_\af0\afs20\alang1025 \ltrch\fcs0 \i\fs24\lang2057\langfe2057\cgrid\langnp2057\langfenp2057 \sbasedon0 \snext22 \spriority0 \styrsid389648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896489 AmJustTitle;}{\s24\qr \li0\ri0\sb240\sa240\nowidctlpar\wrapdefault\aspalpha\aspnum\faauto\adjustright\rin0\lin0\itap0 \rtlch\fcs1 \af0\afs20\alang1025 \ltrch\fcs0 _x000d__x000a_\fs24\lang2057\langfe2057\cgrid\langnp2057\langfenp2057 \sbasedon0 \snext24 \spriority0 \styrsid3896489 AmOrLang;}{\s25\qc \li0\ri0\sa240\nowidctlpar\wrapdefault\aspalpha\aspnum\faauto\adjustright\rin0\lin0\itap0 \rtlch\fcs1 \af0\afs20\alang1025 _x000d__x000a_\ltrch\fcs0 \i\fs24\lang2057\langfe2057\cgrid\langnp2057\langfenp2057 \sbasedon0 \snext25 \spriority0 \styrsid389648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896489 AmNumberTabs;}{\s27\ql \li0\ri0\sb240\nowidctlpar\wrapdefault\aspalpha\aspnum\faauto\adjustright\rin0\lin0\itap0 \rtlch\fcs1 _x000d__x000a_\af0\afs20\alang1025 \ltrch\fcs0 \b\fs24\lang2057\langfe2057\cgrid\langnp2057\langfenp2057 \sbasedon0 \snext27 \spriority0 \styrsid3896489 NormalBold12b;}}{\*\rsidtbl \rsid24658\rsid223860\rsid735077\rsid1718133\rsid2892074\rsid3565327\rsid3896489_x000d__x000a_\rsid4666813\rsid6641733\rsid7823322\rsid9118105\rsid9636012\rsid10377208\rsid11215221\rsid11549030\rsid12154954\rsid14106817\rsid14382809\rsid14424199\rsid15204470\rsid15285974\rsid15950462\rsid16324206\rsid16662270}{\mmathPr\mmathFont34\mbrkBin0_x000d__x000a_\mbrkBinSub0\msmallFrac0\mdispDef1\mlMargin0\mrMargin0\mdefJc1\mwrapIndent1440\mintLim0\mnaryLim1}{\info{\author LECUYER Katarzyna}{\operator LECUYER Katarzyna}{\creatim\yr2026\mo5\dy13\hr10\min38}{\revtim\yr2026\mo5\dy13\hr10\min38}{\version1}{\edmins0}_x000d__x000a_{\nofpages1}{\nofwords104}{\nofchars596}{\nofcharsws69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89648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1068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10681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3896489\charrsid6182337 {\*\bkmkstart restart}_x000d__x000a_\hich\af1\dbch\af31501\loch\f1 &lt;Amend&gt;}{\rtlch\fcs1 \af0 \ltrch\fcs0 \insrsid3896489\charrsid6182337 Amendment\tab \tab }{\rtlch\fcs1 \af0 \ltrch\fcs0 _x000d__x000a_\cs17\b0\v\fs20\cf9\lang1024\langfe1024\loch\af1\hich\af1\dbch\af31501\noproof\insrsid3896489\charrsid6182337 \hich\af1\dbch\af31501\loch\f1 &lt;NumAm&gt;}{\rtlch\fcs1 \af0 \ltrch\fcs0 \insrsid3896489\charrsid6182337 #}{\rtlch\fcs1 \af1 \ltrch\fcs0 _x000d__x000a_\cs18\v\f1\fs20\cf15\insrsid3896489\charrsid6182337 ENMIENDA@NRAM@}{\rtlch\fcs1 \af0 \ltrch\fcs0 \insrsid3896489\charrsid6182337 #}{\rtlch\fcs1 \af0 \ltrch\fcs0 _x000d__x000a_\cs17\b0\v\fs20\cf9\lang1024\langfe1024\loch\af1\hich\af1\dbch\af31501\noproof\insrsid3896489\charrsid6182337 \hich\af1\dbch\af31501\loch\f1 &lt;/NumAm&gt;}{\rtlch\fcs1 \af0 \ltrch\fcs0 \insrsid3896489\charrsid6182337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3896489\charrsid6182337 \hich\af1\dbch\af31501\loch\f1 &lt;DocAmend&gt;}{\rtlch\fcs1 \af0 \ltrch\fcs0 \insrsid3896489\charrsid6182337 _x000d__x000a_Proposal for a #}{\rtlch\fcs1 \af1 \ltrch\fcs0 \cs18\v\f1\fs20\cf15\insrsid3896489\charrsid6182337 MNU[DOC1][DOC2][DOC3]@DOCMSG@DOCMNU}{\rtlch\fcs1 \af0 \ltrch\fcs0 \insrsid3896489\charrsid6182337 ##}{\rtlch\fcs1 \af1 \ltrch\fcs0 _x000d__x000a_\cs18\v\f1\fs20\cf15\insrsid3896489\charrsid6182337 MNU[AMACTYES][NOTAPP]@CHOICE@AMACTMNU}{\rtlch\fcs1 \af0 \ltrch\fcs0 \insrsid3896489\charrsid6182337 #}{\rtlch\fcs1 \af0 \ltrch\fcs0 _x000d__x000a_\cs17\b0\v\fs20\cf9\lang1024\langfe1024\loch\af1\hich\af1\dbch\af31501\noproof\insrsid3896489\charrsid6182337 \hich\af1\dbch\af31501\loch\f1 &lt;/DocAmend&gt;}{\rtlch\fcs1 \af0 \ltrch\fcs0 \insrsid3896489\charrsid6182337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3896489\charrsid6182337 \hich\af1\dbch\af31501\loch\f1 &lt;Article&gt;}{\rtlch\fcs1 \af0 \ltrch\fcs0 \insrsid3896489\charrsid6182337 #}{\rtlch\fcs1 \af1 _x000d__x000a_\ltrch\fcs0 \cs18\v\f1\fs20\cf15\insrsid3896489\charrsid6182337 MNU[AMACTPARTYES][AMACTPARTNO]@CHOICE@AMACTMNU}{\rtlch\fcs1 \af0 \ltrch\fcs0 \insrsid3896489\charrsid6182337 #}{\rtlch\fcs1 \af0 \ltrch\fcs0 _x000d__x000a_\cs17\b0\v\fs20\cf9\lang1024\langfe1024\loch\af1\hich\af1\dbch\af31501\noproof\insrsid3896489\charrsid6182337 \hich\af1\dbch\af31501\loch\f1 &lt;/Article&gt;}{\rtlch\fcs1 \af0 \ltrch\fcs0 \insrsid3896489\charrsid6182337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3896489\charrsid6182337 \hich\af1\dbch\af31501\loch\f1 &lt;DocAmend2&gt;&lt;OptDel&gt;}{\rtlch\fcs1 \af0 \ltrch\fcs0 \insrsid3896489\charrsid6182337 #}{\rtlch\fcs1 \af1 _x000d__x000a_\ltrch\fcs0 \cs18\v\f1\fs20\cf15\insrsid3896489\charrsid6182337 MNU[OPTNRACTYES][NOTAPP]@CHOICE@AMACTMNU}{\rtlch\fcs1 \af0 \ltrch\fcs0 \insrsid3896489\charrsid6182337 #}{\rtlch\fcs1 \af0 \ltrch\fcs0 _x000d__x000a_\cs17\v\fs20\cf9\lang1024\langfe1024\loch\af1\hich\af1\dbch\af31501\noproof\insrsid3896489\charrsid6182337 \hich\af1\dbch\af31501\loch\f1 &lt;/OptDel&gt;&lt;/DocAmend2&gt;}{\rtlch\fcs1 \af0 \ltrch\fcs0 \insrsid3896489\charrsid6182337 _x000d__x000a_\par }\pard \ltrpar\ql \li0\ri0\widctlpar\wrapdefault\aspalpha\aspnum\faauto\adjustright\rin0\lin0\itap0\pararsid2517430 {\rtlch\fcs1 \af0 \ltrch\fcs0 \cs17\v\fs20\cf9\lang1024\langfe1024\loch\af1\hich\af1\dbch\af31501\noproof\insrsid3896489\charrsid6182337 _x000d__x000a_\hich\af1\dbch\af31501\loch\f1 &lt;Article2&gt;&lt;OptDel&gt;}{\rtlch\fcs1 \af0 \ltrch\fcs0 \insrsid3896489\charrsid6182337 #}{\rtlch\fcs1 \af1 \ltrch\fcs0 \cs18\v\f1\fs20\cf15\insrsid3896489\charrsid6182337 MNU[OPTACTPARTYES][NOTAPP]@CHOICE@AMACTMNU}{\rtlch\fcs1 _x000d__x000a_\af0 \ltrch\fcs0 \insrsid3896489\charrsid6182337 #}{\rtlch\fcs1 \af0 \ltrch\fcs0 \cs17\v\fs20\cf9\lang1024\langfe1024\loch\af1\hich\af1\dbch\af31501\noproof\insrsid3896489\charrsid6182337 \hich\af1\dbch\af31501\loch\f1 &lt;/OptDel&gt;&lt;/Article2&gt;}{\rtlch\fcs1 _x000d__x000a_\af0 \ltrch\fcs0 \insrsid3896489\charrsid6182337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3896489\charrsid6182337 \cell }\pard\plain \ltrpar\ql \li0\ri0\widctlpar\intbl\wrapdefault\aspalpha\aspnum\faauto\adjustright\rin0\lin0 \rtlch\fcs1 _x000d__x000a_\af0\afs20\alang1025 \ltrch\fcs0 \fs24\lang2057\langfe2057\cgrid\langnp2057\langfenp2057 {\rtlch\fcs1 \af0 \ltrch\fcs0 \insrsid3896489\charrsid6182337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3896489\charrsid6182337 #}{\rtlch\fcs1 \af1 \ltrch\fcs0 \cs18\v\f1\fs20\cf15\insrsid3896489\charrsid6182337 MNU[OPTLEFTAMACT][LEFTPROP]@CHOICE@AMACTMNU}{_x000d__x000a_\rtlch\fcs1 \af0 \ltrch\fcs0 \insrsid3896489\charrsid6182337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3896489\charrsid6182337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3896489\charrsid6182337 ##\cell ##}{\rtlch\fcs1 \af0\afs24 \ltrch\fcs0 \insrsid3896489\charrsid6182337 \cell }\pard\plain \ltrpar\ql \li0\ri0\widctlpar\intbl\wrapdefault\aspalpha\aspnum\faauto\adjustright\rin0\lin0 \rtlch\fcs1 _x000d__x000a_\af0\afs20\alang1025 \ltrch\fcs0 \fs24\lang2057\langfe2057\cgrid\langnp2057\langfenp2057 {\rtlch\fcs1 \af0 \ltrch\fcs0 \insrsid3896489\charrsid6182337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3896489\charrsid6182337 Or. }{\rtlch\fcs1 \af0 \ltrch\fcs0 \cs17\v\fs20\cf9\lang1024\langfe1024\loch\af1\hich\af1\dbch\af31501\noproof\insrsid3896489\charrsid6182337 \hich\af1\dbch\af31501\loch\f1 &lt;Original&gt;}{\rtlch\fcs1 \af0 \ltrch\fcs0 _x000d__x000a_\insrsid3896489\charrsid6182337 #}{\rtlch\fcs1 \af1 \ltrch\fcs0 \cs18\v\f1\fs20\cf15\insrsid3896489\charrsid6182337 MNU[ORLANGONE][ORLANGMORE]@CHOICE@ORLANGMNU}{\rtlch\fcs1 \af0 \ltrch\fcs0 \insrsid3896489\charrsid6182337 #}{\rtlch\fcs1 \af0 \ltrch\fcs0 _x000d__x000a_\cs17\v\fs20\cf9\lang1024\langfe1024\loch\af1\hich\af1\dbch\af31501\noproof\insrsid3896489\charrsid6182337 \hich\af1\dbch\af31501\loch\f1 &lt;/Original&gt;}{\rtlch\fcs1 \af0 \ltrch\fcs0 \insrsid3896489\charrsid6182337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3896489\charrsid6182337 \hich\af1\dbch\af31501\loch\f1 &lt;OptDel&gt;}{\rtlch\fcs1 \af0 \ltrch\fcs0 \insrsid3896489\charrsid6182337 #}{_x000d__x000a_\rtlch\fcs1 \af1 \ltrch\fcs0 \cs18\v\f1\fs20\cf15\insrsid3896489\charrsid6182337 MNU[CROSSREFNO][CROSSREFYES]@CHOICE@}{\rtlch\fcs1 \af0 \ltrch\fcs0 \insrsid3896489\charrsid6182337 #}{\rtlch\fcs1 \af0 \ltrch\fcs0 _x000d__x000a_\cs17\i0\v\fs20\cf9\lang1024\langfe1024\loch\af1\hich\af1\dbch\af31501\noproof\insrsid3896489\charrsid6182337 \hich\af1\dbch\af31501\loch\f1 &lt;/OptDel&gt;}{\rtlch\fcs1 \af0 \ltrch\fcs0 \insrsid3896489\charrsid6182337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3896489\charrsid6182337 \hich\af1\dbch\af31501\loch\f1 &lt;TitreJust&gt;}{\rtlch\fcs1 \af0 \ltrch\fcs0 \insrsid3896489\charrsid6182337 _x000d__x000a_Justification}{\rtlch\fcs1 \af0 \ltrch\fcs0 \cs17\i0\v\fs20\cf9\lang1024\langfe1024\loch\af1\hich\af1\dbch\af31501\noproof\insrsid3896489\charrsid6182337 \hich\af1\dbch\af31501\loch\f1 &lt;/TitreJust&gt;}{\rtlch\fcs1 \af0 \ltrch\fcs0 _x000d__x000a_\insrsid3896489\charrsid6182337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3896489\charrsid6182337 \hich\af1\dbch\af31501\loch\f1 &lt;OptDelPrev&gt;}{\rtlch\fcs1 \af0 \ltrch\fcs0 \insrsid3896489\charrsid6182337 #}{\rtlch\fcs1 \af1 _x000d__x000a_\ltrch\fcs0 \cs18\v\f1\fs20\cf15\insrsid3896489\charrsid6182337 MNU[TEXTJUSTYES][TEXTJUSTNO]@CHOICE@}{\rtlch\fcs1 \af0 \ltrch\fcs0 \insrsid3896489\charrsid6182337 #}{\rtlch\fcs1 \af0 \ltrch\fcs0 _x000d__x000a_\cs17\i0\v\fs20\cf9\lang1024\langfe1024\loch\af1\hich\af1\dbch\af31501\noproof\insrsid3896489\charrsid6182337 \hich\af1\dbch\af31501\loch\f1 &lt;/OptDelPrev&gt;}{\rtlch\fcs1 \af0 \ltrch\fcs0 \insrsid3896489\charrsid618233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3896489\charrsid6182337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ccceb3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3"/>
    <w:docVar w:name="TXTLANGUE" w:val="EN"/>
    <w:docVar w:name="TXTLANGUEMIN" w:val="en"/>
    <w:docVar w:name="TXTNRC" w:val="178/2025"/>
    <w:docVar w:name="TXTNRCOD" w:val="2025/0542"/>
    <w:docVar w:name="TXTNRCOM" w:val="(2025)0542"/>
    <w:docVar w:name="TXTNRPE" w:val="788.869"/>
    <w:docVar w:name="TXTPEorAP" w:val="PE"/>
    <w:docVar w:name="TXTROUTE" w:val="PR\1343889EN.docx"/>
    <w:docVar w:name="TXTTITLE" w:val="establishing the Union support for internal security for the period from 2028 to 2034"/>
    <w:docVar w:name="TXTVERSION" w:val="01-00"/>
  </w:docVars>
  <w:rsids>
    <w:rsidRoot w:val="005E55C1"/>
    <w:rsid w:val="00011AAB"/>
    <w:rsid w:val="00012351"/>
    <w:rsid w:val="000139E5"/>
    <w:rsid w:val="0007683B"/>
    <w:rsid w:val="00084DD2"/>
    <w:rsid w:val="00084E89"/>
    <w:rsid w:val="000B62B6"/>
    <w:rsid w:val="000B7489"/>
    <w:rsid w:val="000E4437"/>
    <w:rsid w:val="000F1096"/>
    <w:rsid w:val="00120948"/>
    <w:rsid w:val="00123DD5"/>
    <w:rsid w:val="001277AE"/>
    <w:rsid w:val="00142215"/>
    <w:rsid w:val="00150AA0"/>
    <w:rsid w:val="001767E2"/>
    <w:rsid w:val="00187008"/>
    <w:rsid w:val="001B3829"/>
    <w:rsid w:val="001C5592"/>
    <w:rsid w:val="001C5B44"/>
    <w:rsid w:val="001C6FFC"/>
    <w:rsid w:val="001F7C7C"/>
    <w:rsid w:val="00212B84"/>
    <w:rsid w:val="00220DB0"/>
    <w:rsid w:val="002346B0"/>
    <w:rsid w:val="002667C3"/>
    <w:rsid w:val="002669B6"/>
    <w:rsid w:val="00290BED"/>
    <w:rsid w:val="0029634C"/>
    <w:rsid w:val="002D13EE"/>
    <w:rsid w:val="002E33EE"/>
    <w:rsid w:val="002F40BB"/>
    <w:rsid w:val="002F4B02"/>
    <w:rsid w:val="00305CD9"/>
    <w:rsid w:val="00323EF8"/>
    <w:rsid w:val="003316DD"/>
    <w:rsid w:val="003506ED"/>
    <w:rsid w:val="00366A46"/>
    <w:rsid w:val="00370AC3"/>
    <w:rsid w:val="00371C38"/>
    <w:rsid w:val="003824EE"/>
    <w:rsid w:val="003B4689"/>
    <w:rsid w:val="003B471D"/>
    <w:rsid w:val="003C2068"/>
    <w:rsid w:val="003C37CF"/>
    <w:rsid w:val="004100B1"/>
    <w:rsid w:val="00426E47"/>
    <w:rsid w:val="00455743"/>
    <w:rsid w:val="00461601"/>
    <w:rsid w:val="00480924"/>
    <w:rsid w:val="004C0915"/>
    <w:rsid w:val="004D424E"/>
    <w:rsid w:val="004E42C8"/>
    <w:rsid w:val="004E4CE7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5E55C1"/>
    <w:rsid w:val="00613C4B"/>
    <w:rsid w:val="00642325"/>
    <w:rsid w:val="0069092A"/>
    <w:rsid w:val="006A2DD8"/>
    <w:rsid w:val="006A2F5D"/>
    <w:rsid w:val="006F0C47"/>
    <w:rsid w:val="006F7907"/>
    <w:rsid w:val="00743189"/>
    <w:rsid w:val="00743D33"/>
    <w:rsid w:val="00775C3E"/>
    <w:rsid w:val="007932B3"/>
    <w:rsid w:val="00793EA9"/>
    <w:rsid w:val="007D251E"/>
    <w:rsid w:val="007D6F68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97CE1"/>
    <w:rsid w:val="008A7FB8"/>
    <w:rsid w:val="008B2199"/>
    <w:rsid w:val="008E5790"/>
    <w:rsid w:val="009022B8"/>
    <w:rsid w:val="00914537"/>
    <w:rsid w:val="00917CC4"/>
    <w:rsid w:val="009763DA"/>
    <w:rsid w:val="009975B3"/>
    <w:rsid w:val="009A216D"/>
    <w:rsid w:val="009B4B93"/>
    <w:rsid w:val="009D1910"/>
    <w:rsid w:val="009E7232"/>
    <w:rsid w:val="009F24BE"/>
    <w:rsid w:val="009F6C2F"/>
    <w:rsid w:val="009F767A"/>
    <w:rsid w:val="00A02819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308D4"/>
    <w:rsid w:val="00B42702"/>
    <w:rsid w:val="00B54EAF"/>
    <w:rsid w:val="00B57B8B"/>
    <w:rsid w:val="00B85407"/>
    <w:rsid w:val="00B94CD3"/>
    <w:rsid w:val="00B95702"/>
    <w:rsid w:val="00BA27ED"/>
    <w:rsid w:val="00BC6489"/>
    <w:rsid w:val="00BD480C"/>
    <w:rsid w:val="00BF2379"/>
    <w:rsid w:val="00C17518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4617B"/>
    <w:rsid w:val="00D503A3"/>
    <w:rsid w:val="00D76B06"/>
    <w:rsid w:val="00D8539B"/>
    <w:rsid w:val="00DA6ED0"/>
    <w:rsid w:val="00DC5011"/>
    <w:rsid w:val="00DE1281"/>
    <w:rsid w:val="00E171B6"/>
    <w:rsid w:val="00E2160F"/>
    <w:rsid w:val="00E72695"/>
    <w:rsid w:val="00E73C5A"/>
    <w:rsid w:val="00E74DEB"/>
    <w:rsid w:val="00E947A6"/>
    <w:rsid w:val="00EB1753"/>
    <w:rsid w:val="00EB6CFF"/>
    <w:rsid w:val="00EC05C2"/>
    <w:rsid w:val="00EE3996"/>
    <w:rsid w:val="00EF2DDB"/>
    <w:rsid w:val="00F07062"/>
    <w:rsid w:val="00F23CFC"/>
    <w:rsid w:val="00F372DB"/>
    <w:rsid w:val="00F433E2"/>
    <w:rsid w:val="00F61420"/>
    <w:rsid w:val="00F8306F"/>
    <w:rsid w:val="00F904AE"/>
    <w:rsid w:val="00F934F8"/>
    <w:rsid w:val="00F95A4C"/>
    <w:rsid w:val="00FB52FE"/>
    <w:rsid w:val="00FC0A34"/>
    <w:rsid w:val="00FD1DEF"/>
    <w:rsid w:val="00FE3B3F"/>
    <w:rsid w:val="00FF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58B92D"/>
  <w15:chartTrackingRefBased/>
  <w15:docId w15:val="{B92E1781-A552-43F8-9B82-E940EE67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semiHidden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613C4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13C4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13C4B"/>
    <w:rPr>
      <w:sz w:val="18"/>
    </w:rPr>
  </w:style>
  <w:style w:type="paragraph" w:customStyle="1" w:styleId="Normal6">
    <w:name w:val="Normal6"/>
    <w:basedOn w:val="Normal"/>
    <w:link w:val="Normal6Char"/>
    <w:rsid w:val="00F61420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F61420"/>
    <w:rPr>
      <w:b/>
      <w:sz w:val="24"/>
    </w:rPr>
  </w:style>
  <w:style w:type="character" w:customStyle="1" w:styleId="Normal6Char">
    <w:name w:val="Normal6 Char"/>
    <w:basedOn w:val="DefaultParagraphFont"/>
    <w:link w:val="Normal6"/>
    <w:rsid w:val="00F61420"/>
    <w:rPr>
      <w:sz w:val="24"/>
      <w:lang w:val="sk-SK"/>
    </w:rPr>
  </w:style>
  <w:style w:type="paragraph" w:customStyle="1" w:styleId="ColumnHeading">
    <w:name w:val="ColumnHeading"/>
    <w:basedOn w:val="Normal"/>
    <w:rsid w:val="00F6142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614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61420"/>
    <w:pPr>
      <w:jc w:val="right"/>
    </w:pPr>
  </w:style>
  <w:style w:type="paragraph" w:styleId="Footer">
    <w:name w:val="footer"/>
    <w:basedOn w:val="Normal"/>
    <w:link w:val="FooterChar"/>
    <w:semiHidden/>
    <w:rsid w:val="006A2D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6A2DD8"/>
    <w:rPr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371C38"/>
    <w:pPr>
      <w:widowControl/>
      <w:jc w:val="both"/>
    </w:pPr>
    <w:rPr>
      <w:rFonts w:eastAsiaTheme="minorHAnsi"/>
      <w:kern w:val="2"/>
      <w:sz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71C38"/>
    <w:rPr>
      <w:rFonts w:eastAsiaTheme="minorHAnsi"/>
      <w:kern w:val="2"/>
      <w:lang w:eastAsia="en-US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371C38"/>
    <w:rPr>
      <w:vertAlign w:val="superscript"/>
    </w:rPr>
  </w:style>
  <w:style w:type="paragraph" w:styleId="Revision">
    <w:name w:val="Revision"/>
    <w:hidden/>
    <w:uiPriority w:val="99"/>
    <w:semiHidden/>
    <w:rsid w:val="00E947A6"/>
    <w:rPr>
      <w:sz w:val="24"/>
    </w:rPr>
  </w:style>
  <w:style w:type="character" w:styleId="CommentReference">
    <w:name w:val="annotation reference"/>
    <w:basedOn w:val="DefaultParagraphFont"/>
    <w:rsid w:val="00EC05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05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05C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0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C0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4716</Words>
  <Characters>29480</Characters>
  <Application>Microsoft Office Word</Application>
  <DocSecurity>0</DocSecurity>
  <Lines>1016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LECUYER Katarzyna</dc:creator>
  <cp:lastModifiedBy>DINGA-SUPOVA Lucia</cp:lastModifiedBy>
  <cp:revision>2</cp:revision>
  <cp:lastPrinted>2026-05-13T09:01:00Z</cp:lastPrinted>
  <dcterms:created xsi:type="dcterms:W3CDTF">2026-06-03T12:52:00Z</dcterms:created>
  <dcterms:modified xsi:type="dcterms:W3CDTF">2026-06-03T12:52:00Z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1343889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PR\1343889SK.docx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788.869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- 2026/05/19 11:36</vt:lpwstr>
  </property>
  <property fmtid="{D5CDD505-2E9C-101B-9397-08002B2CF9AE}" pid="15" name="Bookout">
    <vt:lpwstr>OK - 2026/06/03 14:52</vt:lpwstr>
  </property>
</Properties>
</file>