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FA0746" w14:paraId="0D380E04" w14:textId="77777777" w:rsidTr="00C85D0F">
        <w:trPr>
          <w:trHeight w:hRule="exact" w:val="1418"/>
        </w:trPr>
        <w:tc>
          <w:tcPr>
            <w:tcW w:w="6804" w:type="dxa"/>
            <w:shd w:val="clear" w:color="auto" w:fill="auto"/>
            <w:vAlign w:val="center"/>
          </w:tcPr>
          <w:p w14:paraId="0B4D7643" w14:textId="6C921D61" w:rsidR="00C05DD8" w:rsidRPr="00FA0746" w:rsidRDefault="005459EA" w:rsidP="00C85D0F">
            <w:pPr>
              <w:pStyle w:val="EPName"/>
            </w:pPr>
            <w:r>
              <w:t>Evropský parlament</w:t>
            </w:r>
          </w:p>
          <w:p w14:paraId="35BEAB8D" w14:textId="75C0FE02" w:rsidR="00C05DD8" w:rsidRPr="00FA0746" w:rsidRDefault="006626B5" w:rsidP="00C85D0F">
            <w:pPr>
              <w:pStyle w:val="EPTerm"/>
            </w:pPr>
            <w:r>
              <w:t>2024-2029</w:t>
            </w:r>
          </w:p>
        </w:tc>
        <w:tc>
          <w:tcPr>
            <w:tcW w:w="2268" w:type="dxa"/>
            <w:shd w:val="clear" w:color="auto" w:fill="auto"/>
          </w:tcPr>
          <w:p w14:paraId="6EC81770" w14:textId="77777777" w:rsidR="00C05DD8" w:rsidRPr="00FA0746" w:rsidRDefault="00C05DD8" w:rsidP="00C85D0F">
            <w:pPr>
              <w:pStyle w:val="EPLogo"/>
            </w:pPr>
            <w:r w:rsidRPr="00FA0746">
              <w:rPr>
                <w:noProof/>
                <w:lang w:eastAsia="ja-JP"/>
              </w:rPr>
              <w:drawing>
                <wp:inline distT="0" distB="0" distL="0" distR="0" wp14:anchorId="682EDACD" wp14:editId="688CEA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7E5957" w14:textId="77777777" w:rsidR="009612AA" w:rsidRPr="00FA0746" w:rsidRDefault="009612AA" w:rsidP="009612AA">
      <w:pPr>
        <w:pStyle w:val="LineTop"/>
      </w:pPr>
    </w:p>
    <w:p w14:paraId="1C3626B0" w14:textId="4DF46270" w:rsidR="009612AA" w:rsidRPr="00FA0746" w:rsidRDefault="009612AA" w:rsidP="009612AA">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8A6B96">
        <w:t xml:space="preserve"> a </w:t>
      </w:r>
      <w:r>
        <w:t>vnitřní věci</w:t>
      </w:r>
      <w:r>
        <w:rPr>
          <w:rStyle w:val="HideTWBExt"/>
        </w:rPr>
        <w:t>&lt;/</w:t>
      </w:r>
      <w:r>
        <w:rPr>
          <w:rStyle w:val="HideTWBExt"/>
          <w:i w:val="0"/>
        </w:rPr>
        <w:t>Commission</w:t>
      </w:r>
      <w:r>
        <w:rPr>
          <w:rStyle w:val="HideTWBExt"/>
        </w:rPr>
        <w:t>&gt;</w:t>
      </w:r>
    </w:p>
    <w:p w14:paraId="6476FDBC" w14:textId="77777777" w:rsidR="009612AA" w:rsidRPr="00FA0746" w:rsidRDefault="009612AA" w:rsidP="009612AA">
      <w:pPr>
        <w:pStyle w:val="LineBottom"/>
      </w:pPr>
    </w:p>
    <w:p w14:paraId="43F1004B" w14:textId="0164A243" w:rsidR="00363B94" w:rsidRPr="00FA0746" w:rsidRDefault="00363B94">
      <w:pPr>
        <w:pStyle w:val="CoverReference"/>
      </w:pPr>
      <w:r>
        <w:rPr>
          <w:rStyle w:val="HideTWBExt"/>
          <w:b w:val="0"/>
        </w:rPr>
        <w:t>&lt;RefProc&gt;</w:t>
      </w:r>
      <w:r>
        <w:t>2025/0343</w:t>
      </w:r>
      <w:r>
        <w:rPr>
          <w:rStyle w:val="HideTWBExt"/>
          <w:b w:val="0"/>
        </w:rPr>
        <w:t>&lt;/RefProc&gt;&lt;RefTypeProc&gt;</w:t>
      </w:r>
      <w:r>
        <w:t>(NLE)</w:t>
      </w:r>
      <w:r>
        <w:rPr>
          <w:rStyle w:val="HideTWBExt"/>
          <w:b w:val="0"/>
        </w:rPr>
        <w:t>&lt;/RefTypeProc&gt;</w:t>
      </w:r>
    </w:p>
    <w:p w14:paraId="0FA525C6" w14:textId="4B15C70D" w:rsidR="00363B94" w:rsidRPr="00FA0746" w:rsidRDefault="00363B94">
      <w:pPr>
        <w:pStyle w:val="CoverDate"/>
      </w:pPr>
      <w:r>
        <w:rPr>
          <w:rStyle w:val="HideTWBExt"/>
        </w:rPr>
        <w:t>&lt;Date&gt;</w:t>
      </w:r>
      <w:r>
        <w:rPr>
          <w:rStyle w:val="HideTWBInt"/>
        </w:rPr>
        <w:t>{08/06/2026}</w:t>
      </w:r>
      <w:r>
        <w:t>8.6.2026</w:t>
      </w:r>
      <w:r>
        <w:rPr>
          <w:rStyle w:val="HideTWBExt"/>
        </w:rPr>
        <w:t>&lt;/Date&gt;</w:t>
      </w:r>
    </w:p>
    <w:p w14:paraId="4DA6DF51" w14:textId="77777777" w:rsidR="00363B94" w:rsidRPr="00FA0746" w:rsidRDefault="00363B94">
      <w:pPr>
        <w:pStyle w:val="CoverDocType"/>
      </w:pPr>
      <w:r>
        <w:rPr>
          <w:rStyle w:val="HideTWBExt"/>
          <w:b w:val="0"/>
        </w:rPr>
        <w:t>&lt;RefProcLect&gt;</w:t>
      </w:r>
      <w:r>
        <w:t>***</w:t>
      </w:r>
      <w:r>
        <w:rPr>
          <w:rStyle w:val="HideTWBExt"/>
          <w:b w:val="0"/>
        </w:rPr>
        <w:t>&lt;/RefProcLect&gt;</w:t>
      </w:r>
    </w:p>
    <w:p w14:paraId="15D1FDB8" w14:textId="5FCE3789" w:rsidR="00363B94" w:rsidRPr="00FA0746" w:rsidRDefault="00363B94">
      <w:pPr>
        <w:pStyle w:val="CoverDocType24a"/>
      </w:pPr>
      <w:r>
        <w:rPr>
          <w:rStyle w:val="HideTWBExt"/>
          <w:b w:val="0"/>
        </w:rPr>
        <w:t>&lt;TitreType&gt;</w:t>
      </w:r>
      <w:r>
        <w:t>NÁVRH DOPORUČENÍ</w:t>
      </w:r>
      <w:r>
        <w:rPr>
          <w:rStyle w:val="HideTWBExt"/>
          <w:b w:val="0"/>
        </w:rPr>
        <w:t>&lt;/TitreType&gt;</w:t>
      </w:r>
    </w:p>
    <w:p w14:paraId="6865DF75" w14:textId="4138F92D" w:rsidR="006626B5" w:rsidRPr="00FA0746" w:rsidRDefault="006626B5" w:rsidP="006626B5">
      <w:pPr>
        <w:pStyle w:val="CoverNormal"/>
      </w:pPr>
      <w:r>
        <w:rPr>
          <w:rStyle w:val="HideTWBExt"/>
        </w:rPr>
        <w:t>&lt;Titre&gt;</w:t>
      </w:r>
      <w:r>
        <w:t>k návrhu rozhodnutí Rady</w:t>
      </w:r>
      <w:r w:rsidR="008A6B96">
        <w:t xml:space="preserve"> o </w:t>
      </w:r>
      <w:r>
        <w:t>uzavření Dohody mezi Evropskou unií</w:t>
      </w:r>
      <w:r w:rsidR="008A6B96">
        <w:t xml:space="preserve"> a </w:t>
      </w:r>
      <w:r>
        <w:t>Švýcarskou konfederací</w:t>
      </w:r>
      <w:r w:rsidR="008A6B96">
        <w:t xml:space="preserve"> o </w:t>
      </w:r>
      <w:r>
        <w:t>předávání údajů jmenné evidence cestujících (PNR) za účelem prevence, odhalování, vyšetřování</w:t>
      </w:r>
      <w:r w:rsidR="008A6B96">
        <w:t xml:space="preserve"> a </w:t>
      </w:r>
      <w:r>
        <w:t>stíhání teroristických trestných činů</w:t>
      </w:r>
      <w:r w:rsidR="008A6B96">
        <w:t xml:space="preserve"> a </w:t>
      </w:r>
      <w:r>
        <w:t>závažné trestné činnosti</w:t>
      </w:r>
      <w:r>
        <w:rPr>
          <w:rStyle w:val="HideTWBExt"/>
        </w:rPr>
        <w:t>&lt;/Titre&gt;</w:t>
      </w:r>
    </w:p>
    <w:p w14:paraId="634AE5FB" w14:textId="273A7920" w:rsidR="00363B94" w:rsidRPr="00FA0746" w:rsidRDefault="006626B5" w:rsidP="006626B5">
      <w:pPr>
        <w:pStyle w:val="CoverNormal24a"/>
      </w:pPr>
      <w:r>
        <w:rPr>
          <w:rStyle w:val="HideTWBExt"/>
        </w:rPr>
        <w:t>&lt;DocRef&gt;</w:t>
      </w:r>
      <w:r>
        <w:t>(05312/2026 – C10</w:t>
      </w:r>
      <w:r>
        <w:noBreakHyphen/>
        <w:t>0077/2026 – 2025/0343(NLE))</w:t>
      </w:r>
      <w:r>
        <w:rPr>
          <w:rStyle w:val="HideTWBExt"/>
        </w:rPr>
        <w:t>&lt;/DocRef&gt;</w:t>
      </w:r>
    </w:p>
    <w:p w14:paraId="4B65B609" w14:textId="2900B90B" w:rsidR="00363B94" w:rsidRPr="00FA0746" w:rsidRDefault="00363B94">
      <w:pPr>
        <w:pStyle w:val="CoverNormal24a"/>
      </w:pPr>
      <w:r>
        <w:rPr>
          <w:rStyle w:val="HideTWBExt"/>
        </w:rPr>
        <w:t>&lt;Commission&gt;</w:t>
      </w:r>
      <w:r>
        <w:rPr>
          <w:rStyle w:val="HideTWBInt"/>
        </w:rPr>
        <w:t>{LIBE}</w:t>
      </w:r>
      <w:r>
        <w:t>Výbor pro občanské svobody, spravedlnost</w:t>
      </w:r>
      <w:r w:rsidR="008A6B96">
        <w:t xml:space="preserve"> a </w:t>
      </w:r>
      <w:r>
        <w:t>vnitřní věci</w:t>
      </w:r>
      <w:r>
        <w:rPr>
          <w:rStyle w:val="HideTWBExt"/>
        </w:rPr>
        <w:t>&lt;/Commission&gt;</w:t>
      </w:r>
    </w:p>
    <w:p w14:paraId="180547AC" w14:textId="48D45A2D" w:rsidR="00363B94" w:rsidRPr="00FA0746" w:rsidRDefault="006626B5">
      <w:pPr>
        <w:pStyle w:val="CoverNormal24a"/>
      </w:pPr>
      <w:r>
        <w:t xml:space="preserve">Zpravodaj: </w:t>
      </w:r>
      <w:r>
        <w:rPr>
          <w:rStyle w:val="HideTWBExt"/>
        </w:rPr>
        <w:t>&lt;Depute&gt;</w:t>
      </w:r>
      <w:r>
        <w:t>Jaroslav Bžoch</w:t>
      </w:r>
      <w:r>
        <w:rPr>
          <w:rStyle w:val="HideTWBExt"/>
        </w:rPr>
        <w:t>&lt;/Depute&gt;</w:t>
      </w:r>
    </w:p>
    <w:p w14:paraId="1D9B4124" w14:textId="77777777" w:rsidR="00B42885" w:rsidRPr="00FA0746" w:rsidRDefault="00B42885" w:rsidP="00B42885">
      <w:pPr>
        <w:pStyle w:val="CoverNormal"/>
      </w:pPr>
    </w:p>
    <w:p w14:paraId="4E6F4116" w14:textId="490E2A32" w:rsidR="006626B5" w:rsidRPr="00FA0746" w:rsidRDefault="00363B94" w:rsidP="00016E55">
      <w:r>
        <w:br w:type="page"/>
      </w:r>
      <w:fldSimple w:instr=" TITLE  \* MERGEFORMAT ">
        <w:r w:rsidR="008A6B96">
          <w:t>PR_NLE-AP_Agreement</w:t>
        </w:r>
      </w:fldSimple>
    </w:p>
    <w:p w14:paraId="1D20D03F" w14:textId="77777777" w:rsidR="006626B5" w:rsidRPr="00FA0746" w:rsidRDefault="006626B5" w:rsidP="00016E55"/>
    <w:p w14:paraId="0EE1BFE8" w14:textId="77777777" w:rsidR="006626B5" w:rsidRPr="00FA0746" w:rsidRDefault="006626B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626B5" w:rsidRPr="00FA0746" w14:paraId="5FF2860E" w14:textId="77777777">
        <w:tc>
          <w:tcPr>
            <w:tcW w:w="5811" w:type="dxa"/>
          </w:tcPr>
          <w:p w14:paraId="058BD18B" w14:textId="77777777" w:rsidR="006626B5" w:rsidRPr="00FA0746" w:rsidRDefault="006626B5" w:rsidP="00016E55">
            <w:pPr>
              <w:pStyle w:val="Lgendetitre"/>
            </w:pPr>
            <w:r>
              <w:t>Vysvětlivky</w:t>
            </w:r>
          </w:p>
        </w:tc>
      </w:tr>
      <w:tr w:rsidR="006626B5" w:rsidRPr="00FA0746" w14:paraId="1A3F26CF" w14:textId="77777777" w:rsidTr="00114A3C">
        <w:trPr>
          <w:cantSplit/>
          <w:trHeight w:val="1807"/>
        </w:trPr>
        <w:tc>
          <w:tcPr>
            <w:tcW w:w="5811" w:type="dxa"/>
            <w:tcBorders>
              <w:bottom w:val="single" w:sz="4" w:space="0" w:color="auto"/>
            </w:tcBorders>
          </w:tcPr>
          <w:p w14:paraId="760DA8A4" w14:textId="77777777" w:rsidR="006626B5" w:rsidRPr="00FA0746" w:rsidRDefault="006626B5" w:rsidP="00343C61">
            <w:pPr>
              <w:pStyle w:val="Lgendesigne"/>
            </w:pPr>
            <w:r>
              <w:tab/>
              <w:t>*</w:t>
            </w:r>
            <w:r>
              <w:tab/>
              <w:t>Postup konzultace</w:t>
            </w:r>
            <w:r>
              <w:tab/>
            </w:r>
          </w:p>
          <w:p w14:paraId="050B8874" w14:textId="77777777" w:rsidR="006626B5" w:rsidRPr="00FA0746" w:rsidRDefault="006626B5" w:rsidP="00343C61">
            <w:pPr>
              <w:pStyle w:val="Lgendesigne"/>
            </w:pPr>
            <w:r>
              <w:tab/>
              <w:t>***</w:t>
            </w:r>
            <w:r>
              <w:tab/>
              <w:t>Postup souhlasu</w:t>
            </w:r>
          </w:p>
          <w:p w14:paraId="267E7AC5" w14:textId="77777777" w:rsidR="006626B5" w:rsidRPr="00FA0746" w:rsidRDefault="006626B5" w:rsidP="00343C61">
            <w:pPr>
              <w:pStyle w:val="Lgendesigne"/>
            </w:pPr>
            <w:r>
              <w:tab/>
              <w:t>***I</w:t>
            </w:r>
            <w:r>
              <w:tab/>
              <w:t>Řádný legislativní postup (první čtení)</w:t>
            </w:r>
          </w:p>
          <w:p w14:paraId="5D38ACFC" w14:textId="77777777" w:rsidR="006626B5" w:rsidRPr="00FA0746" w:rsidRDefault="006626B5" w:rsidP="00343C61">
            <w:pPr>
              <w:pStyle w:val="Lgendesigne"/>
            </w:pPr>
            <w:r>
              <w:tab/>
              <w:t>***II</w:t>
            </w:r>
            <w:r>
              <w:tab/>
              <w:t>Řádný legislativní postup (druhé čtení)</w:t>
            </w:r>
          </w:p>
          <w:p w14:paraId="62511C15" w14:textId="77777777" w:rsidR="006626B5" w:rsidRPr="00FA0746" w:rsidRDefault="006626B5" w:rsidP="00343C61">
            <w:pPr>
              <w:pStyle w:val="Lgendesigne"/>
              <w:rPr>
                <w:noProof/>
              </w:rPr>
            </w:pPr>
            <w:r>
              <w:tab/>
              <w:t>***III</w:t>
            </w:r>
            <w:r>
              <w:tab/>
              <w:t>Řádný legislativní postup (třetí čtení)</w:t>
            </w:r>
          </w:p>
          <w:p w14:paraId="5CAF37FB" w14:textId="77777777" w:rsidR="006626B5" w:rsidRPr="00FA0746" w:rsidRDefault="006626B5" w:rsidP="00016E55">
            <w:pPr>
              <w:pStyle w:val="Lgendestandard"/>
            </w:pPr>
          </w:p>
          <w:p w14:paraId="490376AB" w14:textId="7005CB4A" w:rsidR="006626B5" w:rsidRPr="00FA0746" w:rsidRDefault="006626B5" w:rsidP="00016E55">
            <w:pPr>
              <w:pStyle w:val="Lgendestandard"/>
            </w:pPr>
            <w:r>
              <w:t>(Druh postupu závisí na právním základu navrženém</w:t>
            </w:r>
            <w:r w:rsidR="008A6B96">
              <w:t xml:space="preserve"> v </w:t>
            </w:r>
            <w:r>
              <w:t>návrhu aktu.)</w:t>
            </w:r>
          </w:p>
          <w:p w14:paraId="24EC59D6" w14:textId="77777777" w:rsidR="006626B5" w:rsidRPr="00FA0746" w:rsidRDefault="006626B5" w:rsidP="002B1E3A">
            <w:pPr>
              <w:pStyle w:val="Lgendestandard"/>
            </w:pPr>
          </w:p>
        </w:tc>
      </w:tr>
    </w:tbl>
    <w:p w14:paraId="03C0924B" w14:textId="77777777" w:rsidR="006626B5" w:rsidRPr="00FA0746" w:rsidRDefault="006626B5" w:rsidP="00016E55"/>
    <w:p w14:paraId="681EC9A2" w14:textId="0DB8F87A" w:rsidR="00363B94" w:rsidRPr="00FA0746" w:rsidRDefault="00363B94" w:rsidP="00613F2E">
      <w:pPr>
        <w:widowControl/>
        <w:tabs>
          <w:tab w:val="center" w:pos="4677"/>
        </w:tabs>
      </w:pPr>
    </w:p>
    <w:p w14:paraId="002A379A" w14:textId="4BB71C17" w:rsidR="00363B94" w:rsidRPr="00FA0746" w:rsidRDefault="00363B94">
      <w:pPr>
        <w:pStyle w:val="TOCHeading"/>
      </w:pPr>
      <w:r>
        <w:br w:type="page"/>
      </w:r>
      <w:r>
        <w:lastRenderedPageBreak/>
        <w:t>OBSAH</w:t>
      </w:r>
    </w:p>
    <w:p w14:paraId="6EA3CA10" w14:textId="6065B718" w:rsidR="00363B94" w:rsidRPr="00FA0746" w:rsidRDefault="005459EA">
      <w:pPr>
        <w:pStyle w:val="TOCPage"/>
      </w:pPr>
      <w:r>
        <w:t>Strana</w:t>
      </w:r>
    </w:p>
    <w:p w14:paraId="0CC8DA14" w14:textId="1F35C7D4" w:rsidR="008A6B96"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A0746">
        <w:fldChar w:fldCharType="begin"/>
      </w:r>
      <w:r w:rsidRPr="00FA0746">
        <w:instrText xml:space="preserve"> TOC \t "PageHeading</w:instrText>
      </w:r>
      <w:r w:rsidR="008A6B96">
        <w:instrText>;</w:instrText>
      </w:r>
      <w:r w:rsidRPr="00FA0746">
        <w:instrText xml:space="preserve">1" </w:instrText>
      </w:r>
      <w:r w:rsidRPr="00FA0746">
        <w:fldChar w:fldCharType="separate"/>
      </w:r>
      <w:r w:rsidR="008A6B96">
        <w:rPr>
          <w:noProof/>
        </w:rPr>
        <w:t>NÁVRH LEGISLATIVNÍHO USNESENÍ EVROPSKÉHO PARLAMENTU</w:t>
      </w:r>
      <w:r w:rsidR="008A6B96">
        <w:rPr>
          <w:noProof/>
        </w:rPr>
        <w:tab/>
      </w:r>
      <w:r w:rsidR="008A6B96">
        <w:rPr>
          <w:noProof/>
        </w:rPr>
        <w:fldChar w:fldCharType="begin"/>
      </w:r>
      <w:r w:rsidR="008A6B96">
        <w:rPr>
          <w:noProof/>
        </w:rPr>
        <w:instrText xml:space="preserve"> PAGEREF _Toc232760646 \h </w:instrText>
      </w:r>
      <w:r w:rsidR="008A6B96">
        <w:rPr>
          <w:noProof/>
        </w:rPr>
      </w:r>
      <w:r w:rsidR="008A6B96">
        <w:rPr>
          <w:noProof/>
        </w:rPr>
        <w:fldChar w:fldCharType="separate"/>
      </w:r>
      <w:r w:rsidR="008A6B96">
        <w:rPr>
          <w:noProof/>
        </w:rPr>
        <w:t>5</w:t>
      </w:r>
      <w:r w:rsidR="008A6B96">
        <w:rPr>
          <w:noProof/>
        </w:rPr>
        <w:fldChar w:fldCharType="end"/>
      </w:r>
    </w:p>
    <w:p w14:paraId="1062F47B" w14:textId="46DBD52A" w:rsidR="008A6B96" w:rsidRDefault="008A6B9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_Toc232760647 \h </w:instrText>
      </w:r>
      <w:r>
        <w:rPr>
          <w:noProof/>
        </w:rPr>
      </w:r>
      <w:r>
        <w:rPr>
          <w:noProof/>
        </w:rPr>
        <w:fldChar w:fldCharType="separate"/>
      </w:r>
      <w:r>
        <w:rPr>
          <w:noProof/>
        </w:rPr>
        <w:t>6</w:t>
      </w:r>
      <w:r>
        <w:rPr>
          <w:noProof/>
        </w:rPr>
        <w:fldChar w:fldCharType="end"/>
      </w:r>
    </w:p>
    <w:p w14:paraId="3F49C38A" w14:textId="20D75058" w:rsidR="008A6B96" w:rsidRDefault="008A6B9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_Toc232760648 \h </w:instrText>
      </w:r>
      <w:r>
        <w:rPr>
          <w:noProof/>
        </w:rPr>
      </w:r>
      <w:r>
        <w:rPr>
          <w:noProof/>
        </w:rPr>
        <w:fldChar w:fldCharType="separate"/>
      </w:r>
      <w:r>
        <w:rPr>
          <w:noProof/>
        </w:rPr>
        <w:t>7</w:t>
      </w:r>
      <w:r>
        <w:rPr>
          <w:noProof/>
        </w:rPr>
        <w:fldChar w:fldCharType="end"/>
      </w:r>
    </w:p>
    <w:p w14:paraId="35942EE8" w14:textId="0BDF4919" w:rsidR="004E1650" w:rsidRPr="00FA0746" w:rsidRDefault="00EF48F2" w:rsidP="00F04010">
      <w:r w:rsidRPr="00FA0746">
        <w:fldChar w:fldCharType="end"/>
      </w:r>
    </w:p>
    <w:p w14:paraId="10D84390" w14:textId="37E21C56" w:rsidR="00363B94" w:rsidRPr="00FA0746" w:rsidRDefault="00363B94" w:rsidP="0006167F">
      <w:pPr>
        <w:pStyle w:val="PageHeading"/>
      </w:pPr>
      <w:r>
        <w:br w:type="page"/>
      </w:r>
      <w:r>
        <w:lastRenderedPageBreak/>
        <w:br w:type="page"/>
      </w:r>
      <w:bookmarkStart w:id="0" w:name="_Toc232760646"/>
      <w:r>
        <w:t>NÁVRH LEGISLATIVNÍHO USNESENÍ EVROPSKÉHO PARLAMENTU</w:t>
      </w:r>
      <w:bookmarkEnd w:id="0"/>
    </w:p>
    <w:p w14:paraId="105C19D4" w14:textId="18A51501" w:rsidR="006626B5" w:rsidRPr="00FA0746" w:rsidRDefault="006626B5" w:rsidP="006626B5">
      <w:pPr>
        <w:pStyle w:val="NormalBold"/>
      </w:pPr>
      <w:r>
        <w:t>k návrhu rozhodnutí Rady</w:t>
      </w:r>
      <w:r w:rsidR="008A6B96">
        <w:t xml:space="preserve"> o </w:t>
      </w:r>
      <w:r>
        <w:t>uzavření Dohody mezi Evropskou unií</w:t>
      </w:r>
      <w:r w:rsidR="008A6B96">
        <w:t xml:space="preserve"> a </w:t>
      </w:r>
      <w:r>
        <w:t>Švýcarskou konfederací</w:t>
      </w:r>
      <w:r w:rsidR="008A6B96">
        <w:t xml:space="preserve"> o </w:t>
      </w:r>
      <w:r>
        <w:t>předávání údajů jmenné evidence cestujících (PNR) za účelem prevence, odhalování, vyšetřování</w:t>
      </w:r>
      <w:r w:rsidR="008A6B96">
        <w:t xml:space="preserve"> a </w:t>
      </w:r>
      <w:r>
        <w:t>stíhání teroristických trestných činů</w:t>
      </w:r>
      <w:r w:rsidR="008A6B96">
        <w:t xml:space="preserve"> a </w:t>
      </w:r>
      <w:r>
        <w:t>závažné trestné činnosti</w:t>
      </w:r>
    </w:p>
    <w:p w14:paraId="71211260" w14:textId="38578F24" w:rsidR="00363B94" w:rsidRPr="00FA0746" w:rsidRDefault="006626B5" w:rsidP="006626B5">
      <w:pPr>
        <w:pStyle w:val="NormalBold12a"/>
      </w:pPr>
      <w:r>
        <w:t>(05312/2026 – C10</w:t>
      </w:r>
      <w:r>
        <w:noBreakHyphen/>
        <w:t>0077/2026 – 2025/0343(NLE))</w:t>
      </w:r>
    </w:p>
    <w:p w14:paraId="1CCADB66" w14:textId="2AC7D770" w:rsidR="00363B94" w:rsidRPr="00FA0746" w:rsidRDefault="005459EA" w:rsidP="00893FBD">
      <w:pPr>
        <w:pStyle w:val="NormalBold"/>
      </w:pPr>
      <w:r>
        <w:t>(Souhlas)</w:t>
      </w:r>
    </w:p>
    <w:p w14:paraId="2D4F8889" w14:textId="15FC4936" w:rsidR="00363B94" w:rsidRPr="00FA0746" w:rsidRDefault="005459EA">
      <w:pPr>
        <w:pStyle w:val="EPComma"/>
      </w:pPr>
      <w:r>
        <w:rPr>
          <w:i/>
        </w:rPr>
        <w:t>Evropský parlament</w:t>
      </w:r>
      <w:r>
        <w:t>,</w:t>
      </w:r>
    </w:p>
    <w:p w14:paraId="5F35B740" w14:textId="26420071" w:rsidR="00BF7F55" w:rsidRPr="00FA0746" w:rsidRDefault="00BF7F55" w:rsidP="00BF7F55">
      <w:pPr>
        <w:pStyle w:val="NormalHanging12a"/>
      </w:pPr>
      <w:r>
        <w:t>–</w:t>
      </w:r>
      <w:r>
        <w:tab/>
        <w:t>s ohledem na návrh rozhodnutí Rady (05312/2026),</w:t>
      </w:r>
    </w:p>
    <w:p w14:paraId="2AC3F708" w14:textId="4070AAA2" w:rsidR="00363B94" w:rsidRPr="00FA0746" w:rsidRDefault="00363B94">
      <w:pPr>
        <w:pStyle w:val="NormalHanging12a"/>
      </w:pPr>
      <w:r>
        <w:t>–</w:t>
      </w:r>
      <w:r>
        <w:tab/>
        <w:t>s ohledem na návrh Dohody mezi Evropskou unií</w:t>
      </w:r>
      <w:r w:rsidR="008A6B96">
        <w:t xml:space="preserve"> a </w:t>
      </w:r>
      <w:r>
        <w:t>Švýcarskou konfederací</w:t>
      </w:r>
      <w:r w:rsidR="008A6B96">
        <w:t xml:space="preserve"> o </w:t>
      </w:r>
      <w:r>
        <w:t>předávání údajů jmenné evidence cestujících (PNR) za účelem prevence, odhalování, vyšetřování</w:t>
      </w:r>
      <w:r w:rsidR="008A6B96">
        <w:t xml:space="preserve"> a </w:t>
      </w:r>
      <w:r>
        <w:t>stíhání teroristických trestných činů</w:t>
      </w:r>
      <w:r w:rsidR="008A6B96">
        <w:t xml:space="preserve"> a </w:t>
      </w:r>
      <w:r>
        <w:t>závažné trestné činnosti</w:t>
      </w:r>
      <w:r w:rsidR="00321D0E">
        <w:t xml:space="preserve"> </w:t>
      </w:r>
      <w:r>
        <w:t>(05316/2026),</w:t>
      </w:r>
    </w:p>
    <w:p w14:paraId="3AE8AD25" w14:textId="3524AD12" w:rsidR="00363B94" w:rsidRPr="00FA0746" w:rsidRDefault="005F5D6C">
      <w:pPr>
        <w:pStyle w:val="NormalHanging12a"/>
      </w:pPr>
      <w:r>
        <w:t>–</w:t>
      </w:r>
      <w:r>
        <w:tab/>
        <w:t>s ohledem na žádost</w:t>
      </w:r>
      <w:r w:rsidR="008A6B96">
        <w:t xml:space="preserve"> o </w:t>
      </w:r>
      <w:r>
        <w:t>udělení souhlasu, kterou předložila Rada</w:t>
      </w:r>
      <w:r w:rsidR="008A6B96">
        <w:t xml:space="preserve"> v </w:t>
      </w:r>
      <w:r>
        <w:t>souladu</w:t>
      </w:r>
      <w:r w:rsidR="008A6B96">
        <w:t xml:space="preserve"> s </w:t>
      </w:r>
      <w:r>
        <w:t>čl. 16 odst. 2</w:t>
      </w:r>
      <w:r w:rsidR="008A6B96">
        <w:t xml:space="preserve"> a </w:t>
      </w:r>
      <w:r>
        <w:t>čl 87 odst. 2 písm. a)</w:t>
      </w:r>
      <w:r w:rsidR="008A6B96">
        <w:t xml:space="preserve"> a </w:t>
      </w:r>
      <w:r>
        <w:t>čl. 218 odst. 6 druhým pododstavcem písm. a) Smlouvy</w:t>
      </w:r>
      <w:r w:rsidR="008A6B96">
        <w:t xml:space="preserve"> o </w:t>
      </w:r>
      <w:r>
        <w:t>fungování Evropské unie (C10</w:t>
      </w:r>
      <w:r>
        <w:noBreakHyphen/>
        <w:t>0077/2026),</w:t>
      </w:r>
    </w:p>
    <w:p w14:paraId="36905D0B" w14:textId="28EF90B8" w:rsidR="00363B94" w:rsidRPr="00FA0746" w:rsidRDefault="00363B94">
      <w:pPr>
        <w:pStyle w:val="NormalHanging12a"/>
      </w:pPr>
      <w:r>
        <w:t>–</w:t>
      </w:r>
      <w:r>
        <w:tab/>
        <w:t>s ohledem na čl. 107 odst. 1</w:t>
      </w:r>
      <w:r w:rsidR="008A6B96">
        <w:t xml:space="preserve"> a </w:t>
      </w:r>
      <w:r>
        <w:t>4</w:t>
      </w:r>
      <w:r w:rsidR="008A6B96">
        <w:t xml:space="preserve"> a </w:t>
      </w:r>
      <w:r>
        <w:t>čl. 117 odst. 7 jednacího řádu,</w:t>
      </w:r>
    </w:p>
    <w:p w14:paraId="1AD44B36" w14:textId="6749B9A5" w:rsidR="00363B94" w:rsidRPr="00FA0746" w:rsidRDefault="00363B94">
      <w:pPr>
        <w:pStyle w:val="NormalHanging12a"/>
      </w:pPr>
      <w:r>
        <w:t>–</w:t>
      </w:r>
      <w:r>
        <w:tab/>
        <w:t>s ohledem na doporučení Výboru pro občanské svobody, spravedlnost</w:t>
      </w:r>
      <w:r w:rsidR="008A6B96">
        <w:t xml:space="preserve"> a </w:t>
      </w:r>
      <w:r>
        <w:t>vnitřní věci (A10</w:t>
      </w:r>
      <w:r>
        <w:noBreakHyphen/>
        <w:t>0000/2026),</w:t>
      </w:r>
    </w:p>
    <w:p w14:paraId="5D56085E" w14:textId="697EEDAC" w:rsidR="00363B94" w:rsidRPr="00FA0746" w:rsidRDefault="00363B94">
      <w:pPr>
        <w:pStyle w:val="NormalHanging12a"/>
      </w:pPr>
      <w:r>
        <w:t>1.</w:t>
      </w:r>
      <w:r>
        <w:tab/>
        <w:t>uděluje souhlas</w:t>
      </w:r>
      <w:r w:rsidR="008A6B96">
        <w:t xml:space="preserve"> s </w:t>
      </w:r>
      <w:r>
        <w:t>uzavřením dohody;</w:t>
      </w:r>
    </w:p>
    <w:p w14:paraId="55F08FD8" w14:textId="1B3CEC6E" w:rsidR="00FA0746" w:rsidRPr="00FA0746" w:rsidRDefault="001D02E3" w:rsidP="00FA0746">
      <w:pPr>
        <w:pStyle w:val="NormalHanging12a"/>
      </w:pPr>
      <w:r>
        <w:t>2.</w:t>
      </w:r>
      <w:r>
        <w:tab/>
        <w:t>pověřuje svou předsedkyni, aby předala postoj Parlamentu Radě, Komisi, jakož</w:t>
      </w:r>
      <w:r w:rsidR="008A6B96">
        <w:t xml:space="preserve"> i </w:t>
      </w:r>
      <w:r>
        <w:t>vládám</w:t>
      </w:r>
      <w:r w:rsidR="008A6B96">
        <w:t xml:space="preserve"> a </w:t>
      </w:r>
      <w:r>
        <w:t>parlamentům členských států</w:t>
      </w:r>
      <w:r w:rsidR="008A6B96">
        <w:t xml:space="preserve"> a </w:t>
      </w:r>
      <w:r>
        <w:t>Švýcarské konfederace.</w:t>
      </w:r>
    </w:p>
    <w:p w14:paraId="08CB2F5C" w14:textId="77777777" w:rsidR="00FA0746" w:rsidRPr="00FA0746" w:rsidRDefault="00FA0746" w:rsidP="00FA0746">
      <w:pPr>
        <w:sectPr w:rsidR="00FA0746" w:rsidRPr="00FA0746" w:rsidSect="00FA07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5E48062" w14:textId="0723C66D" w:rsidR="00FA0746" w:rsidRPr="00FA0746" w:rsidRDefault="00D26398" w:rsidP="00FA0746">
      <w:pPr>
        <w:pStyle w:val="PageHeading"/>
      </w:pPr>
      <w:bookmarkStart w:id="1" w:name="_Toc232760647"/>
      <w:r>
        <w:t>VYSVĚTLUJÍCÍ PROHLÁŠENÍ</w:t>
      </w:r>
      <w:bookmarkEnd w:id="1"/>
    </w:p>
    <w:p w14:paraId="5A1E36FF" w14:textId="658648D2" w:rsidR="00FA0746" w:rsidRPr="00FA0746" w:rsidRDefault="00FA0746" w:rsidP="00FA0746">
      <w:pPr>
        <w:jc w:val="both"/>
      </w:pPr>
      <w:r>
        <w:t>Cílem navrženého rozhodnutí Rady je schválit Dohodu mezi Evropskou unií</w:t>
      </w:r>
      <w:r w:rsidR="008A6B96">
        <w:t xml:space="preserve"> a </w:t>
      </w:r>
      <w:r>
        <w:t>Švýcarskou konfederací</w:t>
      </w:r>
      <w:r w:rsidR="008A6B96">
        <w:t xml:space="preserve"> o </w:t>
      </w:r>
      <w:r>
        <w:t>předávání údajů jmenné evidence cestujících za účelem prevence, odhalování, vyšetřování</w:t>
      </w:r>
      <w:r w:rsidR="008A6B96">
        <w:t xml:space="preserve"> a </w:t>
      </w:r>
      <w:r>
        <w:t>stíhání teroristických trestných činů</w:t>
      </w:r>
      <w:r w:rsidR="008A6B96">
        <w:t xml:space="preserve"> a </w:t>
      </w:r>
      <w:r>
        <w:t>závažné trestné činnosti (dále jen „dohoda“).</w:t>
      </w:r>
    </w:p>
    <w:p w14:paraId="5430B72B" w14:textId="77777777" w:rsidR="00FA0746" w:rsidRPr="00FA0746" w:rsidRDefault="00FA0746" w:rsidP="00FA0746">
      <w:pPr>
        <w:jc w:val="both"/>
      </w:pPr>
    </w:p>
    <w:p w14:paraId="6BEFC0FD" w14:textId="2DD6C3AC" w:rsidR="00FA0746" w:rsidRPr="00FA0746" w:rsidRDefault="00FA0746" w:rsidP="00FA0746">
      <w:pPr>
        <w:jc w:val="both"/>
      </w:pPr>
      <w:r>
        <w:t>Švýcarsko</w:t>
      </w:r>
      <w:r w:rsidR="008A6B96">
        <w:t xml:space="preserve"> a </w:t>
      </w:r>
      <w:r>
        <w:t>členské státy EU jsou smluvními stranami Schengenské úmluvy,</w:t>
      </w:r>
      <w:r w:rsidR="008A6B96">
        <w:t xml:space="preserve"> a </w:t>
      </w:r>
      <w:r>
        <w:t>pro sdílí odpovědnost za zajišťování vnitřní bezpečnosti ve společném prostoru bez kontrol na vnitřních hranicích, včetně výměny příslušných informací. Údaje jmenné evidence cestujících (dále jen „PNR“) jsou informace poskytované cestujícími, které jsou shromažďovány</w:t>
      </w:r>
      <w:r w:rsidR="008A6B96">
        <w:t xml:space="preserve"> v </w:t>
      </w:r>
      <w:r>
        <w:t>průběhu procesu rezervace</w:t>
      </w:r>
      <w:r w:rsidR="008A6B96">
        <w:t xml:space="preserve"> a </w:t>
      </w:r>
      <w:r>
        <w:t>odbavení</w:t>
      </w:r>
      <w:r w:rsidR="008A6B96">
        <w:t xml:space="preserve"> a </w:t>
      </w:r>
      <w:r>
        <w:t>uchovávány</w:t>
      </w:r>
      <w:r w:rsidR="008A6B96">
        <w:t xml:space="preserve"> v </w:t>
      </w:r>
      <w:r>
        <w:t>rezervačních systémech</w:t>
      </w:r>
      <w:r w:rsidR="008A6B96">
        <w:t xml:space="preserve"> a </w:t>
      </w:r>
      <w:r>
        <w:t>kontrolních systémech odletů spravovaných leteckými dopravci pro vlastní komerční účely. Stávající dohody se třetími zeměmi</w:t>
      </w:r>
      <w:r w:rsidR="008A6B96">
        <w:t xml:space="preserve"> o </w:t>
      </w:r>
      <w:r>
        <w:t>zpracování údajů PNR prokázaly, že mají potenciál zvýšit bezpečnost schengenského prostoru. Tyto dohody zlepšují prevenci</w:t>
      </w:r>
      <w:r w:rsidR="008A6B96">
        <w:t xml:space="preserve"> a </w:t>
      </w:r>
      <w:r>
        <w:t>odhalování terorismu</w:t>
      </w:r>
      <w:r w:rsidR="008A6B96">
        <w:t xml:space="preserve"> a </w:t>
      </w:r>
      <w:r>
        <w:t>závažných trestných činů, včetně obchodování</w:t>
      </w:r>
      <w:r w:rsidR="008A6B96">
        <w:t xml:space="preserve"> s </w:t>
      </w:r>
      <w:r>
        <w:t>drogami, střelnými zbraněmi</w:t>
      </w:r>
      <w:r w:rsidR="008A6B96">
        <w:t xml:space="preserve"> a </w:t>
      </w:r>
      <w:r>
        <w:t>lidmi, na vnějších hranicích EU</w:t>
      </w:r>
      <w:r w:rsidR="008A6B96">
        <w:t xml:space="preserve"> a </w:t>
      </w:r>
      <w:r>
        <w:t>rovněž stanoví přístup založený na rizicích</w:t>
      </w:r>
      <w:r w:rsidR="008A6B96">
        <w:t xml:space="preserve"> a </w:t>
      </w:r>
      <w:r>
        <w:t>na datech, který mohou členské státy použít jako opatření kompenzující absenci kontrol na vnitřních hranicích</w:t>
      </w:r>
      <w:r w:rsidR="008A6B96">
        <w:t xml:space="preserve"> v </w:t>
      </w:r>
      <w:r>
        <w:t>schengenském prostoru.</w:t>
      </w:r>
    </w:p>
    <w:p w14:paraId="67CB97FA" w14:textId="77777777" w:rsidR="00FA0746" w:rsidRPr="00FA0746" w:rsidRDefault="00FA0746" w:rsidP="00FA0746">
      <w:pPr>
        <w:jc w:val="both"/>
      </w:pPr>
    </w:p>
    <w:p w14:paraId="08924B95" w14:textId="5903EC42" w:rsidR="00FA0746" w:rsidRPr="00FA0746" w:rsidRDefault="00FA0746" w:rsidP="00FA0746">
      <w:pPr>
        <w:jc w:val="both"/>
      </w:pPr>
      <w:r>
        <w:t>Ačkoli Švýcarsko není podle obecného nařízení 2016/679</w:t>
      </w:r>
      <w:r w:rsidR="008A6B96">
        <w:t xml:space="preserve"> o </w:t>
      </w:r>
      <w:r>
        <w:t>ochraně osobních údajů („nařízení GDPR“) považováno za třetí zemi, tento právní rámec se nevztahuje na zpracování osobních údajů, včetně údajů PNR, švýcarskými donucovacími orgány za účelem prevence, vyšetřování, odhalování či stíhání trestných činů nebo výkonu trestů. Švýcarsko je současně vázáno akty Unie, které rozvíjejí ustanovení schengenského acquis. Směrnice (EU) 2016/680</w:t>
      </w:r>
      <w:r w:rsidR="008A6B96">
        <w:t xml:space="preserve"> o </w:t>
      </w:r>
      <w:r>
        <w:t>(„směrnice</w:t>
      </w:r>
      <w:r w:rsidR="008A6B96">
        <w:t xml:space="preserve"> o </w:t>
      </w:r>
      <w:r>
        <w:t>PNR“) však schengenské acquis nerozvíjí,</w:t>
      </w:r>
      <w:r w:rsidR="008A6B96">
        <w:t xml:space="preserve"> a </w:t>
      </w:r>
      <w:r>
        <w:t>Švýcarsko se tudíž na provádění tohoto právního nástroje nepodílí.</w:t>
      </w:r>
    </w:p>
    <w:p w14:paraId="6F6A4CF9" w14:textId="77777777" w:rsidR="00FA0746" w:rsidRPr="00FA0746" w:rsidRDefault="00FA0746" w:rsidP="00FA0746">
      <w:pPr>
        <w:jc w:val="both"/>
      </w:pPr>
    </w:p>
    <w:p w14:paraId="5C17CEFD" w14:textId="329AD24B" w:rsidR="00FA0746" w:rsidRPr="00FA0746" w:rsidRDefault="00FA0746" w:rsidP="00FA0746">
      <w:pPr>
        <w:jc w:val="both"/>
      </w:pPr>
      <w:r>
        <w:t>Podle stávajícího rámce nesmí Švýcarsko zákonně přijímat</w:t>
      </w:r>
      <w:r w:rsidR="008A6B96">
        <w:t xml:space="preserve"> a </w:t>
      </w:r>
      <w:r>
        <w:t>zpracovávat údaje PNR</w:t>
      </w:r>
      <w:r w:rsidR="008A6B96">
        <w:t xml:space="preserve"> o </w:t>
      </w:r>
      <w:r>
        <w:t>letech provozovaných leteckými dopravci mezi Unií</w:t>
      </w:r>
      <w:r w:rsidR="008A6B96">
        <w:t xml:space="preserve"> a </w:t>
      </w:r>
      <w:r>
        <w:t>Švýcarskem. Komise proto dne 6. září 2023 doporučila zahájit jednání</w:t>
      </w:r>
      <w:r w:rsidR="008A6B96">
        <w:t xml:space="preserve"> o </w:t>
      </w:r>
      <w:r>
        <w:t>dohodě. Dne 4. března 2024 udělila Rada zmocnění</w:t>
      </w:r>
      <w:r w:rsidR="008A6B96">
        <w:t xml:space="preserve"> k </w:t>
      </w:r>
      <w:r>
        <w:t>zahájení jednání, která byla otevřena dne 21. března 2024. Dne 7. října 2025 byla jednání formálně uzavřena</w:t>
      </w:r>
      <w:r w:rsidR="008A6B96">
        <w:t xml:space="preserve"> a </w:t>
      </w:r>
      <w:r>
        <w:t>dne 17. února 2026 Rada dohodu přijala. Dne 5. března 2026 dohodu podepsali komisař pro vnitřní věci</w:t>
      </w:r>
      <w:r w:rsidR="008A6B96">
        <w:t xml:space="preserve"> a </w:t>
      </w:r>
      <w:r>
        <w:t>migraci Magnus Brunner</w:t>
      </w:r>
      <w:r w:rsidR="008A6B96">
        <w:t xml:space="preserve"> a </w:t>
      </w:r>
      <w:r>
        <w:t>vedoucí švýcarského Federálního ministerstva spravedlnosti</w:t>
      </w:r>
      <w:r w:rsidR="008A6B96">
        <w:t xml:space="preserve"> a </w:t>
      </w:r>
      <w:r>
        <w:t xml:space="preserve">policie Beat Jans. </w:t>
      </w:r>
    </w:p>
    <w:p w14:paraId="186C945B" w14:textId="77777777" w:rsidR="00FA0746" w:rsidRPr="00FA0746" w:rsidRDefault="00FA0746" w:rsidP="00FA0746">
      <w:pPr>
        <w:jc w:val="both"/>
      </w:pPr>
    </w:p>
    <w:p w14:paraId="188435BC" w14:textId="5B3888BA" w:rsidR="00FA0746" w:rsidRPr="00FA0746" w:rsidRDefault="00FA0746" w:rsidP="00FA0746">
      <w:pPr>
        <w:jc w:val="both"/>
      </w:pPr>
      <w:r>
        <w:t>Hlavním účelem této dohody je překlenout bezpečnostní mezeru</w:t>
      </w:r>
      <w:r w:rsidR="008A6B96">
        <w:t xml:space="preserve"> v </w:t>
      </w:r>
      <w:r>
        <w:t>schengenském prostoru,</w:t>
      </w:r>
      <w:r w:rsidR="008A6B96">
        <w:t xml:space="preserve"> a </w:t>
      </w:r>
      <w:r>
        <w:t>umožnit tak leteckým dopravcům předávat údaje PNR Švýcarsku</w:t>
      </w:r>
      <w:r w:rsidR="008A6B96">
        <w:t xml:space="preserve"> a </w:t>
      </w:r>
      <w:r>
        <w:t>naopak. Předávání</w:t>
      </w:r>
      <w:r w:rsidR="008A6B96">
        <w:t xml:space="preserve"> a </w:t>
      </w:r>
      <w:r>
        <w:t>zpracování osobních údajů, včetně údajů PNR, však vyžaduje přísná omezení</w:t>
      </w:r>
      <w:r w:rsidR="008A6B96">
        <w:t xml:space="preserve"> a </w:t>
      </w:r>
      <w:r>
        <w:t>účinné záruky. Evropský inspektor ochrany údajů shledal ve stanovisku 30/2025 ze dne 19. prosince 2025 ustanovení dohody upravující předávání</w:t>
      </w:r>
      <w:r w:rsidR="008A6B96">
        <w:t xml:space="preserve"> a </w:t>
      </w:r>
      <w:r>
        <w:t>zpracování údajů PNR jako uspokojivá. Komise</w:t>
      </w:r>
      <w:r w:rsidR="008A6B96">
        <w:t xml:space="preserve"> o </w:t>
      </w:r>
      <w:r>
        <w:t>tom dne 2. června 2026 informovala zpravodaje</w:t>
      </w:r>
      <w:r w:rsidR="008A6B96">
        <w:t xml:space="preserve"> a </w:t>
      </w:r>
      <w:r>
        <w:t>potvrdila, že dohoda stanoví vysoké standardy nejen</w:t>
      </w:r>
      <w:r w:rsidR="008A6B96">
        <w:t xml:space="preserve"> z </w:t>
      </w:r>
      <w:r>
        <w:t>hlediska bezpečnosti, ale také</w:t>
      </w:r>
      <w:r w:rsidR="008A6B96">
        <w:t xml:space="preserve"> z </w:t>
      </w:r>
      <w:r>
        <w:t>hlediska ochrany soukromí</w:t>
      </w:r>
      <w:r w:rsidR="008A6B96">
        <w:t xml:space="preserve"> a </w:t>
      </w:r>
      <w:r>
        <w:t>údajů.</w:t>
      </w:r>
    </w:p>
    <w:p w14:paraId="230E3C80" w14:textId="77777777" w:rsidR="00FA0746" w:rsidRPr="00FA0746" w:rsidRDefault="00FA0746" w:rsidP="00FA0746">
      <w:pPr>
        <w:jc w:val="both"/>
      </w:pPr>
    </w:p>
    <w:p w14:paraId="488BEF5D" w14:textId="7433ADC0" w:rsidR="001D02E3" w:rsidRPr="00FA0746" w:rsidRDefault="00FA0746" w:rsidP="00FA0746">
      <w:pPr>
        <w:jc w:val="both"/>
      </w:pPr>
      <w:r>
        <w:t>Zpravodaj tedy doporučuje, aby Parlament návrh rozhodnutí Rady podpořil.</w:t>
      </w:r>
    </w:p>
    <w:p w14:paraId="4D302288" w14:textId="77777777" w:rsidR="00FA0746" w:rsidRPr="00FA0746" w:rsidRDefault="00FA0746">
      <w:pPr>
        <w:widowControl/>
        <w:sectPr w:rsidR="00FA0746" w:rsidRPr="00FA0746" w:rsidSect="00FA074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AAF969" w14:textId="4AA986C9" w:rsidR="00FA0746" w:rsidRPr="00FA0746" w:rsidRDefault="00FA0746">
      <w:pPr>
        <w:widowControl/>
      </w:pPr>
    </w:p>
    <w:p w14:paraId="48FE000E" w14:textId="0277235C" w:rsidR="00FA0746" w:rsidRPr="00FA0746" w:rsidRDefault="00FA0746" w:rsidP="007041CC">
      <w:pPr>
        <w:pStyle w:val="PageHeading"/>
        <w:rPr>
          <w:noProof/>
        </w:rPr>
      </w:pPr>
      <w:bookmarkStart w:id="2" w:name="FootprintPageRR"/>
      <w:bookmarkStart w:id="3" w:name="_Toc232760648"/>
      <w:r>
        <w:t>PŘÍLOHA: ZVEŘEJŇOVÁNÍ PODNĚTŮ</w:t>
      </w:r>
      <w:bookmarkEnd w:id="3"/>
    </w:p>
    <w:p w14:paraId="7DD2B5F0" w14:textId="187A079F" w:rsidR="00FA0746" w:rsidRPr="00FA0746" w:rsidRDefault="00FA0746" w:rsidP="00B31C6A">
      <w:pPr>
        <w:pStyle w:val="Normal24a"/>
        <w:spacing w:after="240"/>
      </w:pPr>
      <w:r>
        <w:rPr>
          <w:rStyle w:val="HideTWBExt"/>
        </w:rPr>
        <w:t>&lt;FootprintIntro&gt;</w:t>
      </w:r>
      <w:r>
        <w:t>Zpravodaj prohlašuje na svou výhradní odpovědnost, že do své zprávy nezahrnul podněty od zástupců zájmových skupin spadajících do oblasti působnosti interinstitucionální dohody</w:t>
      </w:r>
      <w:r w:rsidR="008A6B96">
        <w:t xml:space="preserve"> o </w:t>
      </w:r>
      <w:r>
        <w:t>povinném rejstříku transparentnosti</w:t>
      </w:r>
      <w:r w:rsidRPr="00FA0746">
        <w:rPr>
          <w:rStyle w:val="FootnoteReference"/>
        </w:rPr>
        <w:footnoteReference w:id="1"/>
      </w:r>
      <w:r>
        <w:t xml:space="preserve"> nebo představitelů orgánů třetích zemí, včetně jejich diplomatických misí</w:t>
      </w:r>
      <w:r w:rsidR="008A6B96">
        <w:t xml:space="preserve"> a </w:t>
      </w:r>
      <w:r>
        <w:t>velvyslanectví, kteří musí být uvedeni</w:t>
      </w:r>
      <w:r w:rsidR="008A6B96">
        <w:t xml:space="preserve"> v </w:t>
      </w:r>
      <w:r>
        <w:t>této příloze</w:t>
      </w:r>
      <w:r w:rsidR="008A6B96">
        <w:t xml:space="preserve"> v </w:t>
      </w:r>
      <w:r>
        <w:t>souladu</w:t>
      </w:r>
      <w:r w:rsidR="008A6B96">
        <w:t xml:space="preserve"> s </w:t>
      </w:r>
      <w:r>
        <w:t>článkem 8 přílohy</w:t>
      </w:r>
      <w:r w:rsidR="008A6B96">
        <w:t xml:space="preserve"> I </w:t>
      </w:r>
      <w:r>
        <w:t>jednacího řádu.</w:t>
      </w:r>
      <w:r>
        <w:rPr>
          <w:rStyle w:val="HideTWBExt"/>
        </w:rPr>
        <w:t>&lt;/FootprintIntro&gt;</w:t>
      </w:r>
    </w:p>
    <w:p w14:paraId="41EF3125" w14:textId="2F9438EB" w:rsidR="00FA0746" w:rsidRPr="00FA0746" w:rsidRDefault="00FA0746" w:rsidP="00646AD2">
      <w:pPr>
        <w:pStyle w:val="Footprint12b"/>
      </w:pPr>
    </w:p>
    <w:p w14:paraId="2E534FFB" w14:textId="77777777" w:rsidR="00FA0746" w:rsidRPr="00FA0746" w:rsidRDefault="00FA0746" w:rsidP="00FA0746"/>
    <w:bookmarkEnd w:id="2"/>
    <w:p w14:paraId="3AE8802A" w14:textId="04899CDC" w:rsidR="00363B94" w:rsidRPr="00FA0746" w:rsidRDefault="00363B94" w:rsidP="00822206"/>
    <w:sectPr w:rsidR="00363B94" w:rsidRPr="00FA0746" w:rsidSect="00FA07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AB2D0" w14:textId="77777777" w:rsidR="005459EA" w:rsidRPr="00FA0746" w:rsidRDefault="005459EA">
      <w:r w:rsidRPr="00FA0746">
        <w:separator/>
      </w:r>
    </w:p>
  </w:endnote>
  <w:endnote w:type="continuationSeparator" w:id="0">
    <w:p w14:paraId="57D88C88" w14:textId="77777777" w:rsidR="005459EA" w:rsidRPr="00FA0746" w:rsidRDefault="005459EA">
      <w:r w:rsidRPr="00FA0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2764" w14:textId="77777777" w:rsidR="00FA0746" w:rsidRPr="00FA0746" w:rsidRDefault="00FA0746" w:rsidP="00FA0746">
    <w:pPr>
      <w:pStyle w:val="EPFooter"/>
    </w:pPr>
    <w:r w:rsidRPr="00FA0746">
      <w:t>PE</w:t>
    </w:r>
    <w:r w:rsidRPr="00FA0746">
      <w:rPr>
        <w:rStyle w:val="HideTWBExt"/>
      </w:rPr>
      <w:t>&lt;NoPE&gt;</w:t>
    </w:r>
    <w:r w:rsidRPr="00FA0746">
      <w:t>789.883</w:t>
    </w:r>
    <w:r w:rsidRPr="00FA0746">
      <w:rPr>
        <w:rStyle w:val="HideTWBExt"/>
      </w:rPr>
      <w:t>&lt;/NoPE&gt;&lt;Version&gt;</w:t>
    </w:r>
    <w:r w:rsidRPr="00FA0746">
      <w:t>v01-00</w:t>
    </w:r>
    <w:r w:rsidRPr="00FA0746">
      <w:rPr>
        <w:rStyle w:val="HideTWBExt"/>
      </w:rPr>
      <w:t>&lt;/Version&gt;</w:t>
    </w:r>
    <w:r w:rsidRPr="00FA0746">
      <w:tab/>
    </w:r>
    <w:r w:rsidRPr="00FA0746">
      <w:fldChar w:fldCharType="begin"/>
    </w:r>
    <w:r w:rsidRPr="00FA0746">
      <w:instrText xml:space="preserve"> PAGE  \* MERGEFORMAT </w:instrText>
    </w:r>
    <w:r w:rsidRPr="00FA0746">
      <w:fldChar w:fldCharType="separate"/>
    </w:r>
    <w:r w:rsidRPr="00FA0746">
      <w:rPr>
        <w:noProof/>
      </w:rPr>
      <w:t>2</w:t>
    </w:r>
    <w:r w:rsidRPr="00FA0746">
      <w:fldChar w:fldCharType="end"/>
    </w:r>
    <w:r w:rsidRPr="00FA0746">
      <w:t>/</w:t>
    </w:r>
    <w:fldSimple w:instr=" NUMPAGES  \* MERGEFORMAT ">
      <w:r w:rsidRPr="00FA0746">
        <w:rPr>
          <w:noProof/>
        </w:rPr>
        <w:t>7</w:t>
      </w:r>
    </w:fldSimple>
    <w:r w:rsidRPr="00FA0746">
      <w:tab/>
    </w:r>
    <w:r w:rsidRPr="00FA0746">
      <w:rPr>
        <w:rStyle w:val="HideTWBExt"/>
      </w:rPr>
      <w:t>&lt;PathFdR&gt;</w:t>
    </w:r>
    <w:r w:rsidRPr="00FA0746">
      <w:t>PR\1345305CS.docx</w:t>
    </w:r>
    <w:r w:rsidRPr="00FA0746">
      <w:rPr>
        <w:rStyle w:val="HideTWBExt"/>
      </w:rPr>
      <w:t>&lt;/PathFdR&gt;</w:t>
    </w:r>
  </w:p>
  <w:p w14:paraId="35CB0CC5" w14:textId="5AB184A5" w:rsidR="00FA0746" w:rsidRPr="00FA0746" w:rsidRDefault="00FA0746" w:rsidP="00FA0746">
    <w:pPr>
      <w:pStyle w:val="EPFooter2"/>
    </w:pPr>
    <w:r w:rsidRPr="00FA074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6469" w14:textId="77777777" w:rsidR="00FA0746" w:rsidRPr="00FA0746" w:rsidRDefault="00FA0746" w:rsidP="00FA0746">
    <w:pPr>
      <w:pStyle w:val="EPFooter"/>
    </w:pPr>
    <w:r w:rsidRPr="00FA0746">
      <w:rPr>
        <w:rStyle w:val="HideTWBExt"/>
      </w:rPr>
      <w:t>&lt;PathFdR&gt;</w:t>
    </w:r>
    <w:r w:rsidRPr="00FA0746">
      <w:t>PR\1345305CS.docx</w:t>
    </w:r>
    <w:r w:rsidRPr="00FA0746">
      <w:rPr>
        <w:rStyle w:val="HideTWBExt"/>
      </w:rPr>
      <w:t>&lt;/PathFdR&gt;</w:t>
    </w:r>
    <w:r w:rsidRPr="00FA0746">
      <w:tab/>
    </w:r>
    <w:r w:rsidRPr="00FA0746">
      <w:fldChar w:fldCharType="begin"/>
    </w:r>
    <w:r w:rsidRPr="00FA0746">
      <w:instrText xml:space="preserve"> PAGE  \* MERGEFORMAT </w:instrText>
    </w:r>
    <w:r w:rsidRPr="00FA0746">
      <w:fldChar w:fldCharType="separate"/>
    </w:r>
    <w:r w:rsidRPr="00FA0746">
      <w:rPr>
        <w:noProof/>
      </w:rPr>
      <w:t>5</w:t>
    </w:r>
    <w:r w:rsidRPr="00FA0746">
      <w:fldChar w:fldCharType="end"/>
    </w:r>
    <w:r w:rsidRPr="00FA0746">
      <w:t>/</w:t>
    </w:r>
    <w:fldSimple w:instr=" NUMPAGES  \* MERGEFORMAT ">
      <w:r w:rsidRPr="00FA0746">
        <w:rPr>
          <w:noProof/>
        </w:rPr>
        <w:t>7</w:t>
      </w:r>
    </w:fldSimple>
    <w:r w:rsidRPr="00FA0746">
      <w:tab/>
      <w:t>PE</w:t>
    </w:r>
    <w:r w:rsidRPr="00FA0746">
      <w:rPr>
        <w:rStyle w:val="HideTWBExt"/>
      </w:rPr>
      <w:t>&lt;NoPE&gt;</w:t>
    </w:r>
    <w:r w:rsidRPr="00FA0746">
      <w:t>789.883</w:t>
    </w:r>
    <w:r w:rsidRPr="00FA0746">
      <w:rPr>
        <w:rStyle w:val="HideTWBExt"/>
      </w:rPr>
      <w:t>&lt;/NoPE&gt;&lt;Version&gt;</w:t>
    </w:r>
    <w:r w:rsidRPr="00FA0746">
      <w:t>v01-00</w:t>
    </w:r>
    <w:r w:rsidRPr="00FA0746">
      <w:rPr>
        <w:rStyle w:val="HideTWBExt"/>
      </w:rPr>
      <w:t>&lt;/Version&gt;</w:t>
    </w:r>
  </w:p>
  <w:p w14:paraId="1475BF67" w14:textId="0C70E94E" w:rsidR="00FA0746" w:rsidRPr="00FA0746" w:rsidRDefault="00FA0746" w:rsidP="00FA0746">
    <w:pPr>
      <w:pStyle w:val="EPFooter2"/>
    </w:pPr>
    <w:r w:rsidRPr="00FA0746">
      <w:tab/>
    </w:r>
    <w:r w:rsidRPr="00FA074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9B7B" w14:textId="77777777" w:rsidR="00FA0746" w:rsidRPr="00FA0746" w:rsidRDefault="00FA0746" w:rsidP="00FA0746">
    <w:pPr>
      <w:pStyle w:val="EPFooter"/>
    </w:pPr>
    <w:r w:rsidRPr="00FA0746">
      <w:rPr>
        <w:rStyle w:val="HideTWBExt"/>
      </w:rPr>
      <w:t>&lt;PathFdR&gt;</w:t>
    </w:r>
    <w:r w:rsidRPr="00FA0746">
      <w:t>PR\1345305CS.docx</w:t>
    </w:r>
    <w:r w:rsidRPr="00FA0746">
      <w:rPr>
        <w:rStyle w:val="HideTWBExt"/>
      </w:rPr>
      <w:t>&lt;/PathFdR&gt;</w:t>
    </w:r>
    <w:r w:rsidRPr="00FA0746">
      <w:tab/>
    </w:r>
    <w:r w:rsidRPr="00FA0746">
      <w:tab/>
      <w:t>PE</w:t>
    </w:r>
    <w:r w:rsidRPr="00FA0746">
      <w:rPr>
        <w:rStyle w:val="HideTWBExt"/>
      </w:rPr>
      <w:t>&lt;NoPE&gt;</w:t>
    </w:r>
    <w:r w:rsidRPr="00FA0746">
      <w:t>789.883</w:t>
    </w:r>
    <w:r w:rsidRPr="00FA0746">
      <w:rPr>
        <w:rStyle w:val="HideTWBExt"/>
      </w:rPr>
      <w:t>&lt;/NoPE&gt;&lt;Version&gt;</w:t>
    </w:r>
    <w:r w:rsidRPr="00FA0746">
      <w:t>v01-00</w:t>
    </w:r>
    <w:r w:rsidRPr="00FA0746">
      <w:rPr>
        <w:rStyle w:val="HideTWBExt"/>
      </w:rPr>
      <w:t>&lt;/Version&gt;</w:t>
    </w:r>
  </w:p>
  <w:p w14:paraId="326E8C51" w14:textId="235462B1" w:rsidR="00FA0746" w:rsidRPr="00FA0746" w:rsidRDefault="00FA0746" w:rsidP="00FA0746">
    <w:pPr>
      <w:pStyle w:val="EPFooter2"/>
    </w:pPr>
    <w:r w:rsidRPr="00FA0746">
      <w:t>CS</w:t>
    </w:r>
    <w:r w:rsidRPr="00FA0746">
      <w:tab/>
    </w:r>
    <w:r w:rsidRPr="00FA0746">
      <w:rPr>
        <w:b w:val="0"/>
        <w:i/>
        <w:color w:val="C0C0C0"/>
        <w:sz w:val="22"/>
      </w:rPr>
      <w:t>Jednotná v rozmanitosti</w:t>
    </w:r>
    <w:r w:rsidRPr="00FA0746">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0BFC" w14:textId="40AC896F" w:rsidR="0085501C" w:rsidRPr="00FA0746" w:rsidRDefault="0085501C" w:rsidP="00B6769C">
    <w:pPr>
      <w:pStyle w:val="EPFooter"/>
    </w:pPr>
    <w:r w:rsidRPr="00FA0746">
      <w:rPr>
        <w:rStyle w:val="HideTWBExt"/>
      </w:rPr>
      <w:t>&lt;PathFdR&gt;</w:t>
    </w:r>
    <w:r w:rsidR="006626B5" w:rsidRPr="00FA0746">
      <w:rPr>
        <w:color w:val="auto"/>
      </w:rPr>
      <w:t>PR\1345305CS.docx</w:t>
    </w:r>
    <w:r w:rsidRPr="00FA0746">
      <w:rPr>
        <w:rStyle w:val="HideTWBExt"/>
      </w:rPr>
      <w:t>&lt;/PathFdR&gt;</w:t>
    </w:r>
    <w:r w:rsidRPr="00FA0746">
      <w:tab/>
    </w:r>
    <w:r w:rsidRPr="00FA0746">
      <w:tab/>
      <w:t>PE</w:t>
    </w:r>
    <w:r w:rsidRPr="00FA0746">
      <w:rPr>
        <w:rStyle w:val="HideTWBExt"/>
      </w:rPr>
      <w:t>&lt;NoPE&gt;</w:t>
    </w:r>
    <w:r w:rsidR="006626B5" w:rsidRPr="00FA0746">
      <w:rPr>
        <w:color w:val="auto"/>
      </w:rPr>
      <w:t>789.883</w:t>
    </w:r>
    <w:r w:rsidRPr="00FA0746">
      <w:rPr>
        <w:rStyle w:val="HideTWBExt"/>
      </w:rPr>
      <w:t>&lt;/NoPE&gt;&lt;Version&gt;</w:t>
    </w:r>
    <w:r w:rsidR="005459EA" w:rsidRPr="00FA0746">
      <w:t>v</w:t>
    </w:r>
    <w:r w:rsidR="006626B5" w:rsidRPr="00FA0746">
      <w:rPr>
        <w:color w:val="auto"/>
      </w:rPr>
      <w:t>01-00</w:t>
    </w:r>
    <w:r w:rsidRPr="00FA0746">
      <w:rPr>
        <w:rStyle w:val="HideTWBExt"/>
      </w:rPr>
      <w:t>&lt;/Version&gt;</w:t>
    </w:r>
  </w:p>
  <w:p w14:paraId="5A09B4F6" w14:textId="0DD8C3DE" w:rsidR="0085501C" w:rsidRPr="00FA0746" w:rsidRDefault="0085501C" w:rsidP="009612AA">
    <w:pPr>
      <w:pStyle w:val="EPFooter2"/>
      <w:tabs>
        <w:tab w:val="clear" w:pos="4535"/>
        <w:tab w:val="center" w:pos="4536"/>
      </w:tabs>
    </w:pPr>
    <w:r w:rsidRPr="00FA0746">
      <w:fldChar w:fldCharType="begin"/>
    </w:r>
    <w:r w:rsidRPr="00FA0746">
      <w:instrText xml:space="preserve"> DOCPROPERTY "&lt;Extension&gt;" </w:instrText>
    </w:r>
    <w:r w:rsidRPr="00FA0746">
      <w:fldChar w:fldCharType="separate"/>
    </w:r>
    <w:r w:rsidR="008A6B96">
      <w:t>CS</w:t>
    </w:r>
    <w:r w:rsidRPr="00FA0746">
      <w:fldChar w:fldCharType="end"/>
    </w:r>
    <w:r w:rsidRPr="00FA0746">
      <w:tab/>
    </w:r>
    <w:r w:rsidR="006626B5" w:rsidRPr="00FA0746">
      <w:rPr>
        <w:b w:val="0"/>
        <w:i/>
        <w:color w:val="C0C0C0"/>
        <w:sz w:val="22"/>
        <w:szCs w:val="22"/>
      </w:rPr>
      <w:t>Jednotná v rozmanitosti</w:t>
    </w:r>
    <w:r w:rsidRPr="00FA0746">
      <w:tab/>
    </w:r>
    <w:r w:rsidRPr="00FA0746">
      <w:fldChar w:fldCharType="begin"/>
    </w:r>
    <w:r w:rsidRPr="00FA0746">
      <w:instrText xml:space="preserve"> DOCPROPERTY "&lt;Extension&gt;" </w:instrText>
    </w:r>
    <w:r w:rsidRPr="00FA0746">
      <w:fldChar w:fldCharType="separate"/>
    </w:r>
    <w:r w:rsidR="008A6B96">
      <w:t>CS</w:t>
    </w:r>
    <w:r w:rsidRPr="00FA07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AB82B" w14:textId="77777777" w:rsidR="005459EA" w:rsidRPr="00FA0746" w:rsidRDefault="005459EA">
      <w:r w:rsidRPr="00FA0746">
        <w:separator/>
      </w:r>
    </w:p>
  </w:footnote>
  <w:footnote w:type="continuationSeparator" w:id="0">
    <w:p w14:paraId="72DE73CC" w14:textId="77777777" w:rsidR="005459EA" w:rsidRPr="00FA0746" w:rsidRDefault="005459EA">
      <w:r w:rsidRPr="00FA0746">
        <w:continuationSeparator/>
      </w:r>
    </w:p>
  </w:footnote>
  <w:footnote w:id="1">
    <w:p w14:paraId="1292BC5B" w14:textId="405A4C46" w:rsidR="00FA0746" w:rsidRPr="00FA0746" w:rsidRDefault="00FA0746">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9481" w14:textId="77777777" w:rsidR="008A6B96" w:rsidRDefault="008A6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03CE" w14:textId="77777777" w:rsidR="008A6B96" w:rsidRDefault="008A6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DE200" w14:textId="77777777" w:rsidR="008A6B96" w:rsidRDefault="008A6B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40ED" w14:textId="77777777" w:rsidR="009C17E7" w:rsidRDefault="009C17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5FC5" w14:textId="77777777" w:rsidR="009C17E7" w:rsidRDefault="009C17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994F" w14:textId="77777777" w:rsidR="009C17E7" w:rsidRDefault="009C1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89925918">
    <w:abstractNumId w:val="9"/>
  </w:num>
  <w:num w:numId="2" w16cid:durableId="1321926660">
    <w:abstractNumId w:val="9"/>
  </w:num>
  <w:num w:numId="3" w16cid:durableId="1680305243">
    <w:abstractNumId w:val="7"/>
  </w:num>
  <w:num w:numId="4" w16cid:durableId="701593925">
    <w:abstractNumId w:val="7"/>
  </w:num>
  <w:num w:numId="5" w16cid:durableId="1571891562">
    <w:abstractNumId w:val="6"/>
  </w:num>
  <w:num w:numId="6" w16cid:durableId="32115937">
    <w:abstractNumId w:val="6"/>
  </w:num>
  <w:num w:numId="7" w16cid:durableId="1742171990">
    <w:abstractNumId w:val="5"/>
  </w:num>
  <w:num w:numId="8" w16cid:durableId="2063677667">
    <w:abstractNumId w:val="5"/>
  </w:num>
  <w:num w:numId="9" w16cid:durableId="1709525289">
    <w:abstractNumId w:val="4"/>
  </w:num>
  <w:num w:numId="10" w16cid:durableId="2083991251">
    <w:abstractNumId w:val="4"/>
  </w:num>
  <w:num w:numId="11" w16cid:durableId="1684629372">
    <w:abstractNumId w:val="8"/>
  </w:num>
  <w:num w:numId="12" w16cid:durableId="1173029934">
    <w:abstractNumId w:val="8"/>
  </w:num>
  <w:num w:numId="13" w16cid:durableId="182014034">
    <w:abstractNumId w:val="3"/>
  </w:num>
  <w:num w:numId="14" w16cid:durableId="812215004">
    <w:abstractNumId w:val="3"/>
  </w:num>
  <w:num w:numId="15" w16cid:durableId="1161769393">
    <w:abstractNumId w:val="2"/>
  </w:num>
  <w:num w:numId="16" w16cid:durableId="190150188">
    <w:abstractNumId w:val="2"/>
  </w:num>
  <w:num w:numId="17" w16cid:durableId="942031521">
    <w:abstractNumId w:val="1"/>
  </w:num>
  <w:num w:numId="18" w16cid:durableId="1760634297">
    <w:abstractNumId w:val="1"/>
  </w:num>
  <w:num w:numId="19" w16cid:durableId="1572351920">
    <w:abstractNumId w:val="0"/>
  </w:num>
  <w:num w:numId="20" w16cid:durableId="1115516399">
    <w:abstractNumId w:val="0"/>
  </w:num>
  <w:num w:numId="21" w16cid:durableId="2006319942">
    <w:abstractNumId w:val="9"/>
  </w:num>
  <w:num w:numId="22" w16cid:durableId="2003001494">
    <w:abstractNumId w:val="7"/>
  </w:num>
  <w:num w:numId="23" w16cid:durableId="1266881369">
    <w:abstractNumId w:val="6"/>
  </w:num>
  <w:num w:numId="24" w16cid:durableId="1948730799">
    <w:abstractNumId w:val="5"/>
  </w:num>
  <w:num w:numId="25" w16cid:durableId="955600182">
    <w:abstractNumId w:val="4"/>
  </w:num>
  <w:num w:numId="26" w16cid:durableId="535777865">
    <w:abstractNumId w:val="8"/>
  </w:num>
  <w:num w:numId="27" w16cid:durableId="940417">
    <w:abstractNumId w:val="3"/>
  </w:num>
  <w:num w:numId="28" w16cid:durableId="1746025847">
    <w:abstractNumId w:val="2"/>
  </w:num>
  <w:num w:numId="29" w16cid:durableId="141427227">
    <w:abstractNumId w:val="1"/>
  </w:num>
  <w:num w:numId="30" w16cid:durableId="602684725">
    <w:abstractNumId w:val="0"/>
  </w:num>
  <w:num w:numId="31" w16cid:durableId="1691491021">
    <w:abstractNumId w:val="9"/>
  </w:num>
  <w:num w:numId="32" w16cid:durableId="2096779471">
    <w:abstractNumId w:val="7"/>
  </w:num>
  <w:num w:numId="33" w16cid:durableId="211617475">
    <w:abstractNumId w:val="6"/>
  </w:num>
  <w:num w:numId="34" w16cid:durableId="481312383">
    <w:abstractNumId w:val="5"/>
  </w:num>
  <w:num w:numId="35" w16cid:durableId="1952394208">
    <w:abstractNumId w:val="4"/>
  </w:num>
  <w:num w:numId="36" w16cid:durableId="1884170359">
    <w:abstractNumId w:val="8"/>
  </w:num>
  <w:num w:numId="37" w16cid:durableId="2038387228">
    <w:abstractNumId w:val="3"/>
  </w:num>
  <w:num w:numId="38" w16cid:durableId="1029336978">
    <w:abstractNumId w:val="2"/>
  </w:num>
  <w:num w:numId="39" w16cid:durableId="2049447313">
    <w:abstractNumId w:val="1"/>
  </w:num>
  <w:num w:numId="40" w16cid:durableId="161601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AUTHORMNU" w:val=" 1"/>
    <w:docVar w:name="CIT1MNU" w:val=" 4"/>
    <w:docVar w:name="CIT2MNU" w:val=" 4"/>
    <w:docVar w:name="CIT3MNU" w:val=" 4"/>
    <w:docVar w:name="COMKEY" w:val="LIBE"/>
    <w:docVar w:name="CONSENTMNU" w:val=" 1"/>
    <w:docVar w:name="CONTRIBUTIONMNU" w:val=" 2"/>
    <w:docVar w:name="DOCDT" w:val="08/06/2026"/>
    <w:docVar w:name="LastEditedSection" w:val=" 1"/>
    <w:docVar w:name="NVAR1" w:val="0"/>
    <w:docVar w:name="strDocTypeID" w:val="PR_NLE-AP_Agreement"/>
    <w:docVar w:name="strSubDir" w:val="1345"/>
    <w:docVar w:name="TITLEMNU" w:val=" 2"/>
    <w:docVar w:name="TXTAUTHOR" w:val="Jaroslav Bžoch"/>
    <w:docVar w:name="TXTLANGUE" w:val="CS"/>
    <w:docVar w:name="TXTLANGUEMIN" w:val="cs"/>
    <w:docVar w:name="TXTNRC" w:val="0077/2026"/>
    <w:docVar w:name="TXTNRCOUNC" w:val="05312/2026"/>
    <w:docVar w:name="TXTNRNLE" w:val="2025/0343"/>
    <w:docVar w:name="TXTNRPE" w:val="789.883"/>
    <w:docVar w:name="TXTPEorAP" w:val="PE"/>
    <w:docVar w:name="TXTROUTE" w:val="PR\1345305CS.docx"/>
    <w:docVar w:name="TXTVERSION" w:val="01-00"/>
  </w:docVars>
  <w:rsids>
    <w:rsidRoot w:val="005459EA"/>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21D0E"/>
    <w:rsid w:val="00337C92"/>
    <w:rsid w:val="00363B94"/>
    <w:rsid w:val="003B598C"/>
    <w:rsid w:val="003C0507"/>
    <w:rsid w:val="004174FC"/>
    <w:rsid w:val="00460BD6"/>
    <w:rsid w:val="004859B3"/>
    <w:rsid w:val="004C083C"/>
    <w:rsid w:val="004E1650"/>
    <w:rsid w:val="005027B1"/>
    <w:rsid w:val="0053367A"/>
    <w:rsid w:val="00544D48"/>
    <w:rsid w:val="005459EA"/>
    <w:rsid w:val="005877C0"/>
    <w:rsid w:val="005A6B14"/>
    <w:rsid w:val="005D0B97"/>
    <w:rsid w:val="005F5D6C"/>
    <w:rsid w:val="006132CE"/>
    <w:rsid w:val="00613F2E"/>
    <w:rsid w:val="006626B5"/>
    <w:rsid w:val="006A1A75"/>
    <w:rsid w:val="006A2CF5"/>
    <w:rsid w:val="006F1B6F"/>
    <w:rsid w:val="00791637"/>
    <w:rsid w:val="0080122F"/>
    <w:rsid w:val="00822206"/>
    <w:rsid w:val="008368CB"/>
    <w:rsid w:val="0085501C"/>
    <w:rsid w:val="00863309"/>
    <w:rsid w:val="00893FBD"/>
    <w:rsid w:val="008A6B96"/>
    <w:rsid w:val="008B75A4"/>
    <w:rsid w:val="008D23C6"/>
    <w:rsid w:val="008D3030"/>
    <w:rsid w:val="008E3848"/>
    <w:rsid w:val="00924EE0"/>
    <w:rsid w:val="009612AA"/>
    <w:rsid w:val="009C17E7"/>
    <w:rsid w:val="009E39A7"/>
    <w:rsid w:val="00A415B7"/>
    <w:rsid w:val="00AD5D0C"/>
    <w:rsid w:val="00B11B1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26398"/>
    <w:rsid w:val="00D62DA0"/>
    <w:rsid w:val="00D6543C"/>
    <w:rsid w:val="00DF594D"/>
    <w:rsid w:val="00E14FEE"/>
    <w:rsid w:val="00E71368"/>
    <w:rsid w:val="00E865D8"/>
    <w:rsid w:val="00E93816"/>
    <w:rsid w:val="00EA59ED"/>
    <w:rsid w:val="00EF48F2"/>
    <w:rsid w:val="00F04010"/>
    <w:rsid w:val="00FA0746"/>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A29F7"/>
  <w15:chartTrackingRefBased/>
  <w15:docId w15:val="{765C25D7-5662-4E1B-A2EB-A9D987DE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6626B5"/>
    <w:pPr>
      <w:tabs>
        <w:tab w:val="right" w:pos="454"/>
        <w:tab w:val="left" w:pos="737"/>
      </w:tabs>
      <w:ind w:left="737" w:hanging="737"/>
    </w:pPr>
    <w:rPr>
      <w:snapToGrid w:val="0"/>
      <w:sz w:val="18"/>
      <w:lang w:eastAsia="en-US"/>
    </w:rPr>
  </w:style>
  <w:style w:type="paragraph" w:customStyle="1" w:styleId="Lgendetitre">
    <w:name w:val="Légende titre"/>
    <w:basedOn w:val="Normal"/>
    <w:rsid w:val="006626B5"/>
    <w:pPr>
      <w:spacing w:before="240" w:after="240"/>
    </w:pPr>
    <w:rPr>
      <w:b/>
      <w:i/>
      <w:snapToGrid w:val="0"/>
      <w:lang w:eastAsia="en-US"/>
    </w:rPr>
  </w:style>
  <w:style w:type="paragraph" w:customStyle="1" w:styleId="Lgendestandard">
    <w:name w:val="Légende standard"/>
    <w:basedOn w:val="Normal"/>
    <w:rsid w:val="006626B5"/>
    <w:rPr>
      <w:sz w:val="18"/>
    </w:rPr>
  </w:style>
  <w:style w:type="paragraph" w:styleId="Footer">
    <w:name w:val="footer"/>
    <w:basedOn w:val="Normal"/>
    <w:link w:val="FooterChar"/>
    <w:semiHidden/>
    <w:rsid w:val="009C17E7"/>
    <w:pPr>
      <w:tabs>
        <w:tab w:val="center" w:pos="4513"/>
        <w:tab w:val="right" w:pos="9026"/>
      </w:tabs>
    </w:pPr>
  </w:style>
  <w:style w:type="character" w:customStyle="1" w:styleId="FooterChar">
    <w:name w:val="Footer Char"/>
    <w:basedOn w:val="DefaultParagraphFont"/>
    <w:link w:val="Footer"/>
    <w:semiHidden/>
    <w:rsid w:val="009C17E7"/>
    <w:rPr>
      <w:sz w:val="24"/>
      <w:lang w:val="cs-CZ"/>
    </w:rPr>
  </w:style>
  <w:style w:type="paragraph" w:customStyle="1" w:styleId="Normal24a">
    <w:name w:val="Normal24a"/>
    <w:basedOn w:val="Normal"/>
    <w:rsid w:val="00FA0746"/>
    <w:pPr>
      <w:spacing w:after="480"/>
    </w:pPr>
  </w:style>
  <w:style w:type="paragraph" w:customStyle="1" w:styleId="NormalBoldCenter">
    <w:name w:val="NormalBoldCenter"/>
    <w:basedOn w:val="Normal"/>
    <w:rsid w:val="00FA0746"/>
    <w:pPr>
      <w:jc w:val="center"/>
    </w:pPr>
    <w:rPr>
      <w:b/>
    </w:rPr>
  </w:style>
  <w:style w:type="paragraph" w:customStyle="1" w:styleId="Footprint12b">
    <w:name w:val="Footprint12b"/>
    <w:basedOn w:val="Normal"/>
    <w:rsid w:val="00FA0746"/>
    <w:pPr>
      <w:spacing w:before="240"/>
    </w:pPr>
    <w:rPr>
      <w:szCs w:val="24"/>
    </w:rPr>
  </w:style>
  <w:style w:type="paragraph" w:customStyle="1" w:styleId="NormalSingle">
    <w:name w:val="NormalSingle"/>
    <w:basedOn w:val="Normal"/>
    <w:qFormat/>
    <w:rsid w:val="00FA0746"/>
    <w:rPr>
      <w:szCs w:val="24"/>
    </w:rPr>
  </w:style>
  <w:style w:type="paragraph" w:styleId="FootnoteText">
    <w:name w:val="footnote text"/>
    <w:basedOn w:val="Normal"/>
    <w:link w:val="FootnoteTextChar"/>
    <w:rsid w:val="00FA0746"/>
    <w:rPr>
      <w:sz w:val="20"/>
    </w:rPr>
  </w:style>
  <w:style w:type="character" w:customStyle="1" w:styleId="FootnoteTextChar">
    <w:name w:val="Footnote Text Char"/>
    <w:basedOn w:val="DefaultParagraphFont"/>
    <w:link w:val="FootnoteText"/>
    <w:rsid w:val="00FA0746"/>
    <w:rPr>
      <w:lang w:val="cs-CZ"/>
    </w:rPr>
  </w:style>
  <w:style w:type="character" w:styleId="FootnoteReference">
    <w:name w:val="footnote reference"/>
    <w:basedOn w:val="DefaultParagraphFont"/>
    <w:rsid w:val="00FA0746"/>
    <w:rPr>
      <w:vertAlign w:val="superscript"/>
    </w:rPr>
  </w:style>
  <w:style w:type="character" w:styleId="Hyperlink">
    <w:name w:val="Hyperlink"/>
    <w:basedOn w:val="DefaultParagraphFont"/>
    <w:rsid w:val="00FA0746"/>
    <w:rPr>
      <w:color w:val="0563C1" w:themeColor="hyperlink"/>
      <w:u w:val="single"/>
    </w:rPr>
  </w:style>
  <w:style w:type="character" w:styleId="UnresolvedMention">
    <w:name w:val="Unresolved Mention"/>
    <w:basedOn w:val="DefaultParagraphFont"/>
    <w:uiPriority w:val="99"/>
    <w:semiHidden/>
    <w:unhideWhenUsed/>
    <w:rsid w:val="00FA0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844</Words>
  <Characters>5287</Characters>
  <Application>Microsoft Office Word</Application>
  <DocSecurity>0</DocSecurity>
  <Lines>125</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SOCHOROVA Lenka</dc:creator>
  <cp:keywords/>
  <cp:lastModifiedBy>OSLADILOVA Jana</cp:lastModifiedBy>
  <cp:revision>2</cp:revision>
  <cp:lastPrinted>2002-12-11T09:25:00Z</cp:lastPrinted>
  <dcterms:created xsi:type="dcterms:W3CDTF">2026-06-19T09:23:00Z</dcterms:created>
  <dcterms:modified xsi:type="dcterms:W3CDTF">2026-06-19T09:23:00Z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1345305</vt:lpwstr>
  </property>
  <property fmtid="{D5CDD505-2E9C-101B-9397-08002B2CF9AE}" pid="6" name="&lt;Type&gt;">
    <vt:lpwstr>PR</vt:lpwstr>
  </property>
  <property fmtid="{D5CDD505-2E9C-101B-9397-08002B2CF9AE}" pid="7" name="&lt;ModelCod&gt;">
    <vt:lpwstr>\\eiciLUXpr1\pdocep$\DocEP\DOCS\General\PR\PR_Leg\NLE\PR_NLE-AP_Agreement.dotx(12/08/2024 17:05:00)</vt:lpwstr>
  </property>
  <property fmtid="{D5CDD505-2E9C-101B-9397-08002B2CF9AE}" pid="8" name="&lt;ModelTra&gt;">
    <vt:lpwstr>\\eiciLUXpr1\pdocep$\DocEP\TRANSFIL\CS\PR_NLE-AP_Agreement.CS(07/10/2024 16:33:02)</vt:lpwstr>
  </property>
  <property fmtid="{D5CDD505-2E9C-101B-9397-08002B2CF9AE}" pid="9" name="&lt;Model&gt;">
    <vt:lpwstr>PR_NLE-AP_Agreement</vt:lpwstr>
  </property>
  <property fmtid="{D5CDD505-2E9C-101B-9397-08002B2CF9AE}" pid="10" name="FooterPath">
    <vt:lpwstr>PR\1345305CS.docx</vt:lpwstr>
  </property>
  <property fmtid="{D5CDD505-2E9C-101B-9397-08002B2CF9AE}" pid="11" name="PE number">
    <vt:lpwstr>789.883</vt:lpwstr>
  </property>
  <property fmtid="{D5CDD505-2E9C-101B-9397-08002B2CF9AE}" pid="12" name="RegistreCheck">
    <vt:lpwstr>OK</vt:lpwstr>
  </property>
  <property fmtid="{D5CDD505-2E9C-101B-9397-08002B2CF9AE}" pid="13" name="Bookout">
    <vt:lpwstr>OK - 2026/06/19 11:23</vt:lpwstr>
  </property>
  <property fmtid="{D5CDD505-2E9C-101B-9397-08002B2CF9AE}" pid="14" name="SDLStudio">
    <vt:lpwstr/>
  </property>
</Properties>
</file>