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tbl>
      <w:tblPr>
        <w:tblW w:w="9072" w:type="dxa"/>
        <w:tblCellMar>
          <w:left w:w="0" w:type="dxa"/>
          <w:right w:w="0" w:type="dxa"/>
        </w:tblCellMar>
        <w:tblLook w:val="01E0"/>
      </w:tblPr>
      <w:tblGrid>
        <w:gridCol w:w="6804"/>
        <w:gridCol w:w="2268"/>
      </w:tblGrid>
      <w:tr w14:paraId="06F2F70A" w14:textId="77777777" w:rsidTr="00C85D0F">
        <w:tblPrEx>
          <w:tblW w:w="9072" w:type="dxa"/>
          <w:tblCellMar>
            <w:left w:w="0" w:type="dxa"/>
            <w:right w:w="0" w:type="dxa"/>
          </w:tblCellMar>
          <w:tblLook w:val="01E0"/>
        </w:tblPrEx>
        <w:trPr>
          <w:trHeight w:hRule="exact" w:val="1418"/>
        </w:trPr>
        <w:tc>
          <w:tcPr>
            <w:tcW w:w="6804" w:type="dxa"/>
            <w:vAlign w:val="center"/>
          </w:tcPr>
          <w:p w:rsidR="00C05DD8" w:rsidRPr="004350C2" w:rsidP="00C85D0F" w14:paraId="5EF7AB59" w14:textId="77777777">
            <w:pPr>
              <w:pStyle w:val="EPName"/>
            </w:pPr>
            <w:bookmarkStart w:id="0" w:name="iStart"/>
            <w:bookmarkEnd w:id="0"/>
            <w:r w:rsidRPr="004350C2">
              <w:t>European Parliament</w:t>
            </w:r>
          </w:p>
          <w:p w:rsidR="00C05DD8" w:rsidRPr="004350C2" w:rsidP="00C85D0F" w14:paraId="5E755B15" w14:textId="05F05260">
            <w:pPr>
              <w:pStyle w:val="EPTerm"/>
            </w:pPr>
            <w:r w:rsidRPr="004350C2">
              <w:t>2024-2029</w:t>
            </w:r>
          </w:p>
        </w:tc>
        <w:tc>
          <w:tcPr>
            <w:tcW w:w="2268" w:type="dxa"/>
          </w:tcPr>
          <w:p w:rsidR="00C05DD8" w:rsidRPr="004350C2" w:rsidP="00C85D0F" w14:paraId="57342818" w14:textId="77777777">
            <w:pPr>
              <w:pStyle w:val="EPLogo"/>
            </w:pPr>
            <w:r w:rsidRPr="004350C2">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4438007"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9612AA" w:rsidRPr="004350C2" w:rsidP="009612AA" w14:paraId="31FBF7B3" w14:textId="77777777">
      <w:pPr>
        <w:pStyle w:val="LineTop"/>
      </w:pPr>
    </w:p>
    <w:p w:rsidR="009612AA" w:rsidRPr="004350C2" w:rsidP="009612AA" w14:paraId="2A5A694B" w14:textId="404CAD64">
      <w:pPr>
        <w:pStyle w:val="EPBody"/>
      </w:pPr>
      <w:r w:rsidRPr="004350C2">
        <w:rPr>
          <w:rStyle w:val="HideTWBExt"/>
        </w:rPr>
        <w:t>&lt;</w:t>
      </w:r>
      <w:r w:rsidRPr="004350C2">
        <w:rPr>
          <w:rStyle w:val="HideTWBExt"/>
          <w:i w:val="0"/>
        </w:rPr>
        <w:t>Commission</w:t>
      </w:r>
      <w:r w:rsidRPr="004350C2">
        <w:rPr>
          <w:rStyle w:val="HideTWBExt"/>
        </w:rPr>
        <w:t>&gt;</w:t>
      </w:r>
      <w:r w:rsidRPr="004350C2" w:rsidR="0064013B">
        <w:rPr>
          <w:rStyle w:val="HideTWBInt"/>
        </w:rPr>
        <w:t>{LIBE}</w:t>
      </w:r>
      <w:r w:rsidRPr="004350C2" w:rsidR="0064013B">
        <w:t>Committee on Civil Liberties, Justice and Home Affairs</w:t>
      </w:r>
      <w:r w:rsidRPr="004350C2">
        <w:rPr>
          <w:rStyle w:val="HideTWBExt"/>
        </w:rPr>
        <w:t>&lt;/</w:t>
      </w:r>
      <w:r w:rsidRPr="004350C2">
        <w:rPr>
          <w:rStyle w:val="HideTWBExt"/>
          <w:i w:val="0"/>
        </w:rPr>
        <w:t>Commission</w:t>
      </w:r>
      <w:r w:rsidRPr="004350C2">
        <w:rPr>
          <w:rStyle w:val="HideTWBExt"/>
        </w:rPr>
        <w:t>&gt;</w:t>
      </w:r>
    </w:p>
    <w:p w:rsidR="009612AA" w:rsidRPr="004350C2" w:rsidP="009612AA" w14:paraId="69861EDC" w14:textId="77777777">
      <w:pPr>
        <w:pStyle w:val="LineBottom"/>
      </w:pPr>
    </w:p>
    <w:p w:rsidR="00363B94" w:rsidRPr="004350C2" w14:paraId="595ADC1A" w14:textId="1FBEB0CC">
      <w:pPr>
        <w:pStyle w:val="CoverReference"/>
      </w:pPr>
      <w:r w:rsidRPr="004350C2">
        <w:rPr>
          <w:rStyle w:val="HideTWBExt"/>
          <w:b w:val="0"/>
        </w:rPr>
        <w:t>&lt;RefProc&gt;</w:t>
      </w:r>
      <w:r w:rsidRPr="004350C2" w:rsidR="0064013B">
        <w:t>202</w:t>
      </w:r>
      <w:r w:rsidRPr="004350C2" w:rsidR="000755F6">
        <w:t>6</w:t>
      </w:r>
      <w:r w:rsidRPr="004350C2" w:rsidR="0064013B">
        <w:t>/015</w:t>
      </w:r>
      <w:r w:rsidRPr="004350C2" w:rsidR="000755F6">
        <w:t>2</w:t>
      </w:r>
      <w:r w:rsidRPr="004350C2">
        <w:rPr>
          <w:rStyle w:val="HideTWBExt"/>
          <w:b w:val="0"/>
        </w:rPr>
        <w:t>&lt;/RefProc&gt;&lt;RefTypeProc&gt;</w:t>
      </w:r>
      <w:r w:rsidRPr="004350C2">
        <w:t>(</w:t>
      </w:r>
      <w:r w:rsidRPr="004350C2" w:rsidR="004174FC">
        <w:t>NLE</w:t>
      </w:r>
      <w:r w:rsidRPr="004350C2">
        <w:t>)</w:t>
      </w:r>
      <w:r w:rsidRPr="004350C2">
        <w:rPr>
          <w:rStyle w:val="HideTWBExt"/>
          <w:b w:val="0"/>
        </w:rPr>
        <w:t>&lt;/RefTypeProc&gt;</w:t>
      </w:r>
    </w:p>
    <w:p w:rsidR="00363B94" w:rsidRPr="004350C2" w14:paraId="0DBAA6CB" w14:textId="779E7029">
      <w:pPr>
        <w:pStyle w:val="CoverDate"/>
        <w:rPr>
          <w:lang w:val="fr-BE"/>
        </w:rPr>
      </w:pPr>
      <w:r w:rsidRPr="004350C2">
        <w:rPr>
          <w:rStyle w:val="HideTWBExt"/>
          <w:lang w:val="fr-BE"/>
        </w:rPr>
        <w:t>&lt;Date&gt;</w:t>
      </w:r>
      <w:r w:rsidRPr="004350C2" w:rsidR="0064013B">
        <w:rPr>
          <w:rStyle w:val="HideTWBInt"/>
          <w:lang w:val="fr-BE"/>
        </w:rPr>
        <w:t>{12/02/2026}</w:t>
      </w:r>
      <w:r w:rsidRPr="004350C2" w:rsidR="00D80C1A">
        <w:rPr>
          <w:lang w:val="fr-BE"/>
        </w:rPr>
        <w:t>16</w:t>
      </w:r>
      <w:r w:rsidRPr="004350C2" w:rsidR="0064013B">
        <w:rPr>
          <w:lang w:val="fr-BE"/>
        </w:rPr>
        <w:t>.</w:t>
      </w:r>
      <w:r w:rsidRPr="004350C2" w:rsidR="00D80C1A">
        <w:rPr>
          <w:lang w:val="fr-BE"/>
        </w:rPr>
        <w:t>1</w:t>
      </w:r>
      <w:r w:rsidRPr="004350C2" w:rsidR="000755F6">
        <w:rPr>
          <w:lang w:val="fr-BE"/>
        </w:rPr>
        <w:t>0</w:t>
      </w:r>
      <w:r w:rsidRPr="004350C2" w:rsidR="0064013B">
        <w:rPr>
          <w:lang w:val="fr-BE"/>
        </w:rPr>
        <w:t>.2026</w:t>
      </w:r>
      <w:r w:rsidRPr="004350C2">
        <w:rPr>
          <w:rStyle w:val="HideTWBExt"/>
          <w:lang w:val="fr-BE"/>
        </w:rPr>
        <w:t>&lt;/Date&gt;</w:t>
      </w:r>
    </w:p>
    <w:p w:rsidR="00363B94" w:rsidRPr="004350C2" w14:paraId="4C9D68F3" w14:textId="77777777">
      <w:pPr>
        <w:pStyle w:val="CoverDocType"/>
        <w:rPr>
          <w:lang w:val="fr-BE"/>
        </w:rPr>
      </w:pPr>
      <w:r w:rsidRPr="004350C2">
        <w:rPr>
          <w:rStyle w:val="HideTWBExt"/>
          <w:b w:val="0"/>
          <w:lang w:val="fr-BE"/>
        </w:rPr>
        <w:t>&lt;RefProcLect&gt;</w:t>
      </w:r>
      <w:r w:rsidRPr="004350C2">
        <w:rPr>
          <w:lang w:val="fr-BE"/>
        </w:rPr>
        <w:t>***</w:t>
      </w:r>
      <w:r w:rsidRPr="004350C2">
        <w:rPr>
          <w:rStyle w:val="HideTWBExt"/>
          <w:b w:val="0"/>
          <w:lang w:val="fr-BE"/>
        </w:rPr>
        <w:t>&lt;/RefProcLect&gt;</w:t>
      </w:r>
    </w:p>
    <w:p w:rsidR="00363B94" w:rsidRPr="004350C2" w14:paraId="4DD01CC0" w14:textId="77777777">
      <w:pPr>
        <w:pStyle w:val="CoverDocType24a"/>
        <w:rPr>
          <w:lang w:val="fr-BE"/>
        </w:rPr>
      </w:pPr>
      <w:r w:rsidRPr="004350C2">
        <w:rPr>
          <w:rStyle w:val="HideTWBExt"/>
          <w:b w:val="0"/>
          <w:lang w:val="fr-BE"/>
        </w:rPr>
        <w:t>&lt;TitreType&gt;</w:t>
      </w:r>
      <w:r w:rsidRPr="004350C2" w:rsidR="006D3D89">
        <w:rPr>
          <w:lang w:val="fr-BE"/>
        </w:rPr>
        <w:t>DRAFT RECOMMENDATION</w:t>
      </w:r>
      <w:r w:rsidRPr="004350C2">
        <w:rPr>
          <w:rStyle w:val="HideTWBExt"/>
          <w:b w:val="0"/>
          <w:lang w:val="fr-BE"/>
        </w:rPr>
        <w:t>&lt;/TitreType&gt;</w:t>
      </w:r>
    </w:p>
    <w:p w:rsidR="00363B94" w:rsidRPr="004350C2" w14:paraId="43EBCFDC" w14:textId="67181F99">
      <w:pPr>
        <w:pStyle w:val="CoverNormal"/>
      </w:pPr>
      <w:r w:rsidRPr="004350C2">
        <w:rPr>
          <w:rStyle w:val="HideTWBExt"/>
        </w:rPr>
        <w:t>&lt;Titre&gt;</w:t>
      </w:r>
      <w:r w:rsidRPr="004350C2" w:rsidR="004F2EC0">
        <w:t>on the draft Council decision on the conclusion, on behalf of the European Union, of the Protocol amending the Council of Europe Convention on the Prevention of Terrorism</w:t>
      </w:r>
      <w:r w:rsidRPr="004350C2">
        <w:rPr>
          <w:rStyle w:val="HideTWBExt"/>
        </w:rPr>
        <w:t>&lt;/Titre&gt;</w:t>
      </w:r>
    </w:p>
    <w:p w:rsidR="00363B94" w:rsidRPr="004350C2" w14:paraId="48920A28" w14:textId="6A7422B8">
      <w:pPr>
        <w:pStyle w:val="CoverNormal24a"/>
      </w:pPr>
      <w:r w:rsidRPr="004350C2">
        <w:rPr>
          <w:rStyle w:val="HideTWBExt"/>
        </w:rPr>
        <w:t>&lt;DocRef&gt;</w:t>
      </w:r>
      <w:r w:rsidRPr="004350C2" w:rsidR="006D3D89">
        <w:t>(</w:t>
      </w:r>
      <w:r w:rsidRPr="004350C2" w:rsidR="000755F6">
        <w:t xml:space="preserve">08562/2026 </w:t>
      </w:r>
      <w:r w:rsidRPr="004350C2" w:rsidR="0064013B">
        <w:t>–</w:t>
      </w:r>
      <w:r w:rsidRPr="004350C2" w:rsidR="006D3D89">
        <w:t xml:space="preserve"> </w:t>
      </w:r>
      <w:r w:rsidRPr="004350C2" w:rsidR="00D80C1A">
        <w:t xml:space="preserve">C10-0137/2026 </w:t>
      </w:r>
      <w:r w:rsidRPr="004350C2" w:rsidR="0064013B">
        <w:t>–</w:t>
      </w:r>
      <w:r w:rsidRPr="004350C2" w:rsidR="006D3D89">
        <w:t xml:space="preserve"> </w:t>
      </w:r>
      <w:r w:rsidRPr="004350C2" w:rsidR="0064013B">
        <w:t>202</w:t>
      </w:r>
      <w:r w:rsidRPr="004350C2" w:rsidR="000755F6">
        <w:t>6</w:t>
      </w:r>
      <w:r w:rsidRPr="004350C2" w:rsidR="0064013B">
        <w:t>/015</w:t>
      </w:r>
      <w:r w:rsidRPr="004350C2" w:rsidR="000755F6">
        <w:t>2</w:t>
      </w:r>
      <w:r w:rsidRPr="004350C2" w:rsidR="006D3D89">
        <w:t>(NLE))</w:t>
      </w:r>
      <w:r w:rsidRPr="004350C2">
        <w:rPr>
          <w:rStyle w:val="HideTWBExt"/>
        </w:rPr>
        <w:t>&lt;/DocRef&gt;</w:t>
      </w:r>
    </w:p>
    <w:p w:rsidR="00363B94" w:rsidRPr="004350C2" w14:paraId="259C7534" w14:textId="3463A760">
      <w:pPr>
        <w:pStyle w:val="CoverNormal24a"/>
      </w:pPr>
      <w:r w:rsidRPr="004350C2">
        <w:rPr>
          <w:rStyle w:val="HideTWBExt"/>
        </w:rPr>
        <w:t>&lt;Commission&gt;</w:t>
      </w:r>
      <w:r w:rsidRPr="004350C2" w:rsidR="0064013B">
        <w:rPr>
          <w:rStyle w:val="HideTWBInt"/>
        </w:rPr>
        <w:t>{LIBE}</w:t>
      </w:r>
      <w:r w:rsidRPr="004350C2" w:rsidR="0064013B">
        <w:t>Committee on Civil Liberties, Justice and Home Affairs</w:t>
      </w:r>
      <w:r w:rsidRPr="004350C2">
        <w:rPr>
          <w:rStyle w:val="HideTWBExt"/>
        </w:rPr>
        <w:t>&lt;/Commission&gt;</w:t>
      </w:r>
    </w:p>
    <w:p w:rsidR="00363B94" w:rsidRPr="004350C2" w14:paraId="7E49091B" w14:textId="0F0A789D">
      <w:pPr>
        <w:pStyle w:val="CoverNormal24a"/>
      </w:pPr>
      <w:r w:rsidRPr="004350C2">
        <w:t>Rapporteur:</w:t>
      </w:r>
      <w:r w:rsidRPr="004350C2" w:rsidR="000755F6">
        <w:t xml:space="preserve"> </w:t>
      </w:r>
      <w:r w:rsidRPr="004350C2">
        <w:rPr>
          <w:rStyle w:val="HideTWBExt"/>
        </w:rPr>
        <w:t>&lt;Depute&gt;</w:t>
      </w:r>
      <w:r w:rsidRPr="004350C2" w:rsidR="00AD2965">
        <w:t>Fabrice Leggeri</w:t>
      </w:r>
      <w:r w:rsidRPr="004350C2">
        <w:rPr>
          <w:rStyle w:val="HideTWBExt"/>
        </w:rPr>
        <w:t>&lt;/Depute&gt;</w:t>
      </w:r>
    </w:p>
    <w:p w:rsidR="00B42885" w:rsidRPr="004350C2" w:rsidP="00B42885" w14:paraId="52EF3A02" w14:textId="77777777">
      <w:pPr>
        <w:pStyle w:val="CoverNormal"/>
      </w:pPr>
    </w:p>
    <w:p w:rsidR="0064013B" w:rsidRPr="004350C2" w:rsidP="00016E55" w14:paraId="6091B35F" w14:textId="435BBA4C">
      <w:r w:rsidRPr="004350C2">
        <w:br w:type="page"/>
      </w:r>
      <w:r w:rsidRPr="004350C2">
        <w:fldChar w:fldCharType="begin"/>
      </w:r>
      <w:r w:rsidRPr="004350C2">
        <w:instrText xml:space="preserve"> TITLE  \* MERGEFORMAT </w:instrText>
      </w:r>
      <w:r w:rsidRPr="004350C2">
        <w:fldChar w:fldCharType="separate"/>
      </w:r>
      <w:r w:rsidR="00B47870">
        <w:t>PR_NLE-AP_Agreement</w:t>
      </w:r>
      <w:r w:rsidRPr="004350C2">
        <w:fldChar w:fldCharType="end"/>
      </w:r>
    </w:p>
    <w:p w:rsidR="0064013B" w:rsidRPr="004350C2" w:rsidP="00016E55" w14:paraId="509B2D03" w14:textId="77777777"/>
    <w:p w:rsidR="0064013B" w:rsidRPr="004350C2" w:rsidP="00016E55" w14:paraId="6C1A9C56" w14:textId="77777777"/>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tblPr>
      <w:tblGrid>
        <w:gridCol w:w="5811"/>
      </w:tblGrid>
      <w:tr w14:paraId="329E98E3" w14:textId="77777777">
        <w:tblPrEx>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tblPrEx>
        <w:tc>
          <w:tcPr>
            <w:tcW w:w="5811" w:type="dxa"/>
          </w:tcPr>
          <w:p w:rsidR="0064013B" w:rsidRPr="004350C2" w:rsidP="00016E55" w14:paraId="53EC7DB0" w14:textId="77777777">
            <w:pPr>
              <w:pStyle w:val="Lgendetitre"/>
            </w:pPr>
            <w:r w:rsidRPr="004350C2">
              <w:t>Symbols for procedures</w:t>
            </w:r>
          </w:p>
        </w:tc>
      </w:tr>
      <w:tr w14:paraId="7BB18916" w14:textId="77777777" w:rsidTr="004247A2">
        <w:tblPrEx>
          <w:tblW w:w="0" w:type="auto"/>
          <w:tblInd w:w="1667" w:type="dxa"/>
          <w:tblLayout w:type="fixed"/>
          <w:tblCellMar>
            <w:left w:w="107" w:type="dxa"/>
            <w:right w:w="107" w:type="dxa"/>
          </w:tblCellMar>
          <w:tblLook w:val="0000"/>
        </w:tblPrEx>
        <w:trPr>
          <w:cantSplit/>
          <w:trHeight w:val="1807"/>
        </w:trPr>
        <w:tc>
          <w:tcPr>
            <w:tcW w:w="5811" w:type="dxa"/>
            <w:tcBorders>
              <w:bottom w:val="single" w:sz="4" w:space="0" w:color="auto"/>
            </w:tcBorders>
          </w:tcPr>
          <w:p w:rsidR="0064013B" w:rsidRPr="004350C2" w:rsidP="00717061" w14:paraId="095C0F0A" w14:textId="77777777">
            <w:pPr>
              <w:pStyle w:val="Lgendesigne"/>
            </w:pPr>
            <w:r w:rsidRPr="004350C2">
              <w:tab/>
              <w:t>*</w:t>
            </w:r>
            <w:r w:rsidRPr="004350C2">
              <w:tab/>
              <w:t>Consultation procedure</w:t>
            </w:r>
          </w:p>
          <w:p w:rsidR="0064013B" w:rsidRPr="004350C2" w:rsidP="00717061" w14:paraId="2BB9AC8E" w14:textId="77777777">
            <w:pPr>
              <w:pStyle w:val="Lgendesigne"/>
            </w:pPr>
            <w:r w:rsidRPr="004350C2">
              <w:tab/>
              <w:t>***</w:t>
            </w:r>
            <w:r w:rsidRPr="004350C2">
              <w:tab/>
              <w:t>Consent procedure</w:t>
            </w:r>
          </w:p>
          <w:p w:rsidR="0064013B" w:rsidRPr="004350C2" w:rsidP="00717061" w14:paraId="0D1D86BA" w14:textId="77777777">
            <w:pPr>
              <w:pStyle w:val="Lgendesigne"/>
            </w:pPr>
            <w:r w:rsidRPr="004350C2">
              <w:tab/>
              <w:t>***I</w:t>
            </w:r>
            <w:r w:rsidRPr="004350C2">
              <w:tab/>
              <w:t>Ordinary legislative procedure (first reading)</w:t>
            </w:r>
          </w:p>
          <w:p w:rsidR="0064013B" w:rsidRPr="004350C2" w:rsidP="00717061" w14:paraId="40C63775" w14:textId="77777777">
            <w:pPr>
              <w:pStyle w:val="Lgendesigne"/>
            </w:pPr>
            <w:r w:rsidRPr="004350C2">
              <w:tab/>
              <w:t>***II</w:t>
            </w:r>
            <w:r w:rsidRPr="004350C2">
              <w:tab/>
              <w:t>Ordinary legislative procedure (second reading)</w:t>
            </w:r>
          </w:p>
          <w:p w:rsidR="0064013B" w:rsidRPr="004350C2" w:rsidP="00717061" w14:paraId="0F4A4B97" w14:textId="77777777">
            <w:pPr>
              <w:pStyle w:val="Lgendesigne"/>
            </w:pPr>
            <w:r w:rsidRPr="004350C2">
              <w:tab/>
              <w:t>***III</w:t>
            </w:r>
            <w:r w:rsidRPr="004350C2">
              <w:tab/>
              <w:t>Ordinary legislative procedure (third reading)</w:t>
            </w:r>
          </w:p>
          <w:p w:rsidR="0064013B" w:rsidRPr="004350C2" w:rsidP="00717061" w14:paraId="3042894B" w14:textId="77777777">
            <w:pPr>
              <w:pStyle w:val="Lgendestandard"/>
            </w:pPr>
          </w:p>
          <w:p w:rsidR="0064013B" w:rsidRPr="004350C2" w:rsidP="00717061" w14:paraId="0399C6E2" w14:textId="77777777">
            <w:pPr>
              <w:pStyle w:val="Lgendestandard"/>
            </w:pPr>
            <w:r w:rsidRPr="004350C2">
              <w:t>(The type of procedure depends on the legal basis proposed by the draft act.)</w:t>
            </w:r>
          </w:p>
          <w:p w:rsidR="0064013B" w:rsidRPr="004350C2" w:rsidP="00B837B7" w14:paraId="3D6F8E44" w14:textId="77777777">
            <w:pPr>
              <w:pStyle w:val="Lgendestandard"/>
            </w:pPr>
          </w:p>
        </w:tc>
      </w:tr>
    </w:tbl>
    <w:p w:rsidR="0064013B" w:rsidRPr="004350C2" w:rsidP="00016E55" w14:paraId="64E50EA5" w14:textId="77777777"/>
    <w:p w:rsidR="00363B94" w:rsidRPr="004350C2" w:rsidP="00613F2E" w14:paraId="3E913977" w14:textId="426FC14F">
      <w:pPr>
        <w:widowControl/>
        <w:tabs>
          <w:tab w:val="center" w:pos="4677"/>
        </w:tabs>
      </w:pPr>
    </w:p>
    <w:p w:rsidR="00363B94" w:rsidRPr="004350C2" w14:paraId="645662CB" w14:textId="77777777">
      <w:pPr>
        <w:pStyle w:val="TOCHeading"/>
        <w:rPr>
          <w:lang w:val="fr-BE"/>
        </w:rPr>
      </w:pPr>
      <w:r w:rsidRPr="004350C2">
        <w:rPr>
          <w:lang w:val="fr-BE"/>
        </w:rPr>
        <w:br w:type="page"/>
      </w:r>
      <w:r w:rsidRPr="004350C2" w:rsidR="006D3D89">
        <w:rPr>
          <w:lang w:val="fr-BE"/>
        </w:rPr>
        <w:t>CONTENTS</w:t>
      </w:r>
    </w:p>
    <w:p w:rsidR="00363B94" w:rsidRPr="004350C2" w14:paraId="6118FA68" w14:textId="77777777">
      <w:pPr>
        <w:pStyle w:val="TOCPage"/>
        <w:rPr>
          <w:lang w:val="fr-BE"/>
        </w:rPr>
      </w:pPr>
      <w:r w:rsidRPr="004350C2">
        <w:rPr>
          <w:lang w:val="fr-BE"/>
        </w:rPr>
        <w:t>Page</w:t>
      </w:r>
    </w:p>
    <w:p w:rsidR="00B47870" w14:paraId="7C04277B" w14:textId="6CFB0454">
      <w:pPr>
        <w:pStyle w:val="TOC1"/>
        <w:tabs>
          <w:tab w:val="right" w:leader="dot" w:pos="9060"/>
        </w:tabs>
        <w:rPr>
          <w:rFonts w:asciiTheme="minorHAnsi" w:eastAsiaTheme="minorEastAsia" w:hAnsiTheme="minorHAnsi" w:cstheme="minorBidi"/>
          <w:noProof/>
          <w:kern w:val="2"/>
          <w:szCs w:val="24"/>
          <w14:ligatures w14:val="standardContextual"/>
        </w:rPr>
      </w:pPr>
      <w:r w:rsidRPr="004350C2">
        <w:fldChar w:fldCharType="begin"/>
      </w:r>
      <w:r w:rsidRPr="004350C2">
        <w:instrText xml:space="preserve"> TOC \t "PageHeading</w:instrText>
      </w:r>
      <w:r w:rsidRPr="004350C2" w:rsidR="00AD2965">
        <w:instrText>;</w:instrText>
      </w:r>
      <w:r w:rsidRPr="004350C2">
        <w:instrText xml:space="preserve">1" </w:instrText>
      </w:r>
      <w:r w:rsidRPr="004350C2">
        <w:fldChar w:fldCharType="separate"/>
      </w:r>
      <w:r>
        <w:rPr>
          <w:noProof/>
        </w:rPr>
        <w:t>DRAFT EUROPEAN PARLIAMENT LEGISLATIVE RESOLUTION</w:t>
      </w:r>
      <w:r>
        <w:rPr>
          <w:noProof/>
        </w:rPr>
        <w:tab/>
      </w:r>
      <w:r>
        <w:rPr>
          <w:noProof/>
        </w:rPr>
        <w:fldChar w:fldCharType="begin"/>
      </w:r>
      <w:r>
        <w:rPr>
          <w:noProof/>
        </w:rPr>
        <w:instrText xml:space="preserve"> PAGEREF _Toc243399178 \h </w:instrText>
      </w:r>
      <w:r>
        <w:rPr>
          <w:noProof/>
        </w:rPr>
        <w:fldChar w:fldCharType="separate"/>
      </w:r>
      <w:r>
        <w:rPr>
          <w:noProof/>
        </w:rPr>
        <w:t>5</w:t>
      </w:r>
      <w:r>
        <w:rPr>
          <w:noProof/>
        </w:rPr>
        <w:fldChar w:fldCharType="end"/>
      </w:r>
    </w:p>
    <w:p w:rsidR="00B47870" w14:paraId="466BA0EE" w14:textId="1A38BAD7">
      <w:pPr>
        <w:pStyle w:val="TOC1"/>
        <w:tabs>
          <w:tab w:val="right" w:leader="dot" w:pos="9060"/>
        </w:tabs>
        <w:rPr>
          <w:rFonts w:asciiTheme="minorHAnsi" w:eastAsiaTheme="minorEastAsia" w:hAnsiTheme="minorHAnsi" w:cstheme="minorBidi"/>
          <w:noProof/>
          <w:kern w:val="2"/>
          <w:szCs w:val="24"/>
          <w14:ligatures w14:val="standardContextual"/>
        </w:rPr>
      </w:pPr>
      <w:r>
        <w:rPr>
          <w:noProof/>
        </w:rPr>
        <w:t>EXPLANATORY STATEMENT</w:t>
      </w:r>
      <w:r>
        <w:rPr>
          <w:noProof/>
        </w:rPr>
        <w:tab/>
      </w:r>
      <w:r>
        <w:rPr>
          <w:noProof/>
        </w:rPr>
        <w:fldChar w:fldCharType="begin"/>
      </w:r>
      <w:r>
        <w:rPr>
          <w:noProof/>
        </w:rPr>
        <w:instrText xml:space="preserve"> PAGEREF _Toc243399179 \h </w:instrText>
      </w:r>
      <w:r>
        <w:rPr>
          <w:noProof/>
        </w:rPr>
        <w:fldChar w:fldCharType="separate"/>
      </w:r>
      <w:r>
        <w:rPr>
          <w:noProof/>
        </w:rPr>
        <w:t>6</w:t>
      </w:r>
      <w:r>
        <w:rPr>
          <w:noProof/>
        </w:rPr>
        <w:fldChar w:fldCharType="end"/>
      </w:r>
    </w:p>
    <w:p w:rsidR="00B47870" w14:paraId="2A099F0F" w14:textId="6679E909">
      <w:pPr>
        <w:pStyle w:val="TOC1"/>
        <w:tabs>
          <w:tab w:val="right" w:leader="dot" w:pos="9060"/>
        </w:tabs>
        <w:rPr>
          <w:rFonts w:asciiTheme="minorHAnsi" w:eastAsiaTheme="minorEastAsia" w:hAnsiTheme="minorHAnsi" w:cstheme="minorBidi"/>
          <w:noProof/>
          <w:kern w:val="2"/>
          <w:szCs w:val="24"/>
          <w14:ligatures w14:val="standardContextual"/>
        </w:rPr>
      </w:pPr>
      <w:r>
        <w:rPr>
          <w:noProof/>
        </w:rPr>
        <w:t>ANNEX: DECLARATION OF INPUT</w:t>
      </w:r>
      <w:r>
        <w:rPr>
          <w:noProof/>
        </w:rPr>
        <w:tab/>
      </w:r>
      <w:r>
        <w:rPr>
          <w:noProof/>
        </w:rPr>
        <w:fldChar w:fldCharType="begin"/>
      </w:r>
      <w:r>
        <w:rPr>
          <w:noProof/>
        </w:rPr>
        <w:instrText xml:space="preserve"> PAGEREF _Toc243399180 \h </w:instrText>
      </w:r>
      <w:r>
        <w:rPr>
          <w:noProof/>
        </w:rPr>
        <w:fldChar w:fldCharType="separate"/>
      </w:r>
      <w:r>
        <w:rPr>
          <w:noProof/>
        </w:rPr>
        <w:t>7</w:t>
      </w:r>
      <w:r>
        <w:rPr>
          <w:noProof/>
        </w:rPr>
        <w:fldChar w:fldCharType="end"/>
      </w:r>
    </w:p>
    <w:p w:rsidR="004E1650" w:rsidRPr="004350C2" w:rsidP="00F04010" w14:paraId="64CFEC81" w14:textId="4E27B8B2">
      <w:r w:rsidRPr="004350C2">
        <w:fldChar w:fldCharType="end"/>
      </w:r>
    </w:p>
    <w:p w:rsidR="00363B94" w:rsidRPr="004350C2" w:rsidP="0006167F" w14:paraId="17B0F21F" w14:textId="77777777">
      <w:pPr>
        <w:pStyle w:val="PageHeading"/>
      </w:pPr>
      <w:r w:rsidRPr="004350C2">
        <w:br w:type="page"/>
      </w:r>
      <w:r w:rsidRPr="004350C2">
        <w:br w:type="page"/>
      </w:r>
      <w:bookmarkStart w:id="1" w:name="_Toc243399178"/>
      <w:r w:rsidRPr="004350C2" w:rsidR="006D3D89">
        <w:t>DRAFT EUROPEAN PARLIAMENT LEGISLATIVE RESOLUTION</w:t>
      </w:r>
      <w:bookmarkEnd w:id="1"/>
    </w:p>
    <w:p w:rsidR="00363B94" w:rsidRPr="004350C2" w14:paraId="7A456042" w14:textId="29375A5F">
      <w:pPr>
        <w:pStyle w:val="NormalBold"/>
      </w:pPr>
      <w:r w:rsidRPr="004350C2">
        <w:t>on the draft Council decision on the conclusion, on behalf of the European Union, of the Protocol amending the Council of Europe Convention on the Prevention of Terrorism</w:t>
      </w:r>
    </w:p>
    <w:p w:rsidR="00363B94" w:rsidRPr="004350C2" w14:paraId="528AAB60" w14:textId="2C28AF04">
      <w:pPr>
        <w:pStyle w:val="NormalBold12a"/>
      </w:pPr>
      <w:r w:rsidRPr="004350C2">
        <w:t>(</w:t>
      </w:r>
      <w:r w:rsidRPr="004350C2" w:rsidR="000755F6">
        <w:t>08562/2026</w:t>
      </w:r>
      <w:r w:rsidRPr="004350C2">
        <w:t xml:space="preserve"> </w:t>
      </w:r>
      <w:r w:rsidRPr="004350C2" w:rsidR="0064013B">
        <w:t>–</w:t>
      </w:r>
      <w:r w:rsidRPr="004350C2">
        <w:t xml:space="preserve"> </w:t>
      </w:r>
      <w:r w:rsidRPr="004350C2" w:rsidR="00D80C1A">
        <w:t xml:space="preserve">C10-0137/2026 </w:t>
      </w:r>
      <w:r w:rsidRPr="004350C2" w:rsidR="0064013B">
        <w:t>–</w:t>
      </w:r>
      <w:r w:rsidRPr="004350C2">
        <w:t xml:space="preserve"> </w:t>
      </w:r>
      <w:r w:rsidRPr="004350C2" w:rsidR="000755F6">
        <w:t>2026/0152(NLE)</w:t>
      </w:r>
      <w:r w:rsidRPr="004350C2">
        <w:t>)</w:t>
      </w:r>
    </w:p>
    <w:p w:rsidR="00363B94" w:rsidRPr="004350C2" w:rsidP="00893FBD" w14:paraId="2CDD7531" w14:textId="77777777">
      <w:pPr>
        <w:pStyle w:val="NormalBold"/>
      </w:pPr>
      <w:r w:rsidRPr="004350C2">
        <w:t>(Consent)</w:t>
      </w:r>
    </w:p>
    <w:p w:rsidR="00363B94" w:rsidRPr="004350C2" w14:paraId="46E5A12E" w14:textId="77777777">
      <w:pPr>
        <w:pStyle w:val="EPComma"/>
      </w:pPr>
      <w:r w:rsidRPr="004350C2">
        <w:rPr>
          <w:i/>
        </w:rPr>
        <w:t>The European Parliament</w:t>
      </w:r>
      <w:r w:rsidRPr="004350C2">
        <w:t>,</w:t>
      </w:r>
    </w:p>
    <w:p w:rsidR="00BF7F55" w:rsidRPr="004350C2" w:rsidP="00BF7F55" w14:paraId="72654D61" w14:textId="3DB75050">
      <w:pPr>
        <w:pStyle w:val="NormalHanging12a"/>
      </w:pPr>
      <w:r w:rsidRPr="004350C2">
        <w:t>–</w:t>
      </w:r>
      <w:r w:rsidRPr="004350C2">
        <w:tab/>
      </w:r>
      <w:r w:rsidRPr="004350C2" w:rsidR="006D3D89">
        <w:t xml:space="preserve">having regard to </w:t>
      </w:r>
      <w:r w:rsidRPr="004350C2" w:rsidR="0064013B">
        <w:t xml:space="preserve">the </w:t>
      </w:r>
      <w:r w:rsidRPr="004350C2" w:rsidR="003421DC">
        <w:t>draft</w:t>
      </w:r>
      <w:r w:rsidRPr="004350C2" w:rsidR="006D3D89">
        <w:t xml:space="preserve"> Council decision (</w:t>
      </w:r>
      <w:r w:rsidRPr="004350C2" w:rsidR="000755F6">
        <w:t>08562/2026</w:t>
      </w:r>
      <w:r w:rsidRPr="004350C2" w:rsidR="006D3D89">
        <w:t>),</w:t>
      </w:r>
    </w:p>
    <w:p w:rsidR="004F2EC0" w:rsidRPr="004350C2" w:rsidP="004F2EC0" w14:paraId="3850496F" w14:textId="60D6CB39">
      <w:pPr>
        <w:pStyle w:val="NormalHanging12a"/>
      </w:pPr>
      <w:r w:rsidRPr="004350C2">
        <w:t>–</w:t>
      </w:r>
      <w:r w:rsidRPr="004350C2">
        <w:tab/>
      </w:r>
      <w:r w:rsidRPr="004350C2">
        <w:t>having regard to the Protocol amending the Council of Europe Convention on the Prevention of Terrorism (08688/2026),</w:t>
      </w:r>
    </w:p>
    <w:p w:rsidR="004F2EC0" w:rsidRPr="004350C2" w:rsidP="004F2EC0" w14:paraId="7B1DF4F2" w14:textId="4ABE79CA">
      <w:pPr>
        <w:pStyle w:val="NormalHanging12a"/>
      </w:pPr>
      <w:r w:rsidRPr="004350C2">
        <w:t>–</w:t>
      </w:r>
      <w:r w:rsidRPr="004350C2">
        <w:tab/>
        <w:t>having regard to the request for consent submitted by the Council in accordance with Article 83(1) and Article 218(6), second subparagraph, point (a), of the Treaty on the Functioning of the European Union (C10-0137/2026),</w:t>
      </w:r>
    </w:p>
    <w:p w:rsidR="004F2EC0" w:rsidRPr="004350C2" w:rsidP="004F2EC0" w14:paraId="474AEF02" w14:textId="77777777">
      <w:pPr>
        <w:pStyle w:val="NormalHanging12a"/>
      </w:pPr>
      <w:r w:rsidRPr="004350C2">
        <w:t>–</w:t>
      </w:r>
      <w:r w:rsidRPr="004350C2">
        <w:tab/>
        <w:t>having regard to Rule 107(1) and (4), and Rule 117(7) of its Rules of Procedure,</w:t>
      </w:r>
    </w:p>
    <w:p w:rsidR="004F2EC0" w:rsidRPr="004350C2" w:rsidP="004F2EC0" w14:paraId="20C00CC0" w14:textId="77777777">
      <w:pPr>
        <w:pStyle w:val="NormalHanging12a"/>
      </w:pPr>
      <w:r w:rsidRPr="004350C2">
        <w:t>–</w:t>
      </w:r>
      <w:r w:rsidRPr="004350C2">
        <w:tab/>
        <w:t>having regard to the recommendation of the Committee on Civil Liberties, Justice and Home Affairs (A10</w:t>
      </w:r>
      <w:r w:rsidRPr="004350C2">
        <w:noBreakHyphen/>
        <w:t>0000/2026),</w:t>
      </w:r>
    </w:p>
    <w:p w:rsidR="004F2EC0" w:rsidRPr="004350C2" w:rsidP="004F2EC0" w14:paraId="02B5E03F" w14:textId="085321A3">
      <w:pPr>
        <w:pStyle w:val="NormalHanging12a"/>
      </w:pPr>
      <w:r w:rsidRPr="004350C2">
        <w:t>1.</w:t>
      </w:r>
      <w:r w:rsidRPr="004350C2">
        <w:tab/>
        <w:t>Gives its consent to the conclusion of the protocol;</w:t>
      </w:r>
    </w:p>
    <w:p w:rsidR="004F2EC0" w:rsidRPr="004350C2" w:rsidP="004F2EC0" w14:paraId="166870BC" w14:textId="77777777">
      <w:pPr>
        <w:pStyle w:val="NormalHanging12a"/>
      </w:pPr>
      <w:r w:rsidRPr="004350C2">
        <w:t>2.</w:t>
      </w:r>
      <w:r w:rsidRPr="004350C2">
        <w:tab/>
        <w:t xml:space="preserve">Instructs its President to forward its position to the Council, the Commission and the governments and parliaments of the Member States and the Council of Europe. </w:t>
      </w:r>
    </w:p>
    <w:p w:rsidR="001D02E3" w:rsidRPr="004350C2" w:rsidP="004F2EC0" w14:paraId="35EEC976" w14:textId="3FB99758">
      <w:pPr>
        <w:pStyle w:val="NormalHanging12a"/>
      </w:pPr>
      <w:r w:rsidRPr="004350C2">
        <w:t xml:space="preserve"> </w:t>
      </w:r>
    </w:p>
    <w:p w:rsidR="00810D7A" w:rsidRPr="004350C2" w:rsidP="00822206" w14:paraId="036F3AFA" w14:textId="77777777">
      <w:pPr>
        <w:sectPr w:rsidSect="004350C2">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titlePg/>
        </w:sectPr>
      </w:pPr>
    </w:p>
    <w:p w:rsidR="00363B94" w:rsidRPr="004350C2" w:rsidP="00810D7A" w14:paraId="17BD6584" w14:textId="770FFE68">
      <w:pPr>
        <w:pStyle w:val="PageHeading"/>
      </w:pPr>
      <w:bookmarkStart w:id="2" w:name="_Toc243399179"/>
      <w:r w:rsidRPr="004350C2">
        <w:t>EXPLANATORY STATEMENT</w:t>
      </w:r>
      <w:bookmarkEnd w:id="2"/>
    </w:p>
    <w:p w:rsidR="009E427C" w:rsidRPr="004350C2" w:rsidP="009E427C" w14:paraId="2A088DA1" w14:textId="2E82563C">
      <w:pPr>
        <w:jc w:val="both"/>
      </w:pPr>
      <w:r w:rsidRPr="004350C2">
        <w:t>The rapporteur recommends that the European Parliament give its consent to the conclusion, on behalf of the European Union, of the Protocol amending the Council of Europe Convention on the Prevention of Terrorism.</w:t>
      </w:r>
    </w:p>
    <w:p w:rsidR="00D80C1A" w:rsidRPr="004350C2" w:rsidP="009E427C" w14:paraId="1678EF69" w14:textId="77777777">
      <w:pPr>
        <w:jc w:val="both"/>
      </w:pPr>
    </w:p>
    <w:p w:rsidR="009E427C" w:rsidRPr="004350C2" w:rsidP="009E427C" w14:paraId="252E1030" w14:textId="1097FD73">
      <w:pPr>
        <w:jc w:val="both"/>
      </w:pPr>
      <w:r w:rsidRPr="004350C2">
        <w:t xml:space="preserve">The Protocol represents a positive step towards strengthening international cooperation in the fight against terrorism. By modernising the definition of terrorist offences contained in the Convention and aligning it with the definition already established </w:t>
      </w:r>
      <w:r w:rsidRPr="004350C2" w:rsidR="004235D4">
        <w:t>in</w:t>
      </w:r>
      <w:r w:rsidRPr="004350C2">
        <w:t xml:space="preserve"> Article 3 of Directive (EU) 2017/541 on combating terrorism, it contributes to greater legal consistency between the Member States and the wider Council of Europe framework.</w:t>
      </w:r>
    </w:p>
    <w:p w:rsidR="00D80C1A" w:rsidRPr="004350C2" w:rsidP="009E427C" w14:paraId="6AA76773" w14:textId="77777777">
      <w:pPr>
        <w:jc w:val="both"/>
      </w:pPr>
    </w:p>
    <w:p w:rsidR="009E427C" w:rsidRPr="004350C2" w:rsidP="009E427C" w14:paraId="732FCBD7" w14:textId="6D1F72F1">
      <w:pPr>
        <w:jc w:val="both"/>
      </w:pPr>
      <w:r w:rsidRPr="004350C2">
        <w:t xml:space="preserve">Its principal added value lies in facilitating cooperation between EU Member States and third countries that are Parties to the Convention. A common and more precise definition of terrorist offences can help improve judicial cooperation, mutual legal assistance and extradition, thereby supporting more effective cross-border action against terrorism. At a time when terrorist threats and their operational networks </w:t>
      </w:r>
      <w:r w:rsidRPr="004350C2" w:rsidR="004235D4">
        <w:t xml:space="preserve">increasingly </w:t>
      </w:r>
      <w:r w:rsidRPr="004350C2">
        <w:t>extend beyond national borders, closer alignment of the applicable legal frameworks is essential to ensure that cooperation between EU and non-EU partners is effective and reliable.</w:t>
      </w:r>
    </w:p>
    <w:p w:rsidR="00D80C1A" w:rsidRPr="004350C2" w:rsidP="009E427C" w14:paraId="1D655423" w14:textId="77777777">
      <w:pPr>
        <w:jc w:val="both"/>
      </w:pPr>
    </w:p>
    <w:p w:rsidR="009E427C" w:rsidRPr="004350C2" w:rsidP="009E427C" w14:paraId="0BABDF1C" w14:textId="0F4CA5BB">
      <w:pPr>
        <w:jc w:val="both"/>
      </w:pPr>
      <w:r w:rsidRPr="004350C2">
        <w:t xml:space="preserve">The Protocol does not establish a new EU criminal law framework, nor does it introduce additional obligations beyond the existing EU acquis in this field. </w:t>
      </w:r>
      <w:r w:rsidRPr="004350C2" w:rsidR="004235D4">
        <w:t xml:space="preserve">It rather </w:t>
      </w:r>
      <w:r w:rsidRPr="004350C2">
        <w:t xml:space="preserve">updates the Council of Europe Convention to bring its definition of terrorist offences into line with the definition contained in the legal framework already </w:t>
      </w:r>
      <w:r w:rsidRPr="004350C2" w:rsidR="004235D4">
        <w:t>in force</w:t>
      </w:r>
      <w:r w:rsidRPr="004350C2">
        <w:t xml:space="preserve"> at EU level since 2017. Its purpose is therefore to strengthen the international dimension of the existing </w:t>
      </w:r>
      <w:r w:rsidRPr="004350C2" w:rsidR="004235D4">
        <w:t>rules</w:t>
      </w:r>
      <w:r w:rsidRPr="004350C2">
        <w:t>, rather than to expand the scope of EU criminal law or introduce a new layer of regulation.</w:t>
      </w:r>
    </w:p>
    <w:p w:rsidR="00D80C1A" w:rsidRPr="004350C2" w:rsidP="009E427C" w14:paraId="2BF53202" w14:textId="77777777">
      <w:pPr>
        <w:jc w:val="both"/>
      </w:pPr>
    </w:p>
    <w:p w:rsidR="009E427C" w:rsidRPr="004350C2" w:rsidP="009E427C" w14:paraId="48E0BDBD" w14:textId="729D7E93">
      <w:pPr>
        <w:jc w:val="both"/>
      </w:pPr>
      <w:r w:rsidRPr="004350C2">
        <w:t>The rapporteur also underlines the importance of respecting the competences and sovereignty of the Member States. The conclusion of the Protocol by the European Union takes place within the limits of the Union's competences and is without prejudice to the procedures through which Member States express their consent to be bound by the Protocol in accordance with their respective constitutional requirements.</w:t>
      </w:r>
    </w:p>
    <w:p w:rsidR="00D80C1A" w:rsidRPr="004350C2" w:rsidP="009E427C" w14:paraId="6DD72B1A" w14:textId="77777777">
      <w:pPr>
        <w:jc w:val="both"/>
      </w:pPr>
    </w:p>
    <w:p w:rsidR="009E427C" w:rsidRPr="004350C2" w:rsidP="009E427C" w14:paraId="61887237" w14:textId="3AAC752D">
      <w:pPr>
        <w:jc w:val="both"/>
      </w:pPr>
      <w:r w:rsidRPr="004350C2">
        <w:t xml:space="preserve">Furthermore, the Protocol expressly reaffirms, in its </w:t>
      </w:r>
      <w:r w:rsidRPr="004350C2" w:rsidR="004235D4">
        <w:t>p</w:t>
      </w:r>
      <w:r w:rsidRPr="004350C2">
        <w:t xml:space="preserve">reamble, that measures to prevent or suppress terrorist offences must comply with human rights obligations. </w:t>
      </w:r>
    </w:p>
    <w:p w:rsidR="00D80C1A" w:rsidRPr="004350C2" w:rsidP="009E427C" w14:paraId="70087FE1" w14:textId="77777777">
      <w:pPr>
        <w:jc w:val="both"/>
      </w:pPr>
    </w:p>
    <w:p w:rsidR="009E427C" w:rsidRPr="004350C2" w:rsidP="009E427C" w14:paraId="4A9296A6" w14:textId="77777777">
      <w:pPr>
        <w:jc w:val="both"/>
      </w:pPr>
      <w:r w:rsidRPr="004350C2">
        <w:t>For these reasons, the rapporteur considers that the Protocol offers clear added value in strengthening cooperation with third countries, while preserving the continuity of the existing EU legal framework and respecting the competences of the Member States. The rapporteur therefore recommends that Parliament give its consent to the conclusion of the Protocol.</w:t>
      </w:r>
    </w:p>
    <w:p w:rsidR="00810D7A" w:rsidRPr="004350C2" w:rsidP="00810D7A" w14:paraId="450609A7" w14:textId="77777777">
      <w:pPr>
        <w:sectPr w:rsidSect="00810D7A">
          <w:footnotePr>
            <w:numRestart w:val="eachSect"/>
          </w:footnotePr>
          <w:endnotePr>
            <w:numFmt w:val="decimal"/>
          </w:endnotePr>
          <w:pgSz w:w="11906" w:h="16838" w:code="9"/>
          <w:pgMar w:top="1134" w:right="1418" w:bottom="1418" w:left="1418" w:header="1134" w:footer="567" w:gutter="0"/>
          <w:cols w:space="720"/>
          <w:noEndnote/>
          <w:docGrid w:linePitch="326"/>
        </w:sectPr>
      </w:pPr>
    </w:p>
    <w:p w:rsidR="00810D7A" w:rsidRPr="004350C2" w:rsidP="00810D7A" w14:paraId="21EABA9E" w14:textId="3A43FC4C">
      <w:pPr>
        <w:pStyle w:val="PageHeading"/>
      </w:pPr>
      <w:bookmarkStart w:id="3" w:name="_Toc243399180"/>
      <w:r w:rsidRPr="004350C2">
        <w:t xml:space="preserve">ANNEX: </w:t>
      </w:r>
      <w:bookmarkStart w:id="4" w:name="iEnd"/>
      <w:bookmarkEnd w:id="4"/>
      <w:r w:rsidRPr="004350C2">
        <w:t>DECLARATION OF INPUT</w:t>
      </w:r>
      <w:bookmarkEnd w:id="3"/>
    </w:p>
    <w:p w:rsidR="00810D7A" w:rsidRPr="004350C2" w:rsidP="00D80C1A" w14:paraId="040BADA7" w14:textId="3956EFAA">
      <w:pPr>
        <w:jc w:val="both"/>
      </w:pPr>
      <w:r w:rsidRPr="004350C2">
        <w:t>The rapporteur declares under his exclusive responsibility that he did not include in his report input from interest representatives falling within the scope of the Interinstitutional Agreement on a mandatory transparency register</w:t>
      </w:r>
      <w:r>
        <w:rPr>
          <w:rStyle w:val="FootnoteReference"/>
        </w:rPr>
        <w:footnoteReference w:id="2"/>
      </w:r>
      <w:r w:rsidRPr="004350C2">
        <w:t>, or from representatives of public authorities of third countries, including their diplomatic missions and embassies, to be listed in this Annex pursuant to Article 8 of Annex I to the Rules of Procedure.</w:t>
      </w:r>
    </w:p>
    <w:p w:rsidR="00810D7A" w:rsidRPr="004350C2" w:rsidP="00810D7A" w14:paraId="09E777C0" w14:textId="77777777"/>
    <w:p w:rsidR="00810D7A" w:rsidRPr="004350C2" w:rsidP="00810D7A" w14:paraId="748D5D82" w14:textId="77777777"/>
    <w:sectPr w:rsidSect="00810D7A">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50C2" w:rsidP="004350C2" w14:paraId="138E3040" w14:textId="77777777">
    <w:pPr>
      <w:pStyle w:val="EPFooter"/>
    </w:pPr>
    <w:r>
      <w:t>PE</w:t>
    </w:r>
    <w:r w:rsidRPr="004350C2">
      <w:rPr>
        <w:rStyle w:val="HideTWBExt"/>
      </w:rPr>
      <w:t>&lt;NoPE&gt;</w:t>
    </w:r>
    <w:r>
      <w:t>796.534</w:t>
    </w:r>
    <w:r w:rsidRPr="004350C2">
      <w:rPr>
        <w:rStyle w:val="HideTWBExt"/>
      </w:rPr>
      <w:t>&lt;/NoPE&gt;&lt;Version&gt;</w:t>
    </w:r>
    <w:r>
      <w:t>v01-00</w:t>
    </w:r>
    <w:r w:rsidRPr="004350C2">
      <w:rPr>
        <w:rStyle w:val="HideTWBExt"/>
      </w:rPr>
      <w:t>&lt;/Version&gt;</w:t>
    </w:r>
    <w:r>
      <w:tab/>
    </w:r>
    <w:r>
      <w:fldChar w:fldCharType="begin"/>
    </w:r>
    <w:r>
      <w:instrText xml:space="preserve"> PAGE  \* MERGEFORMAT </w:instrText>
    </w:r>
    <w:r>
      <w:fldChar w:fldCharType="separate"/>
    </w:r>
    <w:r>
      <w:rPr>
        <w:noProof/>
      </w:rPr>
      <w:t>1</w:t>
    </w:r>
    <w:r>
      <w:fldChar w:fldCharType="end"/>
    </w:r>
    <w:r>
      <w:t>/</w:t>
    </w:r>
    <w:r>
      <w:fldChar w:fldCharType="begin"/>
    </w:r>
    <w:r>
      <w:instrText xml:space="preserve"> NUMPAGES  \* MERGEFORMAT </w:instrText>
    </w:r>
    <w:r>
      <w:fldChar w:fldCharType="separate"/>
    </w:r>
    <w:r>
      <w:rPr>
        <w:noProof/>
      </w:rPr>
      <w:t>1</w:t>
    </w:r>
    <w:r>
      <w:rPr>
        <w:noProof/>
      </w:rPr>
      <w:fldChar w:fldCharType="end"/>
    </w:r>
    <w:r>
      <w:tab/>
    </w:r>
    <w:r w:rsidRPr="004350C2">
      <w:rPr>
        <w:rStyle w:val="HideTWBExt"/>
      </w:rPr>
      <w:t>&lt;PathFdR&gt;</w:t>
    </w:r>
    <w:r>
      <w:t>PR\1352986EN.docx</w:t>
    </w:r>
    <w:r w:rsidRPr="004350C2">
      <w:rPr>
        <w:rStyle w:val="HideTWBExt"/>
      </w:rPr>
      <w:t>&lt;/PathFdR&gt;</w:t>
    </w:r>
  </w:p>
  <w:p w:rsidR="0085501C" w:rsidRPr="004350C2" w:rsidP="004350C2" w14:paraId="22285255" w14:textId="030FEF3C">
    <w:pPr>
      <w:pStyle w:val="EPFooter2"/>
    </w:pPr>
    <w:r>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50C2" w:rsidP="004350C2" w14:paraId="7C0BA446" w14:textId="77777777">
    <w:pPr>
      <w:pStyle w:val="EPFooter"/>
    </w:pPr>
    <w:r w:rsidRPr="004350C2">
      <w:rPr>
        <w:rStyle w:val="HideTWBExt"/>
      </w:rPr>
      <w:t>&lt;PathFdR&gt;</w:t>
    </w:r>
    <w:r>
      <w:t>PR\1352986EN.docx</w:t>
    </w:r>
    <w:r w:rsidRPr="004350C2">
      <w:rPr>
        <w:rStyle w:val="HideTWBExt"/>
      </w:rPr>
      <w:t>&lt;/PathFdR&gt;</w:t>
    </w:r>
    <w:r>
      <w:tab/>
    </w:r>
    <w:r>
      <w:fldChar w:fldCharType="begin"/>
    </w:r>
    <w:r>
      <w:instrText xml:space="preserve"> PAGE  \* MERGEFORMAT </w:instrText>
    </w:r>
    <w:r>
      <w:fldChar w:fldCharType="separate"/>
    </w:r>
    <w:r>
      <w:rPr>
        <w:noProof/>
      </w:rPr>
      <w:t>1</w:t>
    </w:r>
    <w:r>
      <w:fldChar w:fldCharType="end"/>
    </w:r>
    <w:r>
      <w:t>/</w:t>
    </w:r>
    <w:r>
      <w:fldChar w:fldCharType="begin"/>
    </w:r>
    <w:r>
      <w:instrText xml:space="preserve"> NUMPAGES  \* MERGEFORMAT </w:instrText>
    </w:r>
    <w:r>
      <w:fldChar w:fldCharType="separate"/>
    </w:r>
    <w:r>
      <w:rPr>
        <w:noProof/>
      </w:rPr>
      <w:t>1</w:t>
    </w:r>
    <w:r>
      <w:rPr>
        <w:noProof/>
      </w:rPr>
      <w:fldChar w:fldCharType="end"/>
    </w:r>
    <w:r>
      <w:tab/>
      <w:t>PE</w:t>
    </w:r>
    <w:r w:rsidRPr="004350C2">
      <w:rPr>
        <w:rStyle w:val="HideTWBExt"/>
      </w:rPr>
      <w:t>&lt;NoPE&gt;</w:t>
    </w:r>
    <w:r>
      <w:t>796.534</w:t>
    </w:r>
    <w:r w:rsidRPr="004350C2">
      <w:rPr>
        <w:rStyle w:val="HideTWBExt"/>
      </w:rPr>
      <w:t>&lt;/NoPE&gt;&lt;Version&gt;</w:t>
    </w:r>
    <w:r>
      <w:t>v01-00</w:t>
    </w:r>
    <w:r w:rsidRPr="004350C2">
      <w:rPr>
        <w:rStyle w:val="HideTWBExt"/>
      </w:rPr>
      <w:t>&lt;/Version&gt;</w:t>
    </w:r>
  </w:p>
  <w:p w:rsidR="0085501C" w:rsidRPr="004350C2" w:rsidP="004350C2" w14:paraId="39F11575" w14:textId="699C7AD9">
    <w:pPr>
      <w:pStyle w:val="EPFooter2"/>
    </w:pPr>
    <w:r>
      <w:tab/>
    </w:r>
    <w:r>
      <w:tab/>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50C2" w:rsidP="004350C2" w14:paraId="65773643" w14:textId="77777777">
    <w:pPr>
      <w:pStyle w:val="EPFooter"/>
    </w:pPr>
    <w:r w:rsidRPr="004350C2">
      <w:rPr>
        <w:rStyle w:val="HideTWBExt"/>
      </w:rPr>
      <w:t>&lt;PathFdR&gt;</w:t>
    </w:r>
    <w:r>
      <w:t>PR\1352986EN.docx</w:t>
    </w:r>
    <w:r w:rsidRPr="004350C2">
      <w:rPr>
        <w:rStyle w:val="HideTWBExt"/>
      </w:rPr>
      <w:t>&lt;/PathFdR&gt;</w:t>
    </w:r>
    <w:r>
      <w:tab/>
    </w:r>
    <w:r>
      <w:tab/>
      <w:t>PE</w:t>
    </w:r>
    <w:r w:rsidRPr="004350C2">
      <w:rPr>
        <w:rStyle w:val="HideTWBExt"/>
      </w:rPr>
      <w:t>&lt;NoPE&gt;</w:t>
    </w:r>
    <w:r>
      <w:t>796.534</w:t>
    </w:r>
    <w:r w:rsidRPr="004350C2">
      <w:rPr>
        <w:rStyle w:val="HideTWBExt"/>
      </w:rPr>
      <w:t>&lt;/NoPE&gt;&lt;Version&gt;</w:t>
    </w:r>
    <w:r>
      <w:t>v01-00</w:t>
    </w:r>
    <w:r w:rsidRPr="004350C2">
      <w:rPr>
        <w:rStyle w:val="HideTWBExt"/>
      </w:rPr>
      <w:t>&lt;/Version&gt;</w:t>
    </w:r>
  </w:p>
  <w:p w:rsidR="0085501C" w:rsidRPr="004350C2" w:rsidP="004350C2" w14:paraId="7731486F" w14:textId="339B70DC">
    <w:pPr>
      <w:pStyle w:val="EPFooter2"/>
    </w:pPr>
    <w:r>
      <w:t>EN</w:t>
    </w:r>
    <w:r>
      <w:tab/>
    </w:r>
    <w:r w:rsidRPr="004350C2">
      <w:rPr>
        <w:b w:val="0"/>
        <w:i/>
        <w:color w:val="C0C0C0"/>
        <w:sz w:val="22"/>
      </w:rPr>
      <w:t>United in diversity</w:t>
    </w:r>
    <w:r>
      <w:tab/>
      <w:t>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02667D" w:rsidRPr="004350C2" w14:paraId="04434795" w14:textId="77777777">
      <w:r w:rsidRPr="004350C2">
        <w:separator/>
      </w:r>
    </w:p>
  </w:footnote>
  <w:footnote w:type="continuationSeparator" w:id="1">
    <w:p w:rsidR="0002667D" w:rsidRPr="004350C2" w14:paraId="265EFEE8" w14:textId="77777777">
      <w:r w:rsidRPr="004350C2">
        <w:continuationSeparator/>
      </w:r>
    </w:p>
  </w:footnote>
  <w:footnote w:id="2">
    <w:p w:rsidR="00810D7A" w:rsidRPr="004350C2" w14:paraId="5085FCCD" w14:textId="137BFC5A">
      <w:pPr>
        <w:pStyle w:val="FootnoteText"/>
      </w:pPr>
      <w:r w:rsidRPr="004350C2">
        <w:rPr>
          <w:rStyle w:val="FootnoteReference"/>
        </w:rPr>
        <w:footnoteRef/>
      </w:r>
      <w:r w:rsidRPr="004350C2">
        <w:t xml:space="preserve"> Interinstitutional Agreement of 20 May 2021 between the European Parliament, the Council of the European Union and the European Commission on a mandatory transparency register (OJ L 207, 11.6.2021, p. 1, ELI: </w:t>
      </w:r>
      <w:hyperlink r:id="rId1" w:history="1">
        <w:r w:rsidRPr="004350C2">
          <w:rPr>
            <w:rStyle w:val="Hyperlink"/>
          </w:rPr>
          <w:t>http://data.europa.eu/eli/agree_interinstit/2021/611/oj</w:t>
        </w:r>
      </w:hyperlink>
      <w:r w:rsidRPr="004350C2">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2965" w:rsidRPr="004350C2" w14:paraId="4DF7A121"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2965" w:rsidRPr="004350C2" w14:paraId="3E9F4CB6"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2965" w:rsidRPr="004350C2" w14:paraId="67E0D3EC"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3D89"/>
    <w:rsid w:val="00001D52"/>
    <w:rsid w:val="0000443F"/>
    <w:rsid w:val="000053E3"/>
    <w:rsid w:val="00016E55"/>
    <w:rsid w:val="0002667D"/>
    <w:rsid w:val="0004561D"/>
    <w:rsid w:val="0004663B"/>
    <w:rsid w:val="0006167F"/>
    <w:rsid w:val="00061EFE"/>
    <w:rsid w:val="00066CC2"/>
    <w:rsid w:val="000755F6"/>
    <w:rsid w:val="00095D8B"/>
    <w:rsid w:val="000A2F73"/>
    <w:rsid w:val="000C123D"/>
    <w:rsid w:val="000D78AF"/>
    <w:rsid w:val="000E6B6C"/>
    <w:rsid w:val="00180664"/>
    <w:rsid w:val="001874D8"/>
    <w:rsid w:val="001A34B9"/>
    <w:rsid w:val="001D02E3"/>
    <w:rsid w:val="001F7BBE"/>
    <w:rsid w:val="0021049A"/>
    <w:rsid w:val="0022685A"/>
    <w:rsid w:val="002D1706"/>
    <w:rsid w:val="002E2E20"/>
    <w:rsid w:val="002F5A83"/>
    <w:rsid w:val="003072BE"/>
    <w:rsid w:val="00337C92"/>
    <w:rsid w:val="003421DC"/>
    <w:rsid w:val="00356D1A"/>
    <w:rsid w:val="00363B94"/>
    <w:rsid w:val="00384AFF"/>
    <w:rsid w:val="003A6B8E"/>
    <w:rsid w:val="003B598C"/>
    <w:rsid w:val="0041483F"/>
    <w:rsid w:val="004174FC"/>
    <w:rsid w:val="004235D4"/>
    <w:rsid w:val="004350C2"/>
    <w:rsid w:val="00460BD6"/>
    <w:rsid w:val="004859B3"/>
    <w:rsid w:val="004938F5"/>
    <w:rsid w:val="004C083C"/>
    <w:rsid w:val="004C76A7"/>
    <w:rsid w:val="004E1650"/>
    <w:rsid w:val="004F2EC0"/>
    <w:rsid w:val="005027B1"/>
    <w:rsid w:val="0053367A"/>
    <w:rsid w:val="00544D48"/>
    <w:rsid w:val="005544C1"/>
    <w:rsid w:val="005877C0"/>
    <w:rsid w:val="005A6B14"/>
    <w:rsid w:val="005D0B97"/>
    <w:rsid w:val="005E1478"/>
    <w:rsid w:val="005F5D6C"/>
    <w:rsid w:val="00600BFE"/>
    <w:rsid w:val="006132CE"/>
    <w:rsid w:val="00613F2E"/>
    <w:rsid w:val="0064013B"/>
    <w:rsid w:val="006819F6"/>
    <w:rsid w:val="006A1A75"/>
    <w:rsid w:val="006A2CF5"/>
    <w:rsid w:val="006D3D89"/>
    <w:rsid w:val="006F1B6F"/>
    <w:rsid w:val="00710F25"/>
    <w:rsid w:val="00717061"/>
    <w:rsid w:val="00717857"/>
    <w:rsid w:val="00791637"/>
    <w:rsid w:val="007C0E62"/>
    <w:rsid w:val="0080122F"/>
    <w:rsid w:val="00810D7A"/>
    <w:rsid w:val="00822206"/>
    <w:rsid w:val="008368CB"/>
    <w:rsid w:val="0085501C"/>
    <w:rsid w:val="008669D7"/>
    <w:rsid w:val="00893FBD"/>
    <w:rsid w:val="008B75A4"/>
    <w:rsid w:val="008D23C6"/>
    <w:rsid w:val="008D3030"/>
    <w:rsid w:val="008E3848"/>
    <w:rsid w:val="008E493E"/>
    <w:rsid w:val="0090660D"/>
    <w:rsid w:val="00924EE0"/>
    <w:rsid w:val="00936B11"/>
    <w:rsid w:val="00953CA2"/>
    <w:rsid w:val="009612AA"/>
    <w:rsid w:val="009802C4"/>
    <w:rsid w:val="009B188F"/>
    <w:rsid w:val="009B437A"/>
    <w:rsid w:val="009B47B6"/>
    <w:rsid w:val="009E39A7"/>
    <w:rsid w:val="009E427C"/>
    <w:rsid w:val="00A03178"/>
    <w:rsid w:val="00A415B7"/>
    <w:rsid w:val="00A6107D"/>
    <w:rsid w:val="00AD2965"/>
    <w:rsid w:val="00AD5D0C"/>
    <w:rsid w:val="00B31D18"/>
    <w:rsid w:val="00B42885"/>
    <w:rsid w:val="00B47870"/>
    <w:rsid w:val="00B50C20"/>
    <w:rsid w:val="00B6769C"/>
    <w:rsid w:val="00B77E4F"/>
    <w:rsid w:val="00B837B7"/>
    <w:rsid w:val="00BB22CC"/>
    <w:rsid w:val="00BB41C8"/>
    <w:rsid w:val="00BE5E72"/>
    <w:rsid w:val="00BF0A0F"/>
    <w:rsid w:val="00BF2E15"/>
    <w:rsid w:val="00BF7F55"/>
    <w:rsid w:val="00C05DD8"/>
    <w:rsid w:val="00C107B8"/>
    <w:rsid w:val="00C15447"/>
    <w:rsid w:val="00C35D01"/>
    <w:rsid w:val="00C64DA4"/>
    <w:rsid w:val="00C762AC"/>
    <w:rsid w:val="00C80A2F"/>
    <w:rsid w:val="00C85D0F"/>
    <w:rsid w:val="00C91CCC"/>
    <w:rsid w:val="00CB5651"/>
    <w:rsid w:val="00CC20CB"/>
    <w:rsid w:val="00CC6541"/>
    <w:rsid w:val="00CF44DF"/>
    <w:rsid w:val="00D04E0B"/>
    <w:rsid w:val="00D33886"/>
    <w:rsid w:val="00D62DA0"/>
    <w:rsid w:val="00D6543C"/>
    <w:rsid w:val="00D80C1A"/>
    <w:rsid w:val="00DF594D"/>
    <w:rsid w:val="00DF6E52"/>
    <w:rsid w:val="00E14FEE"/>
    <w:rsid w:val="00E71368"/>
    <w:rsid w:val="00E82F4E"/>
    <w:rsid w:val="00E93816"/>
    <w:rsid w:val="00E94F93"/>
    <w:rsid w:val="00EA59ED"/>
    <w:rsid w:val="00ED2A60"/>
    <w:rsid w:val="00EF48F2"/>
    <w:rsid w:val="00F04010"/>
    <w:rsid w:val="00FC699E"/>
  </w:rsids>
  <w:docVars>
    <w:docVar w:name="AGREEMENTMNU" w:val=" 1"/>
    <w:docVar w:name="AUTHORMFPMNU" w:val=" 1"/>
    <w:docVar w:name="CIT1MNU" w:val=" 4"/>
    <w:docVar w:name="CIT2MNU" w:val=" 4"/>
    <w:docVar w:name="CIT3MNU" w:val=" 4"/>
    <w:docVar w:name="COMKEY" w:val="LIBE"/>
    <w:docVar w:name="CONSENTMNU" w:val=" 1"/>
    <w:docVar w:name="CopyToNetwork" w:val="-1"/>
    <w:docVar w:name="DOCDT" w:val="12/02/2026"/>
    <w:docVar w:name="LastEditedSection" w:val=" 1"/>
    <w:docVar w:name="strDocTypeID" w:val="PR_NLE-AP_Agreement"/>
    <w:docVar w:name="strSubDir" w:val="1352"/>
    <w:docVar w:name="TITLEMNU" w:val=" 1"/>
    <w:docVar w:name="TXTAUTHOR" w:val="Jaroslav Bžoch"/>
    <w:docVar w:name="TXTLANGUE" w:val="EN"/>
    <w:docVar w:name="TXTLANGUEMIN" w:val="en"/>
    <w:docVar w:name="TXTNRC" w:val="0278/2025"/>
    <w:docVar w:name="TXTNRCOM" w:val="11283/2025"/>
    <w:docVar w:name="TXTNRNLE" w:val="2025/0156"/>
    <w:docVar w:name="TXTNRPE" w:val="796.534"/>
    <w:docVar w:name="TXTPEorAP" w:val="PE"/>
    <w:docVar w:name="TXTROUTE" w:val="PR\1352986EN.docx"/>
    <w:docVar w:name="TXTTITLE" w:val="on the conclusion, on behalf of the European Union, of the Agreement between the European Union and Iceland on the transfer of Passenger Name Record (PNR) data to prevent, detect, investigate and prosecute terrorist offences and serious crime"/>
    <w:docVar w:name="TXTVERSION" w:val="01-00"/>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5:chartTrackingRefBased/>
  <w15:docId w15:val="{E06BD5E1-E395-4948-9688-89079533F3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3367A"/>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893FBD"/>
    <w:pPr>
      <w:spacing w:before="480" w:after="240"/>
    </w:pPr>
  </w:style>
  <w:style w:type="paragraph" w:styleId="TOC1">
    <w:name w:val="toc 1"/>
    <w:basedOn w:val="Normal"/>
    <w:next w:val="Normal"/>
    <w:autoRedefine/>
    <w:uiPriority w:val="39"/>
    <w:rsid w:val="0006167F"/>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Bold12a">
    <w:name w:val="NormalBold12a"/>
    <w:basedOn w:val="Normal"/>
    <w:pPr>
      <w:spacing w:after="240"/>
    </w:pPr>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13F2E"/>
    <w:pPr>
      <w:spacing w:before="80" w:after="80"/>
    </w:pPr>
    <w:rPr>
      <w:rFonts w:ascii="Arial Narrow" w:hAnsi="Arial Narrow" w:cs="Arial"/>
      <w:b/>
      <w:sz w:val="32"/>
      <w:szCs w:val="22"/>
    </w:rPr>
  </w:style>
  <w:style w:type="paragraph" w:customStyle="1" w:styleId="CoverNormal24a">
    <w:name w:val="CoverNormal24a"/>
    <w:basedOn w:val="Normal"/>
    <w:rsid w:val="00B6769C"/>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8E3848"/>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B6769C"/>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22685A"/>
    <w:pPr>
      <w:tabs>
        <w:tab w:val="center" w:pos="4513"/>
        <w:tab w:val="right" w:pos="9026"/>
      </w:tabs>
    </w:pPr>
  </w:style>
  <w:style w:type="table" w:styleId="TableGrid">
    <w:name w:val="Table Grid"/>
    <w:basedOn w:val="TableNormal"/>
    <w:rsid w:val="009612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9612AA"/>
    <w:pPr>
      <w:jc w:val="center"/>
    </w:pPr>
    <w:rPr>
      <w:rFonts w:ascii="Arial" w:hAnsi="Arial" w:cs="Arial"/>
      <w:i/>
      <w:sz w:val="22"/>
      <w:szCs w:val="22"/>
    </w:rPr>
  </w:style>
  <w:style w:type="paragraph" w:customStyle="1" w:styleId="LineTop">
    <w:name w:val="LineTop"/>
    <w:basedOn w:val="Normal"/>
    <w:next w:val="Normal"/>
    <w:rsid w:val="009612AA"/>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9612AA"/>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13F2E"/>
    <w:pPr>
      <w:spacing w:after="80"/>
    </w:pPr>
    <w:rPr>
      <w:rFonts w:ascii="Arial" w:hAnsi="Arial" w:cs="Arial"/>
      <w:sz w:val="20"/>
      <w:szCs w:val="22"/>
    </w:rPr>
  </w:style>
  <w:style w:type="paragraph" w:customStyle="1" w:styleId="EPLogo">
    <w:name w:val="EPLogo"/>
    <w:basedOn w:val="Normal"/>
    <w:qFormat/>
    <w:rsid w:val="00613F2E"/>
    <w:pPr>
      <w:jc w:val="right"/>
    </w:pPr>
  </w:style>
  <w:style w:type="paragraph" w:customStyle="1" w:styleId="EPFooter">
    <w:name w:val="EPFooter"/>
    <w:basedOn w:val="Normal"/>
    <w:rsid w:val="00B6769C"/>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22685A"/>
    <w:rPr>
      <w:sz w:val="24"/>
    </w:rPr>
  </w:style>
  <w:style w:type="paragraph" w:customStyle="1" w:styleId="Lgendesigne">
    <w:name w:val="Légende signe"/>
    <w:basedOn w:val="Normal"/>
    <w:rsid w:val="0064013B"/>
    <w:pPr>
      <w:tabs>
        <w:tab w:val="right" w:pos="454"/>
        <w:tab w:val="left" w:pos="737"/>
      </w:tabs>
      <w:ind w:left="737" w:hanging="737"/>
    </w:pPr>
    <w:rPr>
      <w:snapToGrid w:val="0"/>
      <w:sz w:val="18"/>
      <w:lang w:eastAsia="en-US"/>
    </w:rPr>
  </w:style>
  <w:style w:type="paragraph" w:customStyle="1" w:styleId="Lgendetitre">
    <w:name w:val="Légende titre"/>
    <w:basedOn w:val="Normal"/>
    <w:rsid w:val="0064013B"/>
    <w:pPr>
      <w:spacing w:before="240" w:after="240"/>
    </w:pPr>
    <w:rPr>
      <w:b/>
      <w:i/>
      <w:snapToGrid w:val="0"/>
      <w:lang w:eastAsia="en-US"/>
    </w:rPr>
  </w:style>
  <w:style w:type="paragraph" w:customStyle="1" w:styleId="Lgendestandard">
    <w:name w:val="Légende standard"/>
    <w:basedOn w:val="Normal"/>
    <w:rsid w:val="0064013B"/>
    <w:rPr>
      <w:sz w:val="18"/>
    </w:rPr>
  </w:style>
  <w:style w:type="character" w:styleId="Hyperlink">
    <w:name w:val="Hyperlink"/>
    <w:basedOn w:val="DefaultParagraphFont"/>
    <w:unhideWhenUsed/>
    <w:rsid w:val="00810D7A"/>
    <w:rPr>
      <w:color w:val="0563C1" w:themeColor="hyperlink"/>
      <w:u w:val="single"/>
    </w:rPr>
  </w:style>
  <w:style w:type="paragraph" w:styleId="FootnoteText">
    <w:name w:val="footnote text"/>
    <w:basedOn w:val="Normal"/>
    <w:link w:val="FootnoteTextChar"/>
    <w:unhideWhenUsed/>
    <w:rsid w:val="00810D7A"/>
    <w:rPr>
      <w:sz w:val="20"/>
    </w:rPr>
  </w:style>
  <w:style w:type="character" w:customStyle="1" w:styleId="FootnoteTextChar">
    <w:name w:val="Footnote Text Char"/>
    <w:basedOn w:val="DefaultParagraphFont"/>
    <w:link w:val="FootnoteText"/>
    <w:rsid w:val="00810D7A"/>
  </w:style>
  <w:style w:type="character" w:styleId="FootnoteReference">
    <w:name w:val="footnote reference"/>
    <w:basedOn w:val="DefaultParagraphFont"/>
    <w:unhideWhenUsed/>
    <w:rsid w:val="00810D7A"/>
    <w:rPr>
      <w:vertAlign w:val="superscript"/>
    </w:rPr>
  </w:style>
  <w:style w:type="character" w:customStyle="1" w:styleId="UnresolvedMention">
    <w:name w:val="Unresolved Mention"/>
    <w:basedOn w:val="DefaultParagraphFont"/>
    <w:uiPriority w:val="99"/>
    <w:semiHidden/>
    <w:unhideWhenUsed/>
    <w:rsid w:val="00810D7A"/>
    <w:rPr>
      <w:color w:val="605E5C"/>
      <w:shd w:val="clear" w:color="auto" w:fill="E1DFDD"/>
    </w:rPr>
  </w:style>
  <w:style w:type="paragraph" w:styleId="Footer">
    <w:name w:val="footer"/>
    <w:basedOn w:val="Normal"/>
    <w:link w:val="FooterChar"/>
    <w:semiHidden/>
    <w:rsid w:val="00936B11"/>
    <w:pPr>
      <w:tabs>
        <w:tab w:val="center" w:pos="4513"/>
        <w:tab w:val="right" w:pos="9026"/>
      </w:tabs>
    </w:pPr>
  </w:style>
  <w:style w:type="character" w:customStyle="1" w:styleId="FooterChar">
    <w:name w:val="Footer Char"/>
    <w:basedOn w:val="DefaultParagraphFont"/>
    <w:link w:val="Footer"/>
    <w:semiHidden/>
    <w:rsid w:val="00936B11"/>
    <w:rPr>
      <w:sz w:val="24"/>
    </w:rPr>
  </w:style>
  <w:style w:type="paragraph" w:styleId="Revision">
    <w:name w:val="Revision"/>
    <w:hidden/>
    <w:uiPriority w:val="99"/>
    <w:semiHidden/>
    <w:rsid w:val="00C64DA4"/>
    <w:rPr>
      <w:sz w:val="24"/>
    </w:rPr>
  </w:style>
  <w:style w:type="character" w:styleId="CommentReference">
    <w:name w:val="annotation reference"/>
    <w:basedOn w:val="DefaultParagraphFont"/>
    <w:rsid w:val="009B188F"/>
    <w:rPr>
      <w:sz w:val="16"/>
      <w:szCs w:val="16"/>
    </w:rPr>
  </w:style>
  <w:style w:type="paragraph" w:styleId="CommentText">
    <w:name w:val="annotation text"/>
    <w:basedOn w:val="Normal"/>
    <w:link w:val="CommentTextChar"/>
    <w:rsid w:val="009B188F"/>
    <w:rPr>
      <w:sz w:val="20"/>
    </w:rPr>
  </w:style>
  <w:style w:type="character" w:customStyle="1" w:styleId="CommentTextChar">
    <w:name w:val="Comment Text Char"/>
    <w:basedOn w:val="DefaultParagraphFont"/>
    <w:link w:val="CommentText"/>
    <w:rsid w:val="009B188F"/>
  </w:style>
  <w:style w:type="paragraph" w:styleId="CommentSubject">
    <w:name w:val="annotation subject"/>
    <w:basedOn w:val="CommentText"/>
    <w:next w:val="CommentText"/>
    <w:link w:val="CommentSubjectChar"/>
    <w:semiHidden/>
    <w:unhideWhenUsed/>
    <w:rsid w:val="009B188F"/>
    <w:rPr>
      <w:b/>
      <w:bCs/>
    </w:rPr>
  </w:style>
  <w:style w:type="character" w:customStyle="1" w:styleId="CommentSubjectChar">
    <w:name w:val="Comment Subject Char"/>
    <w:basedOn w:val="CommentTextChar"/>
    <w:link w:val="CommentSubject"/>
    <w:semiHidden/>
    <w:rsid w:val="009B188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&#65279;<?xml version="1.0" encoding="utf-8" standalone="yes"?><Relationships xmlns="http://schemas.openxmlformats.org/package/2006/relationships"><Relationship Id="rId1" Type="http://schemas.openxmlformats.org/officeDocument/2006/relationships/hyperlink" Target="http://data.europa.eu/eli/agree_interinstit/2021/611/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8CFCE4-4C56-492C-8A66-45D618C032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818</Words>
  <Characters>4822</Characters>
  <Application>Microsoft Office Word</Application>
  <DocSecurity>0</DocSecurity>
  <Lines>117</Lines>
  <Paragraphs>57</Paragraphs>
  <ScaleCrop>false</ScaleCrop>
  <HeadingPairs>
    <vt:vector size="2" baseType="variant">
      <vt:variant>
        <vt:lpstr>Title</vt:lpstr>
      </vt:variant>
      <vt:variant>
        <vt:i4>1</vt:i4>
      </vt:variant>
    </vt:vector>
  </HeadingPairs>
  <TitlesOfParts>
    <vt:vector size="1" baseType="lpstr">
      <vt:lpstr>PR_NLE-AP_Agreement</vt:lpstr>
    </vt:vector>
  </TitlesOfParts>
  <Company>European Parliament</Company>
  <LinksUpToDate>false</LinksUpToDate>
  <CharactersWithSpaces>5583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PR_NLE-AP_Agreement</dc:title>
  <dc:creator>European Parliament</dc:creator>
  <cp:lastModifiedBy>European Parliament</cp:lastModifiedBy>
  <cp:revision>3</cp:revision>
  <cp:lastPrinted>2002-12-11T09:25:00Z</cp:lastPrinted>
  <dcterms:created xsi:type="dcterms:W3CDTF">2026-10-20T12:32:00Z</dcterms:created>
  <dcterms:modified xsi:type="dcterms:W3CDTF">2026-10-20T12:33:00Z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1352986</vt:lpwstr>
  </property>
  <property fmtid="{D5CDD505-2E9C-101B-9397-08002B2CF9AE}" pid="4" name="&lt;Model&gt;">
    <vt:lpwstr>PR_NLE-AP_Agreement</vt:lpwstr>
  </property>
  <property fmtid="{D5CDD505-2E9C-101B-9397-08002B2CF9AE}" pid="5" name="&lt;ModelCod&gt;">
    <vt:lpwstr>\\eiciBRUpr1\pdocep$\DocEP\DOCS\General\PR\PR_Leg\NLE\PR_NLE-AP_Agreement.dotx(12/08/2024 16:05:00)</vt:lpwstr>
  </property>
  <property fmtid="{D5CDD505-2E9C-101B-9397-08002B2CF9AE}" pid="6" name="&lt;ModelTra&gt;">
    <vt:lpwstr>\\eiciBRUpr1\pdocep$\DocEP\TRANSFIL\EN\PR_NLE-AP_Agreement.EN(04/10/2024 11:39:01)</vt:lpwstr>
  </property>
  <property fmtid="{D5CDD505-2E9C-101B-9397-08002B2CF9AE}" pid="7" name="&lt;Type&gt;">
    <vt:lpwstr>PR</vt:lpwstr>
  </property>
  <property fmtid="{D5CDD505-2E9C-101B-9397-08002B2CF9AE}" pid="8" name="Created with">
    <vt:lpwstr>10.2.1 Build [20260110]</vt:lpwstr>
  </property>
  <property fmtid="{D5CDD505-2E9C-101B-9397-08002B2CF9AE}" pid="9" name="FooterPath">
    <vt:lpwstr>PR\1352986EN.docx</vt:lpwstr>
  </property>
  <property fmtid="{D5CDD505-2E9C-101B-9397-08002B2CF9AE}" pid="10" name="LastEdited with">
    <vt:lpwstr>10.3.1 Build [20260902]</vt:lpwstr>
  </property>
  <property fmtid="{D5CDD505-2E9C-101B-9397-08002B2CF9AE}" pid="11" name="OriLang">
    <vt:lpwstr>EN</vt:lpwstr>
  </property>
  <property fmtid="{D5CDD505-2E9C-101B-9397-08002B2CF9AE}" pid="12" name="PE number">
    <vt:lpwstr>796.534</vt:lpwstr>
  </property>
  <property fmtid="{D5CDD505-2E9C-101B-9397-08002B2CF9AE}" pid="13" name="RegistreCheck">
    <vt:lpwstr>OK</vt:lpwstr>
  </property>
  <property fmtid="{D5CDD505-2E9C-101B-9397-08002B2CF9AE}" pid="14" name="SendToEpades">
    <vt:lpwstr>OK - 2026/10/20 12:16</vt:lpwstr>
  </property>
</Properties>
</file>