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4FA1" w:rsidTr="00C85D0F">
        <w:trPr>
          <w:trHeight w:hRule="exact" w:val="1418"/>
        </w:trPr>
        <w:tc>
          <w:tcPr>
            <w:tcW w:w="6804" w:type="dxa"/>
            <w:shd w:val="clear" w:color="auto" w:fill="auto"/>
            <w:vAlign w:val="center"/>
          </w:tcPr>
          <w:p w:rsidR="008B5034" w:rsidRPr="00143F9F" w:rsidRDefault="00AD7E19" w:rsidP="00C85D0F">
            <w:pPr>
              <w:pStyle w:val="EPName"/>
            </w:pPr>
            <w:r>
              <w:t>Europa-Parlamentet</w:t>
            </w:r>
          </w:p>
          <w:p w:rsidR="008B5034" w:rsidRPr="00143F9F" w:rsidRDefault="00AD7E19" w:rsidP="00A95229">
            <w:pPr>
              <w:pStyle w:val="EPTerm"/>
            </w:pPr>
            <w:r>
              <w:t>2019-2024</w:t>
            </w:r>
          </w:p>
        </w:tc>
        <w:tc>
          <w:tcPr>
            <w:tcW w:w="2268" w:type="dxa"/>
            <w:shd w:val="clear" w:color="auto" w:fill="auto"/>
          </w:tcPr>
          <w:p w:rsidR="008B5034" w:rsidRPr="00143F9F" w:rsidRDefault="00AD7E19" w:rsidP="00C85D0F">
            <w:pPr>
              <w:pStyle w:val="EPLogo"/>
            </w:pPr>
            <w:r w:rsidRPr="00143F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0198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1A3C" w:rsidRPr="00143F9F" w:rsidRDefault="00C71A3C" w:rsidP="00C71A3C">
      <w:pPr>
        <w:pStyle w:val="LineTop"/>
      </w:pPr>
    </w:p>
    <w:p w:rsidR="00C71A3C" w:rsidRPr="00143F9F" w:rsidRDefault="00AD7E19" w:rsidP="00C71A3C">
      <w:pPr>
        <w:pStyle w:val="EPBody"/>
      </w:pPr>
      <w:r>
        <w:rPr>
          <w:rStyle w:val="HideTWBExt"/>
        </w:rPr>
        <w:t>&lt;</w:t>
      </w:r>
      <w:r>
        <w:rPr>
          <w:rStyle w:val="HideTWBExt"/>
          <w:i w:val="0"/>
        </w:rPr>
        <w:t>Commission</w:t>
      </w:r>
      <w:r>
        <w:rPr>
          <w:rStyle w:val="HideTWBExt"/>
        </w:rPr>
        <w:t>&gt;</w:t>
      </w:r>
      <w:r>
        <w:rPr>
          <w:rStyle w:val="HideTWBInt"/>
          <w:color w:val="auto"/>
        </w:rPr>
        <w:t>{PECH}</w:t>
      </w:r>
      <w:r>
        <w:t>Fiskeriudvalget</w:t>
      </w:r>
      <w:r>
        <w:rPr>
          <w:rStyle w:val="HideTWBExt"/>
        </w:rPr>
        <w:t>&lt;/</w:t>
      </w:r>
      <w:r>
        <w:rPr>
          <w:rStyle w:val="HideTWBExt"/>
          <w:i w:val="0"/>
        </w:rPr>
        <w:t>Commission</w:t>
      </w:r>
      <w:r>
        <w:rPr>
          <w:rStyle w:val="HideTWBExt"/>
        </w:rPr>
        <w:t>&gt;</w:t>
      </w:r>
    </w:p>
    <w:p w:rsidR="00C71A3C" w:rsidRPr="00143F9F" w:rsidRDefault="00C71A3C" w:rsidP="00C71A3C">
      <w:pPr>
        <w:pStyle w:val="LineBottom"/>
      </w:pPr>
    </w:p>
    <w:p w:rsidR="00ED0821" w:rsidRPr="00143F9F" w:rsidRDefault="00AD7E19">
      <w:pPr>
        <w:pStyle w:val="CoverReference"/>
      </w:pPr>
      <w:r>
        <w:rPr>
          <w:rStyle w:val="HideTWBExt"/>
          <w:b w:val="0"/>
        </w:rPr>
        <w:t>&lt;RefProc&gt;</w:t>
      </w:r>
      <w:r>
        <w:t>2020/0302</w:t>
      </w:r>
      <w:r>
        <w:rPr>
          <w:rStyle w:val="HideTWBExt"/>
          <w:b w:val="0"/>
        </w:rPr>
        <w:t>&lt;/RefProc&gt;&lt;RefTypeProc&gt;</w:t>
      </w:r>
      <w:r>
        <w:t>(COD)</w:t>
      </w:r>
      <w:r>
        <w:rPr>
          <w:rStyle w:val="HideTWBExt"/>
          <w:b w:val="0"/>
        </w:rPr>
        <w:t>&lt;/RefTypeProc&gt;</w:t>
      </w:r>
    </w:p>
    <w:p w:rsidR="00ED0821" w:rsidRPr="00143F9F" w:rsidRDefault="00AD7E19">
      <w:pPr>
        <w:pStyle w:val="CoverDate"/>
      </w:pPr>
      <w:r>
        <w:rPr>
          <w:rStyle w:val="HideTWBExt"/>
        </w:rPr>
        <w:t>&lt;Date&gt;</w:t>
      </w:r>
      <w:r>
        <w:rPr>
          <w:rStyle w:val="HideTWBInt"/>
          <w:color w:val="auto"/>
        </w:rPr>
        <w:t>{29/04/2021}</w:t>
      </w:r>
      <w:r>
        <w:t>29.4.2021</w:t>
      </w:r>
      <w:r>
        <w:rPr>
          <w:rStyle w:val="HideTWBExt"/>
        </w:rPr>
        <w:t>&lt;/Date&gt;</w:t>
      </w:r>
    </w:p>
    <w:p w:rsidR="00ED0821" w:rsidRPr="00143F9F" w:rsidRDefault="00AD7E19">
      <w:pPr>
        <w:pStyle w:val="CoverDocType"/>
      </w:pPr>
      <w:r>
        <w:rPr>
          <w:rStyle w:val="HideTWBExt"/>
          <w:b w:val="0"/>
        </w:rPr>
        <w:t>&lt;RefProcLect&gt;</w:t>
      </w:r>
      <w:r>
        <w:t>***I</w:t>
      </w:r>
      <w:r>
        <w:rPr>
          <w:rStyle w:val="HideTWBExt"/>
          <w:b w:val="0"/>
        </w:rPr>
        <w:t>&lt;/RefProcLect&gt;</w:t>
      </w:r>
    </w:p>
    <w:p w:rsidR="00ED0821" w:rsidRPr="00143F9F" w:rsidRDefault="00AD7E19">
      <w:pPr>
        <w:pStyle w:val="CoverDocType24a"/>
      </w:pPr>
      <w:r>
        <w:rPr>
          <w:rStyle w:val="HideTWBExt"/>
          <w:b w:val="0"/>
        </w:rPr>
        <w:t>&lt;TitreType&gt;</w:t>
      </w:r>
      <w:r>
        <w:t>UDKAST TIL BETÆNKNING</w:t>
      </w:r>
      <w:r>
        <w:rPr>
          <w:rStyle w:val="HideTWBExt"/>
          <w:b w:val="0"/>
        </w:rPr>
        <w:t>&lt;/TitreType&gt;</w:t>
      </w:r>
    </w:p>
    <w:p w:rsidR="00ED0821" w:rsidRPr="00143F9F" w:rsidRDefault="00AD7E19">
      <w:pPr>
        <w:pStyle w:val="CoverNormal"/>
      </w:pPr>
      <w:r>
        <w:rPr>
          <w:rStyle w:val="HideTWBExt"/>
        </w:rPr>
        <w:t>&lt;Titre&gt;</w:t>
      </w:r>
      <w:r>
        <w:t>om forslag til Europa-Parlamentets og Rådets forordning om indførelse af et dokumentationsprogram for fangster af almindelig tun (Thunnus thynnus) og om ophævelse af Rådets forordning (EU) nr. 640/2010</w:t>
      </w:r>
      <w:r>
        <w:rPr>
          <w:rStyle w:val="HideTWBExt"/>
        </w:rPr>
        <w:t>&lt;/Titre&gt;</w:t>
      </w:r>
    </w:p>
    <w:p w:rsidR="00ED0821" w:rsidRPr="00143F9F" w:rsidRDefault="00AD7E19">
      <w:pPr>
        <w:pStyle w:val="CoverNormal24a"/>
      </w:pPr>
      <w:r>
        <w:rPr>
          <w:rStyle w:val="HideTWBExt"/>
        </w:rPr>
        <w:t>&lt;DocRef&gt;</w:t>
      </w:r>
      <w:r>
        <w:t>(COM(2020)0670 – C9-0336/2020 –</w:t>
      </w:r>
      <w:r>
        <w:t xml:space="preserve"> 2020/0302(COD))</w:t>
      </w:r>
      <w:r>
        <w:rPr>
          <w:rStyle w:val="HideTWBExt"/>
        </w:rPr>
        <w:t>&lt;/DocRef&gt;</w:t>
      </w:r>
    </w:p>
    <w:p w:rsidR="00ED0821" w:rsidRPr="00143F9F" w:rsidRDefault="00AD7E19">
      <w:pPr>
        <w:pStyle w:val="CoverNormal24a"/>
      </w:pPr>
      <w:r>
        <w:rPr>
          <w:rStyle w:val="HideTWBExt"/>
        </w:rPr>
        <w:t>&lt;Commission&gt;</w:t>
      </w:r>
      <w:r>
        <w:rPr>
          <w:rStyle w:val="HideTWBInt"/>
          <w:color w:val="auto"/>
        </w:rPr>
        <w:t>{PECH}</w:t>
      </w:r>
      <w:r>
        <w:t>Fiskeriudvalget</w:t>
      </w:r>
      <w:r>
        <w:rPr>
          <w:rStyle w:val="HideTWBExt"/>
        </w:rPr>
        <w:t>&lt;/Commission&gt;</w:t>
      </w:r>
    </w:p>
    <w:p w:rsidR="00ED0821" w:rsidRPr="00143F9F" w:rsidRDefault="00AD7E19">
      <w:pPr>
        <w:pStyle w:val="CoverNormal24a"/>
      </w:pPr>
      <w:r>
        <w:t xml:space="preserve">Ordfører: </w:t>
      </w:r>
      <w:r>
        <w:rPr>
          <w:rStyle w:val="HideTWBExt"/>
        </w:rPr>
        <w:t>&lt;Depute&gt;</w:t>
      </w:r>
      <w:r>
        <w:t>Gabriel Mato</w:t>
      </w:r>
      <w:r>
        <w:rPr>
          <w:rStyle w:val="HideTWBExt"/>
        </w:rPr>
        <w:t>&lt;/Depute&gt;</w:t>
      </w:r>
    </w:p>
    <w:p w:rsidR="00BE4EC7" w:rsidRPr="00143F9F" w:rsidRDefault="00AD7E19" w:rsidP="00BE4EC7">
      <w:pPr>
        <w:pStyle w:val="CoverNormal"/>
      </w:pPr>
      <w:r>
        <w:t>(Forenklet procedure – forretningsordenens artikel 52, stk. 1)</w:t>
      </w:r>
    </w:p>
    <w:p w:rsidR="00A95229" w:rsidRPr="00143F9F" w:rsidRDefault="00AD7E19" w:rsidP="00894923">
      <w:r>
        <w:br w:type="page"/>
      </w:r>
      <w:fldSimple w:instr=" TITLE  \* MERGEFORMAT ">
        <w:r>
          <w:t>PR_COD_1app</w:t>
        </w:r>
      </w:fldSimple>
    </w:p>
    <w:p w:rsidR="00A95229" w:rsidRPr="00143F9F" w:rsidRDefault="00A95229" w:rsidP="00894923"/>
    <w:p w:rsidR="00A95229" w:rsidRPr="00143F9F" w:rsidRDefault="00A9522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64FA1">
        <w:tc>
          <w:tcPr>
            <w:tcW w:w="5811" w:type="dxa"/>
          </w:tcPr>
          <w:p w:rsidR="00A95229" w:rsidRPr="00143F9F" w:rsidRDefault="00AD7E19" w:rsidP="00894923">
            <w:pPr>
              <w:pStyle w:val="Lgendetitre"/>
            </w:pPr>
            <w:r>
              <w:t>Tegnforklaring</w:t>
            </w:r>
          </w:p>
        </w:tc>
      </w:tr>
      <w:tr w:rsidR="00064FA1" w:rsidTr="00C50C36">
        <w:trPr>
          <w:cantSplit/>
          <w:trHeight w:val="1944"/>
        </w:trPr>
        <w:tc>
          <w:tcPr>
            <w:tcW w:w="5811" w:type="dxa"/>
            <w:tcBorders>
              <w:bottom w:val="single" w:sz="4" w:space="0" w:color="auto"/>
            </w:tcBorders>
          </w:tcPr>
          <w:p w:rsidR="00A95229" w:rsidRPr="00143F9F" w:rsidRDefault="00AD7E19" w:rsidP="00C36C9E">
            <w:pPr>
              <w:pStyle w:val="Lgendesigne"/>
              <w:rPr>
                <w:szCs w:val="24"/>
              </w:rPr>
            </w:pPr>
            <w:r>
              <w:tab/>
              <w:t>*</w:t>
            </w:r>
            <w:r>
              <w:tab/>
              <w:t>Høringsprocedure</w:t>
            </w:r>
          </w:p>
          <w:p w:rsidR="00A95229" w:rsidRPr="00143F9F" w:rsidRDefault="00AD7E19" w:rsidP="00C36C9E">
            <w:pPr>
              <w:pStyle w:val="Lgendesigne"/>
              <w:rPr>
                <w:szCs w:val="24"/>
              </w:rPr>
            </w:pPr>
            <w:r>
              <w:tab/>
            </w:r>
            <w:r>
              <w:t>***</w:t>
            </w:r>
            <w:r>
              <w:tab/>
              <w:t>Godkendelsesprocedure</w:t>
            </w:r>
          </w:p>
          <w:p w:rsidR="00A95229" w:rsidRPr="00143F9F" w:rsidRDefault="00AD7E19" w:rsidP="00C36C9E">
            <w:pPr>
              <w:pStyle w:val="Lgendesigne"/>
              <w:rPr>
                <w:szCs w:val="24"/>
              </w:rPr>
            </w:pPr>
            <w:r>
              <w:tab/>
              <w:t>***I</w:t>
            </w:r>
            <w:r>
              <w:tab/>
              <w:t>Almindelig lovgivningsprocedure (førstebehandling)</w:t>
            </w:r>
          </w:p>
          <w:p w:rsidR="00A95229" w:rsidRPr="00143F9F" w:rsidRDefault="00AD7E19" w:rsidP="00C36C9E">
            <w:pPr>
              <w:pStyle w:val="Lgendesigne"/>
              <w:rPr>
                <w:szCs w:val="24"/>
              </w:rPr>
            </w:pPr>
            <w:r>
              <w:tab/>
              <w:t>***II</w:t>
            </w:r>
            <w:r>
              <w:tab/>
              <w:t>Almindelig lovgivningsprocedure (andenbehandling)</w:t>
            </w:r>
          </w:p>
          <w:p w:rsidR="00A95229" w:rsidRPr="00143F9F" w:rsidRDefault="00AD7E19" w:rsidP="00C36C9E">
            <w:pPr>
              <w:pStyle w:val="Lgendesigne"/>
              <w:rPr>
                <w:szCs w:val="24"/>
              </w:rPr>
            </w:pPr>
            <w:r>
              <w:tab/>
              <w:t>***III</w:t>
            </w:r>
            <w:r>
              <w:tab/>
              <w:t>Almindelig lovgivningsprocedure (tredjebehandling)</w:t>
            </w:r>
          </w:p>
          <w:p w:rsidR="00A95229" w:rsidRPr="00143F9F" w:rsidRDefault="00A95229" w:rsidP="0069092A">
            <w:pPr>
              <w:pStyle w:val="Lgendestandard"/>
            </w:pPr>
          </w:p>
          <w:p w:rsidR="00A95229" w:rsidRPr="00143F9F" w:rsidRDefault="00AD7E19" w:rsidP="0069092A">
            <w:pPr>
              <w:pStyle w:val="Lgendestandard"/>
            </w:pPr>
            <w:r>
              <w:t>(Proceduren afhænger af, hvilket retsgrundlag der er val</w:t>
            </w:r>
            <w:r>
              <w:t>gt i udkastet til retsakt)</w:t>
            </w:r>
          </w:p>
          <w:p w:rsidR="00A95229" w:rsidRPr="00143F9F" w:rsidRDefault="00A95229" w:rsidP="0031005B">
            <w:pPr>
              <w:pStyle w:val="Lgendestandard"/>
            </w:pPr>
          </w:p>
        </w:tc>
      </w:tr>
    </w:tbl>
    <w:p w:rsidR="00A95229" w:rsidRPr="00143F9F" w:rsidRDefault="00A95229" w:rsidP="00894923"/>
    <w:p w:rsidR="00A95229" w:rsidRPr="00143F9F" w:rsidRDefault="00A95229" w:rsidP="00894923"/>
    <w:p w:rsidR="00A95229" w:rsidRPr="00143F9F" w:rsidRDefault="00A95229" w:rsidP="00894923"/>
    <w:p w:rsidR="00A95229" w:rsidRPr="00143F9F" w:rsidRDefault="00A9522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64FA1">
        <w:tc>
          <w:tcPr>
            <w:tcW w:w="5811" w:type="dxa"/>
          </w:tcPr>
          <w:p w:rsidR="00A95229" w:rsidRPr="00143F9F" w:rsidRDefault="00AD7E19" w:rsidP="00894923">
            <w:pPr>
              <w:pStyle w:val="Lgendetitre"/>
            </w:pPr>
            <w:r>
              <w:t>Ændringsforslag til et udkast til retsakt</w:t>
            </w:r>
          </w:p>
        </w:tc>
      </w:tr>
      <w:tr w:rsidR="00064FA1" w:rsidTr="006E3697">
        <w:trPr>
          <w:trHeight w:val="4923"/>
        </w:trPr>
        <w:tc>
          <w:tcPr>
            <w:tcW w:w="5811" w:type="dxa"/>
          </w:tcPr>
          <w:p w:rsidR="00A95229" w:rsidRPr="00143F9F" w:rsidRDefault="00AD7E19" w:rsidP="00C36C9E">
            <w:pPr>
              <w:pStyle w:val="Lgendestandard"/>
              <w:rPr>
                <w:b/>
                <w:szCs w:val="24"/>
              </w:rPr>
            </w:pPr>
            <w:r>
              <w:rPr>
                <w:b/>
                <w:szCs w:val="24"/>
              </w:rPr>
              <w:t>Ændringsforslag fra Parlamentet opstillet i to kolonner</w:t>
            </w:r>
          </w:p>
          <w:p w:rsidR="00A95229" w:rsidRPr="00143F9F" w:rsidRDefault="00A95229" w:rsidP="00C36C9E">
            <w:pPr>
              <w:pStyle w:val="Lgendestandard"/>
            </w:pPr>
          </w:p>
          <w:p w:rsidR="00A95229" w:rsidRPr="00143F9F" w:rsidRDefault="00AD7E19" w:rsidP="00C36C9E">
            <w:pPr>
              <w:pStyle w:val="Lgendestandard"/>
            </w:pPr>
            <w:r>
              <w:t xml:space="preserve">Tekst, der udgår, er markeret med </w:t>
            </w:r>
            <w:r>
              <w:rPr>
                <w:b/>
                <w:bCs/>
                <w:i/>
              </w:rPr>
              <w:t>fede typer og kursiv</w:t>
            </w:r>
            <w:r>
              <w:t xml:space="preserve"> i venstre kolonne. Tekst, der udskiftes, er markeret med </w:t>
            </w:r>
            <w:r>
              <w:rPr>
                <w:b/>
                <w:bCs/>
                <w:i/>
              </w:rPr>
              <w:t xml:space="preserve">fede typer </w:t>
            </w:r>
            <w:r>
              <w:rPr>
                <w:b/>
                <w:bCs/>
                <w:i/>
              </w:rPr>
              <w:t>og kursiv</w:t>
            </w:r>
            <w:r>
              <w:t xml:space="preserve"> i begge kolonner. Ny tekst er markeret med </w:t>
            </w:r>
            <w:r>
              <w:rPr>
                <w:b/>
                <w:bCs/>
                <w:i/>
              </w:rPr>
              <w:t>fede typer og kursiv</w:t>
            </w:r>
            <w:r>
              <w:t xml:space="preserve"> i højre kolonne.</w:t>
            </w:r>
          </w:p>
          <w:p w:rsidR="00A95229" w:rsidRPr="00143F9F" w:rsidRDefault="00A95229" w:rsidP="00C36C9E">
            <w:pPr>
              <w:pStyle w:val="Lgendestandard"/>
            </w:pPr>
          </w:p>
          <w:p w:rsidR="00A95229" w:rsidRPr="00143F9F" w:rsidRDefault="00AD7E19" w:rsidP="00C36C9E">
            <w:pPr>
              <w:pStyle w:val="Lgendestandard"/>
            </w:pPr>
            <w:r>
              <w:t>Den første og den anden linje i informationsblokken til hvert ændringsforslag angiver den relevante passage i det pågældende udkast til retsakt. Hvis et ændringsfor</w:t>
            </w:r>
            <w:r>
              <w:t>slag angår en eksisterende retsakt, som udkastet til retsakt har til formål at ændre, indeholder informationsblokken tillige en tredje og en fjerde linje, hvori det er anført, hvilken eksisterende retsakt og hvilken bestemmelse heri der er berørt.</w:t>
            </w:r>
          </w:p>
          <w:p w:rsidR="00A95229" w:rsidRPr="00143F9F" w:rsidRDefault="00A95229" w:rsidP="00C36C9E">
            <w:pPr>
              <w:pStyle w:val="Lgendestandard"/>
            </w:pPr>
          </w:p>
          <w:p w:rsidR="00A95229" w:rsidRPr="00143F9F" w:rsidRDefault="00AD7E19" w:rsidP="00C36C9E">
            <w:pPr>
              <w:pStyle w:val="Lgendestandard"/>
              <w:rPr>
                <w:b/>
                <w:szCs w:val="24"/>
              </w:rPr>
            </w:pPr>
            <w:r>
              <w:rPr>
                <w:b/>
                <w:szCs w:val="24"/>
              </w:rPr>
              <w:t>Ændring</w:t>
            </w:r>
            <w:r>
              <w:rPr>
                <w:b/>
                <w:szCs w:val="24"/>
              </w:rPr>
              <w:t>sforslag fra Parlamentet i form af en konsolideret tekst</w:t>
            </w:r>
          </w:p>
          <w:p w:rsidR="00A95229" w:rsidRPr="00143F9F" w:rsidRDefault="00A95229" w:rsidP="00C36C9E">
            <w:pPr>
              <w:pStyle w:val="Lgendestandard"/>
              <w:rPr>
                <w:szCs w:val="24"/>
              </w:rPr>
            </w:pPr>
          </w:p>
          <w:p w:rsidR="00A95229" w:rsidRPr="00143F9F" w:rsidRDefault="00AD7E19" w:rsidP="00C36C9E">
            <w:pPr>
              <w:pStyle w:val="Lgendestandard"/>
            </w:pPr>
            <w:r>
              <w:t xml:space="preserve">Ny tekst er markeret med </w:t>
            </w:r>
            <w:r>
              <w:rPr>
                <w:b/>
                <w:bCs/>
                <w:i/>
              </w:rPr>
              <w:t>fede typer og kursiv</w:t>
            </w:r>
            <w:r>
              <w:t xml:space="preserve">. Tekst, som er bortfaldet, markeres med symbolet ▌eller med overstregning. Ved udskiftninger markeres den nye tekst med </w:t>
            </w:r>
            <w:r>
              <w:rPr>
                <w:b/>
                <w:bCs/>
                <w:i/>
              </w:rPr>
              <w:t>fede typer og kursiv</w:t>
            </w:r>
            <w:r>
              <w:t>, og den uds</w:t>
            </w:r>
            <w:r>
              <w:t>kiftede tekst slettes eller overstreges.</w:t>
            </w:r>
          </w:p>
          <w:p w:rsidR="00A95229" w:rsidRPr="00143F9F" w:rsidRDefault="00AD7E19" w:rsidP="00C36C9E">
            <w:pPr>
              <w:pStyle w:val="Lgendestandard"/>
              <w:rPr>
                <w:szCs w:val="24"/>
              </w:rPr>
            </w:pPr>
            <w:r>
              <w:t>Som en undtagelse bliver rent tekniske justeringer, der er foretaget af de berørte tjenestegrene med henblik på udarbejdelsen af den endelige tekst, ikke markeret.</w:t>
            </w:r>
          </w:p>
          <w:p w:rsidR="00A95229" w:rsidRPr="00143F9F" w:rsidRDefault="00A95229" w:rsidP="0069092A">
            <w:pPr>
              <w:pStyle w:val="Lgendestandard"/>
            </w:pPr>
          </w:p>
        </w:tc>
      </w:tr>
    </w:tbl>
    <w:p w:rsidR="00A95229" w:rsidRPr="00143F9F" w:rsidRDefault="00A95229" w:rsidP="00894923"/>
    <w:p w:rsidR="00ED0821" w:rsidRPr="00143F9F" w:rsidRDefault="00ED0821" w:rsidP="00053B97">
      <w:pPr>
        <w:widowControl/>
        <w:tabs>
          <w:tab w:val="center" w:pos="4677"/>
        </w:tabs>
      </w:pPr>
    </w:p>
    <w:p w:rsidR="00ED0821" w:rsidRPr="00143F9F" w:rsidRDefault="00AD7E19">
      <w:pPr>
        <w:pStyle w:val="TOCHeading"/>
      </w:pPr>
      <w:r>
        <w:br w:type="page"/>
      </w:r>
      <w:r>
        <w:lastRenderedPageBreak/>
        <w:t>INDHOLD</w:t>
      </w:r>
    </w:p>
    <w:p w:rsidR="00ED0821" w:rsidRPr="00143F9F" w:rsidRDefault="00AD7E19">
      <w:pPr>
        <w:pStyle w:val="TOCPage"/>
      </w:pPr>
      <w:r>
        <w:t>Side</w:t>
      </w:r>
    </w:p>
    <w:p w:rsidR="00AD7E19" w:rsidRDefault="00AD7E19">
      <w:pPr>
        <w:pStyle w:val="TOC1"/>
        <w:tabs>
          <w:tab w:val="right" w:leader="dot" w:pos="9060"/>
        </w:tabs>
        <w:rPr>
          <w:rFonts w:asciiTheme="minorHAnsi" w:eastAsiaTheme="minorEastAsia" w:hAnsiTheme="minorHAnsi" w:cstheme="minorBidi"/>
          <w:noProof/>
          <w:sz w:val="22"/>
          <w:szCs w:val="22"/>
          <w:lang w:val="en-GB"/>
        </w:rPr>
      </w:pPr>
      <w:r w:rsidRPr="00143F9F">
        <w:rPr>
          <w:b/>
        </w:rPr>
        <w:fldChar w:fldCharType="begin"/>
      </w:r>
      <w:r w:rsidRPr="00143F9F">
        <w:rPr>
          <w:b/>
        </w:rPr>
        <w:instrText xml:space="preserve"> TOC \t "PageHeading;1" </w:instrText>
      </w:r>
      <w:r w:rsidRPr="00143F9F">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_Toc72227706 \h </w:instrText>
      </w:r>
      <w:r>
        <w:rPr>
          <w:noProof/>
        </w:rPr>
      </w:r>
      <w:r>
        <w:rPr>
          <w:noProof/>
        </w:rPr>
        <w:fldChar w:fldCharType="separate"/>
      </w:r>
      <w:r>
        <w:rPr>
          <w:noProof/>
        </w:rPr>
        <w:t>5</w:t>
      </w:r>
      <w:r>
        <w:rPr>
          <w:noProof/>
        </w:rPr>
        <w:fldChar w:fldCharType="end"/>
      </w:r>
    </w:p>
    <w:p w:rsidR="00AD7E19" w:rsidRDefault="00AD7E19">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_Toc72227707 \h </w:instrText>
      </w:r>
      <w:r>
        <w:rPr>
          <w:noProof/>
        </w:rPr>
      </w:r>
      <w:r>
        <w:rPr>
          <w:noProof/>
        </w:rPr>
        <w:fldChar w:fldCharType="separate"/>
      </w:r>
      <w:r>
        <w:rPr>
          <w:noProof/>
        </w:rPr>
        <w:t>6</w:t>
      </w:r>
      <w:r>
        <w:rPr>
          <w:noProof/>
        </w:rPr>
        <w:fldChar w:fldCharType="end"/>
      </w:r>
    </w:p>
    <w:p w:rsidR="001A06D8" w:rsidRPr="00143F9F" w:rsidRDefault="00AD7E19" w:rsidP="008E4B14">
      <w:r w:rsidRPr="00143F9F">
        <w:rPr>
          <w:b/>
        </w:rPr>
        <w:fldChar w:fldCharType="end"/>
      </w:r>
    </w:p>
    <w:p w:rsidR="00ED0821" w:rsidRPr="00143F9F" w:rsidRDefault="00AD7E19">
      <w:pPr>
        <w:pStyle w:val="PageHeading"/>
      </w:pPr>
      <w:r>
        <w:br w:type="page"/>
      </w:r>
      <w:r>
        <w:lastRenderedPageBreak/>
        <w:br w:type="page"/>
      </w:r>
      <w:bookmarkStart w:id="0" w:name="_Toc72227706"/>
      <w:r>
        <w:lastRenderedPageBreak/>
        <w:t>FORSLAG TIL EUROPA-PARLAMENTETS LOVGIVNINGSMÆSSIGE BESLUTNING</w:t>
      </w:r>
      <w:bookmarkEnd w:id="0"/>
    </w:p>
    <w:p w:rsidR="00ED0821" w:rsidRPr="00143F9F" w:rsidRDefault="00AD7E19">
      <w:pPr>
        <w:pStyle w:val="NormalBold"/>
      </w:pPr>
      <w:r>
        <w:t>om forslag til Europa-Parlamentets og Rådets forordning om indførelse af et dokumentationsprogram for fangster af almindelig</w:t>
      </w:r>
      <w:r>
        <w:t xml:space="preserve"> tun (Thunnus thynnus) og om ophævelse af Rådets forordning (EU) nr. 640/2010</w:t>
      </w:r>
    </w:p>
    <w:p w:rsidR="00ED0821" w:rsidRPr="00143F9F" w:rsidRDefault="00AD7E19">
      <w:pPr>
        <w:pStyle w:val="NormalBold12a"/>
      </w:pPr>
      <w:r>
        <w:t>(COM(2020)0670 – C9-0336/2020 – 2020/0302(COD))</w:t>
      </w:r>
    </w:p>
    <w:p w:rsidR="00ED0821" w:rsidRPr="00143F9F" w:rsidRDefault="00AD7E19" w:rsidP="00837978">
      <w:pPr>
        <w:pStyle w:val="NormalBold"/>
      </w:pPr>
      <w:r>
        <w:t>(Almindelig lovgivningsprocedure: førstebehandling)</w:t>
      </w:r>
    </w:p>
    <w:p w:rsidR="00ED0821" w:rsidRPr="00143F9F" w:rsidRDefault="00AD7E19">
      <w:pPr>
        <w:pStyle w:val="EPComma"/>
      </w:pPr>
      <w:r>
        <w:rPr>
          <w:i/>
        </w:rPr>
        <w:t>Europa-Parlamentet</w:t>
      </w:r>
      <w:r>
        <w:t>,</w:t>
      </w:r>
    </w:p>
    <w:p w:rsidR="00ED0821" w:rsidRPr="00143F9F" w:rsidRDefault="00AD7E19">
      <w:pPr>
        <w:pStyle w:val="NormalHanging12a"/>
      </w:pPr>
      <w:r>
        <w:t>–</w:t>
      </w:r>
      <w:r>
        <w:tab/>
        <w:t>der henviser til Kommissionens forslag til Europa-Parlam</w:t>
      </w:r>
      <w:r>
        <w:t>entet og Rådet (COM(2020)0670),</w:t>
      </w:r>
    </w:p>
    <w:p w:rsidR="00ED0821" w:rsidRPr="00143F9F" w:rsidRDefault="00AD7E19">
      <w:pPr>
        <w:pStyle w:val="NormalHanging12a"/>
      </w:pPr>
      <w:r>
        <w:t>–</w:t>
      </w:r>
      <w:r>
        <w:tab/>
        <w:t>der henviser til artikel 294, stk. 2, og artikel 43, stk. 2, i traktaten om Den Europæiske Unions funktionsmåde, på grundlag af hvilke Kommissionen har forelagt forslaget for Parlamentet (C9-0336/2020),</w:t>
      </w:r>
    </w:p>
    <w:p w:rsidR="00ED0609" w:rsidRPr="00143F9F" w:rsidRDefault="00AD7E19" w:rsidP="00ED0609">
      <w:pPr>
        <w:pStyle w:val="NormalHanging12a"/>
      </w:pPr>
      <w:r>
        <w:t>–</w:t>
      </w:r>
      <w:r>
        <w:tab/>
        <w:t xml:space="preserve">der henviser til </w:t>
      </w:r>
      <w:r>
        <w:t>artikel 294, stk. 3, i traktaten om Den Europæiske Unions funktionsmåde,</w:t>
      </w:r>
    </w:p>
    <w:p w:rsidR="00A95229" w:rsidRPr="00143F9F" w:rsidRDefault="00AD7E19" w:rsidP="008663F8">
      <w:pPr>
        <w:pStyle w:val="NormalHanging12a"/>
      </w:pPr>
      <w:r>
        <w:t>–</w:t>
      </w:r>
      <w:r>
        <w:tab/>
        <w:t>der henviser til udtalelse af 27. januar 2021</w:t>
      </w:r>
      <w:r>
        <w:rPr>
          <w:rStyle w:val="FootnoteReference"/>
        </w:rPr>
        <w:footnoteReference w:id="1"/>
      </w:r>
      <w:r>
        <w:t xml:space="preserve"> fra Det Europæiske Økonomiske og Sociale Udvalg,</w:t>
      </w:r>
    </w:p>
    <w:p w:rsidR="00ED0821" w:rsidRPr="00143F9F" w:rsidRDefault="00AD7E19">
      <w:pPr>
        <w:pStyle w:val="NormalHanging12a"/>
      </w:pPr>
      <w:r>
        <w:t>–</w:t>
      </w:r>
      <w:r>
        <w:tab/>
        <w:t>der henviser til forretningsordenens artikel 59,</w:t>
      </w:r>
    </w:p>
    <w:p w:rsidR="00DF6C13" w:rsidRPr="00143F9F" w:rsidRDefault="00AD7E19" w:rsidP="00DF6C13">
      <w:pPr>
        <w:pStyle w:val="NormalHanging12a"/>
      </w:pPr>
      <w:r>
        <w:t>–</w:t>
      </w:r>
      <w:r>
        <w:tab/>
        <w:t xml:space="preserve">der henviser til betænkning fra </w:t>
      </w:r>
      <w:r>
        <w:t>Fiskeriudvalget (A9-0000/2021),</w:t>
      </w:r>
    </w:p>
    <w:p w:rsidR="00ED0821" w:rsidRPr="00143F9F" w:rsidRDefault="00AD7E19">
      <w:pPr>
        <w:pStyle w:val="NormalHanging12a"/>
      </w:pPr>
      <w:r>
        <w:t>1.</w:t>
      </w:r>
      <w:r>
        <w:tab/>
        <w:t>vedtager sin holdning ved førstebehandling, hvormed Kommissionens forslag overtages;</w:t>
      </w:r>
    </w:p>
    <w:p w:rsidR="00ED0821" w:rsidRPr="00143F9F" w:rsidRDefault="00AD7E19">
      <w:pPr>
        <w:pStyle w:val="NormalHanging12a"/>
      </w:pPr>
      <w:r>
        <w:t>2.</w:t>
      </w:r>
      <w:r>
        <w:tab/>
        <w:t>anmoder om fornyet forelæggelse, hvis Kommissionen erstatter, i væsentlig grad ændrer eller agter i væsentlig grad at ændre sit forsl</w:t>
      </w:r>
      <w:r>
        <w:t>ag;</w:t>
      </w:r>
    </w:p>
    <w:p w:rsidR="00194B53" w:rsidRPr="00143F9F" w:rsidRDefault="00AD7E19" w:rsidP="00194B53">
      <w:pPr>
        <w:pStyle w:val="NormalHanging12a"/>
      </w:pPr>
      <w:r>
        <w:t>3.</w:t>
      </w:r>
      <w:r>
        <w:tab/>
        <w:t>pålægger sin formand at sende Parlamentets holdning til Rådet og Kommissionen samt til de nationale parlamenter.</w:t>
      </w:r>
    </w:p>
    <w:p w:rsidR="00194B53" w:rsidRPr="00143F9F" w:rsidRDefault="00AD7E19" w:rsidP="00194B53">
      <w:pPr>
        <w:widowControl/>
      </w:pPr>
      <w:r>
        <w:br w:type="page"/>
      </w:r>
    </w:p>
    <w:p w:rsidR="00194B53" w:rsidRPr="00143F9F" w:rsidRDefault="00AD7E19" w:rsidP="00194B53">
      <w:pPr>
        <w:pStyle w:val="PageHeading"/>
      </w:pPr>
      <w:bookmarkStart w:id="1" w:name="_Toc70598234"/>
      <w:bookmarkStart w:id="2" w:name="_Toc72227707"/>
      <w:r>
        <w:lastRenderedPageBreak/>
        <w:t>BEGRUNDELSE</w:t>
      </w:r>
      <w:bookmarkEnd w:id="1"/>
      <w:bookmarkEnd w:id="2"/>
    </w:p>
    <w:p w:rsidR="00194B53" w:rsidRPr="00143F9F" w:rsidRDefault="00AD7E19" w:rsidP="00194B53">
      <w:pPr>
        <w:spacing w:after="240"/>
        <w:rPr>
          <w:b/>
          <w:bCs/>
        </w:rPr>
      </w:pPr>
      <w:r>
        <w:rPr>
          <w:b/>
          <w:bCs/>
        </w:rPr>
        <w:t>Baggrund for forslaget</w:t>
      </w:r>
    </w:p>
    <w:p w:rsidR="00194B53" w:rsidRPr="00143F9F" w:rsidRDefault="00AD7E19" w:rsidP="00194B53">
      <w:pPr>
        <w:spacing w:after="240"/>
      </w:pPr>
      <w:r>
        <w:t>Den Europæiske Union har været kontraherende part i den internationale konvention om bevarelse af t</w:t>
      </w:r>
      <w:r>
        <w:t xml:space="preserve">unfiskebestanden i Atlanterhavet (i det følgende benævnt "ICCAT-konventionen") siden 1997. </w:t>
      </w:r>
    </w:p>
    <w:p w:rsidR="00194B53" w:rsidRPr="00143F9F" w:rsidRDefault="00AD7E19" w:rsidP="00194B53">
      <w:pPr>
        <w:spacing w:after="240"/>
      </w:pPr>
      <w:r>
        <w:t>ICCAT-konventionen fastlægger en ramme for det regionale samarbejde om bevarelse og forvaltning af bestandene af tunfisk og beslægtede arter i Atlanterhavet og tils</w:t>
      </w:r>
      <w:r>
        <w:t xml:space="preserve">tødende farvande gennem oprettelsen af en international kommission for bevarelse af tunfiskebestanden i Atlanterhavet (ICCAT). </w:t>
      </w:r>
    </w:p>
    <w:p w:rsidR="00194B53" w:rsidRPr="00143F9F" w:rsidRDefault="00AD7E19" w:rsidP="00194B53">
      <w:pPr>
        <w:spacing w:after="240"/>
      </w:pPr>
      <w:r>
        <w:t>ICCAT har beføjelse til at vedtage bindende henstillinger med henblik på bevarelse og forvaltning af det fiskeri, der hører unde</w:t>
      </w:r>
      <w:r>
        <w:t xml:space="preserve">r organisationens kompetenceområde. Selv om disse henstillinger hovedsagelig er rettet til de kontraherende parter i ICCAT, såsom Unionen, kan de omfatte forpligtelser for de private operatører (f.eks. fartøjsførere). </w:t>
      </w:r>
    </w:p>
    <w:p w:rsidR="00194B53" w:rsidRPr="00143F9F" w:rsidRDefault="00AD7E19" w:rsidP="00194B53">
      <w:pPr>
        <w:spacing w:after="240"/>
        <w:rPr>
          <w:b/>
          <w:bCs/>
        </w:rPr>
      </w:pPr>
      <w:r>
        <w:rPr>
          <w:b/>
          <w:bCs/>
        </w:rPr>
        <w:t xml:space="preserve">Forslagets indhold </w:t>
      </w:r>
    </w:p>
    <w:p w:rsidR="00194B53" w:rsidRPr="00143F9F" w:rsidRDefault="00AD7E19" w:rsidP="00194B53">
      <w:pPr>
        <w:spacing w:after="240"/>
      </w:pPr>
      <w:r>
        <w:t>Dette forslag [COM(2020)0670] fastsætter bestemmelserne for et EU-dokumentationsprogram for fangster af almindelig tun til gennemførelse af bevarelses- og forvaltningsforanstaltninger, der er vedtaget af ICCAT, inden for rammerne af dens dokumentationsordn</w:t>
      </w:r>
      <w:r>
        <w:t xml:space="preserve">ing for fangster af almindelig tun. Sidstnævnte har til formål at identificere oprindelsen af al almindelig tun. </w:t>
      </w:r>
    </w:p>
    <w:p w:rsidR="00194B53" w:rsidRPr="00143F9F" w:rsidRDefault="00AD7E19" w:rsidP="00194B53">
      <w:pPr>
        <w:spacing w:after="240"/>
      </w:pPr>
      <w:r>
        <w:t>Der findes faktisk allerede et EU-dokumentationsprogram for fangster i henhold til forordning (EU) nr. 640/2010. I det foreliggende forslag, s</w:t>
      </w:r>
      <w:r>
        <w:t>om har til formål at ophæve forordning (EU) nr. 640/2010, foretages registreringen og attestering af fangst og efterfølgende handler for almindelig tun ved hjælp af et elektronisk dokumentationssystem for fangster af almindelig tun (eBCD), som har fungeret</w:t>
      </w:r>
      <w:r>
        <w:t xml:space="preserve"> siden 2017, og som medlemsstaterne og operatørerne allerede anvender. I forslaget fastsættes, at det elektroniske system undtagelsesvis kan erstattes af dokumenter i papirform (BCD, fangstopgørelsen for almindelig tun), som svarer til kravene i det elektr</w:t>
      </w:r>
      <w:r>
        <w:t>oniske system.</w:t>
      </w:r>
    </w:p>
    <w:p w:rsidR="00194B53" w:rsidRPr="00143F9F" w:rsidRDefault="00AD7E19" w:rsidP="00194B53">
      <w:pPr>
        <w:spacing w:after="240"/>
      </w:pPr>
      <w:r>
        <w:t>I forslaget fastsættes desuden generelle bestemmelser om brugen af fangstattester og reeksportdokumenter for almindelig tun og regler for registrering og attestering af fangster og efterfølgende handler med almindelig tun. Der er fastsat sær</w:t>
      </w:r>
      <w:r>
        <w:t>lige regler for mærkede fisk. Forslaget indeholder også supplerende bestemmelser om verifikation før attestering, indberetning af data om eBCD-brugere og årlig rapportering til ICCAT. Endelig foreslår Kommissionen en omfattende anvendelse af delegerede ret</w:t>
      </w:r>
      <w:r>
        <w:t>sakter med henblik på at ændre basisretsakten i fremtiden (i artikel 14).</w:t>
      </w:r>
    </w:p>
    <w:p w:rsidR="00194B53" w:rsidRPr="00143F9F" w:rsidRDefault="00AD7E19" w:rsidP="00194B53">
      <w:pPr>
        <w:spacing w:after="240"/>
        <w:rPr>
          <w:b/>
        </w:rPr>
      </w:pPr>
      <w:r>
        <w:rPr>
          <w:b/>
        </w:rPr>
        <w:t>Ordførerens holdning</w:t>
      </w:r>
    </w:p>
    <w:p w:rsidR="00194B53" w:rsidRPr="00143F9F" w:rsidRDefault="00AD7E19" w:rsidP="00194B53">
      <w:pPr>
        <w:spacing w:after="240"/>
      </w:pPr>
      <w:r>
        <w:t>Ordføreren glæder sig over, at Kommissionen har foretaget en streng gennemførelse af ICCAT-henstillingerne og dermed skabt lige vilkår for alle operatører. Sikri</w:t>
      </w:r>
      <w:r>
        <w:t xml:space="preserve">ng af ens vilkår for alle og samtidig fremme EU's høje bæredygtighedsstandarder for udenlandske flåder gennem EU-tiltag i regionale fiskeriforvaltningsorganisationer (RFFO'er) og andre </w:t>
      </w:r>
      <w:r>
        <w:lastRenderedPageBreak/>
        <w:t>internationale fora er afgørende for vores operatører og for at forbedr</w:t>
      </w:r>
      <w:r>
        <w:t xml:space="preserve">e den internationale havforvaltning. </w:t>
      </w:r>
    </w:p>
    <w:p w:rsidR="00194B53" w:rsidRPr="00143F9F" w:rsidRDefault="00AD7E19" w:rsidP="00194B53">
      <w:pPr>
        <w:spacing w:after="240"/>
      </w:pPr>
      <w:r>
        <w:t>Ordføreren mener, at det er vigtigt over for operatørerne, offentligheden og vores partnerlande, at Kommissionen foreslår en hurtig gennemførelse af RFFO'ernes henstillinger for at undgå forsinkelser i gennemførelsen a</w:t>
      </w:r>
      <w:r>
        <w:t xml:space="preserve">f visse bestemmelser. Det er ikke logisk, at ICCAT-henstillingerne fra 2018, hvori fristerne var fastsat til 2020, først vedtages i 2021. </w:t>
      </w:r>
    </w:p>
    <w:p w:rsidR="00194B53" w:rsidRPr="00143F9F" w:rsidRDefault="00AD7E19" w:rsidP="00194B53">
      <w:pPr>
        <w:spacing w:after="240"/>
      </w:pPr>
      <w:r>
        <w:t xml:space="preserve">På denne baggrund og i betragtning af, at denne sag i høj grad indebærer en teknisk gennemførelse uden et væsentligt </w:t>
      </w:r>
      <w:r>
        <w:t>politisk indhold, har ordføreren besluttet ikke at fremsætte ændringsforslag til Kommissionens forslag.</w:t>
      </w:r>
    </w:p>
    <w:p w:rsidR="002A1CE3" w:rsidRPr="00143F9F" w:rsidRDefault="002A1CE3" w:rsidP="00194B53">
      <w:pPr>
        <w:pStyle w:val="NormalHanging12a"/>
      </w:pPr>
      <w:bookmarkStart w:id="3" w:name="_GoBack"/>
      <w:bookmarkEnd w:id="3"/>
    </w:p>
    <w:sectPr w:rsidR="002A1CE3" w:rsidRPr="00143F9F" w:rsidSect="00567D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D7E19">
      <w:r>
        <w:separator/>
      </w:r>
    </w:p>
  </w:endnote>
  <w:endnote w:type="continuationSeparator" w:id="0">
    <w:p w:rsidR="00000000" w:rsidRDefault="00AD7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22" w:rsidRPr="00AD7E19" w:rsidRDefault="00AD7E19" w:rsidP="00567D22">
    <w:pPr>
      <w:pStyle w:val="EPFooter"/>
      <w:rPr>
        <w:lang w:val="fr-FR"/>
      </w:rPr>
    </w:pPr>
    <w:r w:rsidRPr="00AD7E19">
      <w:rPr>
        <w:lang w:val="fr-FR"/>
      </w:rPr>
      <w:t>PE</w:t>
    </w:r>
    <w:r w:rsidRPr="00AD7E19">
      <w:rPr>
        <w:rStyle w:val="HideTWBExt"/>
        <w:noProof w:val="0"/>
        <w:lang w:val="fr-FR"/>
      </w:rPr>
      <w:t>&lt;NoPE&gt;</w:t>
    </w:r>
    <w:r w:rsidRPr="00AD7E19">
      <w:rPr>
        <w:lang w:val="fr-FR"/>
      </w:rPr>
      <w:t>692.613</w:t>
    </w:r>
    <w:r w:rsidRPr="00AD7E19">
      <w:rPr>
        <w:rStyle w:val="HideTWBExt"/>
        <w:noProof w:val="0"/>
        <w:lang w:val="fr-FR"/>
      </w:rPr>
      <w:t>&lt;/NoPE&gt;&lt;Version&gt;</w:t>
    </w:r>
    <w:r w:rsidRPr="00AD7E19">
      <w:rPr>
        <w:lang w:val="fr-FR"/>
      </w:rPr>
      <w:t>v01-00</w:t>
    </w:r>
    <w:r w:rsidRPr="00AD7E19">
      <w:rPr>
        <w:rStyle w:val="HideTWBExt"/>
        <w:noProof w:val="0"/>
        <w:lang w:val="fr-FR"/>
      </w:rPr>
      <w:t>&lt;/Version&gt;</w:t>
    </w:r>
    <w:r w:rsidRPr="00AD7E19">
      <w:rPr>
        <w:lang w:val="fr-FR"/>
      </w:rPr>
      <w:tab/>
    </w:r>
    <w:r w:rsidRPr="00567D22">
      <w:fldChar w:fldCharType="begin"/>
    </w:r>
    <w:r w:rsidRPr="00AD7E19">
      <w:rPr>
        <w:lang w:val="fr-FR"/>
      </w:rPr>
      <w:instrText xml:space="preserve"> PAGE  \* MERGEFORMAT </w:instrText>
    </w:r>
    <w:r w:rsidRPr="00567D22">
      <w:fldChar w:fldCharType="separate"/>
    </w:r>
    <w:r>
      <w:rPr>
        <w:noProof/>
        <w:lang w:val="fr-FR"/>
      </w:rPr>
      <w:t>2</w:t>
    </w:r>
    <w:r w:rsidRPr="00567D22">
      <w:fldChar w:fldCharType="end"/>
    </w:r>
    <w:r w:rsidRPr="00AD7E19">
      <w:rPr>
        <w:lang w:val="fr-FR"/>
      </w:rPr>
      <w:t>/</w:t>
    </w:r>
    <w:r w:rsidR="00A1447D">
      <w:fldChar w:fldCharType="begin"/>
    </w:r>
    <w:r w:rsidR="00A1447D" w:rsidRPr="00AD7E19">
      <w:rPr>
        <w:lang w:val="fr-FR"/>
      </w:rPr>
      <w:instrText xml:space="preserve"> NUMPAGES  \* MERGEFORMAT </w:instrText>
    </w:r>
    <w:r w:rsidR="00A1447D">
      <w:fldChar w:fldCharType="separate"/>
    </w:r>
    <w:r>
      <w:rPr>
        <w:noProof/>
        <w:lang w:val="fr-FR"/>
      </w:rPr>
      <w:t>7</w:t>
    </w:r>
    <w:r w:rsidR="00A1447D">
      <w:rPr>
        <w:noProof/>
      </w:rPr>
      <w:fldChar w:fldCharType="end"/>
    </w:r>
    <w:r w:rsidRPr="00AD7E19">
      <w:rPr>
        <w:lang w:val="fr-FR"/>
      </w:rPr>
      <w:tab/>
    </w:r>
    <w:r w:rsidRPr="00AD7E19">
      <w:rPr>
        <w:rStyle w:val="HideTWBExt"/>
        <w:noProof w:val="0"/>
        <w:lang w:val="fr-FR"/>
      </w:rPr>
      <w:t>&lt;PathFdR&gt;</w:t>
    </w:r>
    <w:r w:rsidRPr="00AD7E19">
      <w:rPr>
        <w:lang w:val="fr-FR"/>
      </w:rPr>
      <w:t>PR\1230271DA.docx</w:t>
    </w:r>
    <w:r w:rsidRPr="00AD7E19">
      <w:rPr>
        <w:rStyle w:val="HideTWBExt"/>
        <w:noProof w:val="0"/>
        <w:lang w:val="fr-FR"/>
      </w:rPr>
      <w:t>&lt;/PathFdR&gt;</w:t>
    </w:r>
  </w:p>
  <w:p w:rsidR="00302A66" w:rsidRPr="00567D22" w:rsidRDefault="00AD7E19" w:rsidP="00567D22">
    <w:pPr>
      <w:pStyle w:val="EPFooter2"/>
    </w:pPr>
    <w:r w:rsidRPr="00567D2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22" w:rsidRPr="00AD7E19" w:rsidRDefault="00AD7E19" w:rsidP="00567D22">
    <w:pPr>
      <w:pStyle w:val="EPFooter"/>
      <w:rPr>
        <w:lang w:val="pt-PT"/>
      </w:rPr>
    </w:pPr>
    <w:r w:rsidRPr="00AD7E19">
      <w:rPr>
        <w:rStyle w:val="HideTWBExt"/>
        <w:noProof w:val="0"/>
        <w:lang w:val="pt-PT"/>
      </w:rPr>
      <w:t>&lt;PathFdR&gt;</w:t>
    </w:r>
    <w:r w:rsidRPr="00AD7E19">
      <w:rPr>
        <w:lang w:val="pt-PT"/>
      </w:rPr>
      <w:t>PR\1230271DA.docx</w:t>
    </w:r>
    <w:r w:rsidRPr="00AD7E19">
      <w:rPr>
        <w:rStyle w:val="HideTWBExt"/>
        <w:noProof w:val="0"/>
        <w:lang w:val="pt-PT"/>
      </w:rPr>
      <w:t>&lt;/PathFdR&gt;</w:t>
    </w:r>
    <w:r w:rsidRPr="00AD7E19">
      <w:rPr>
        <w:lang w:val="pt-PT"/>
      </w:rPr>
      <w:tab/>
    </w:r>
    <w:r w:rsidRPr="00567D22">
      <w:fldChar w:fldCharType="begin"/>
    </w:r>
    <w:r w:rsidRPr="00AD7E19">
      <w:rPr>
        <w:lang w:val="pt-PT"/>
      </w:rPr>
      <w:instrText xml:space="preserve"> PAGE  \* MERGEFORMAT </w:instrText>
    </w:r>
    <w:r w:rsidRPr="00567D22">
      <w:fldChar w:fldCharType="separate"/>
    </w:r>
    <w:r>
      <w:rPr>
        <w:noProof/>
        <w:lang w:val="pt-PT"/>
      </w:rPr>
      <w:t>3</w:t>
    </w:r>
    <w:r w:rsidRPr="00567D22">
      <w:fldChar w:fldCharType="end"/>
    </w:r>
    <w:r w:rsidRPr="00AD7E19">
      <w:rPr>
        <w:lang w:val="pt-PT"/>
      </w:rPr>
      <w:t>/</w:t>
    </w:r>
    <w:r w:rsidR="00A1447D">
      <w:fldChar w:fldCharType="begin"/>
    </w:r>
    <w:r w:rsidR="00A1447D" w:rsidRPr="00AD7E19">
      <w:rPr>
        <w:lang w:val="pt-PT"/>
      </w:rPr>
      <w:instrText xml:space="preserve"> NUMPAGES  \* MERGEFORMAT </w:instrText>
    </w:r>
    <w:r w:rsidR="00A1447D">
      <w:fldChar w:fldCharType="separate"/>
    </w:r>
    <w:r>
      <w:rPr>
        <w:noProof/>
        <w:lang w:val="pt-PT"/>
      </w:rPr>
      <w:t>7</w:t>
    </w:r>
    <w:r w:rsidR="00A1447D">
      <w:rPr>
        <w:noProof/>
      </w:rPr>
      <w:fldChar w:fldCharType="end"/>
    </w:r>
    <w:r w:rsidRPr="00AD7E19">
      <w:rPr>
        <w:lang w:val="pt-PT"/>
      </w:rPr>
      <w:tab/>
      <w:t>PE</w:t>
    </w:r>
    <w:r w:rsidRPr="00AD7E19">
      <w:rPr>
        <w:rStyle w:val="HideTWBExt"/>
        <w:noProof w:val="0"/>
        <w:lang w:val="pt-PT"/>
      </w:rPr>
      <w:t>&lt;NoPE&gt;</w:t>
    </w:r>
    <w:r w:rsidRPr="00AD7E19">
      <w:rPr>
        <w:lang w:val="pt-PT"/>
      </w:rPr>
      <w:t>692.613</w:t>
    </w:r>
    <w:r w:rsidRPr="00AD7E19">
      <w:rPr>
        <w:rStyle w:val="HideTWBExt"/>
        <w:noProof w:val="0"/>
        <w:lang w:val="pt-PT"/>
      </w:rPr>
      <w:t>&lt;/NoPE&gt;&lt;Version&gt;</w:t>
    </w:r>
    <w:r w:rsidRPr="00AD7E19">
      <w:rPr>
        <w:lang w:val="pt-PT"/>
      </w:rPr>
      <w:t>v01-00</w:t>
    </w:r>
    <w:r w:rsidRPr="00AD7E19">
      <w:rPr>
        <w:rStyle w:val="HideTWBExt"/>
        <w:noProof w:val="0"/>
        <w:lang w:val="pt-PT"/>
      </w:rPr>
      <w:t>&lt;/Version&gt;</w:t>
    </w:r>
  </w:p>
  <w:p w:rsidR="00302A66" w:rsidRPr="00AD7E19" w:rsidRDefault="00AD7E19" w:rsidP="00567D22">
    <w:pPr>
      <w:pStyle w:val="EPFooter2"/>
      <w:rPr>
        <w:lang w:val="pt-PT"/>
      </w:rPr>
    </w:pPr>
    <w:r w:rsidRPr="00AD7E19">
      <w:rPr>
        <w:lang w:val="pt-PT"/>
      </w:rPr>
      <w:tab/>
    </w:r>
    <w:r w:rsidRPr="00AD7E19">
      <w:rPr>
        <w:lang w:val="pt-PT"/>
      </w:rP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22" w:rsidRPr="00567D22" w:rsidRDefault="00AD7E19" w:rsidP="00567D22">
    <w:pPr>
      <w:pStyle w:val="EPFooter"/>
    </w:pPr>
    <w:r w:rsidRPr="00567D22">
      <w:rPr>
        <w:rStyle w:val="HideTWBExt"/>
        <w:noProof w:val="0"/>
      </w:rPr>
      <w:t>&lt;PathFdR&gt;</w:t>
    </w:r>
    <w:r w:rsidRPr="00567D22">
      <w:t>PR\1230271DA.docx</w:t>
    </w:r>
    <w:r w:rsidRPr="00567D22">
      <w:rPr>
        <w:rStyle w:val="HideTWBExt"/>
        <w:noProof w:val="0"/>
      </w:rPr>
      <w:t>&lt;/PathFdR&gt;</w:t>
    </w:r>
    <w:r w:rsidRPr="00567D22">
      <w:tab/>
    </w:r>
    <w:r w:rsidRPr="00567D22">
      <w:tab/>
    </w:r>
    <w:r w:rsidRPr="00567D22">
      <w:t>PE</w:t>
    </w:r>
    <w:r w:rsidRPr="00567D22">
      <w:rPr>
        <w:rStyle w:val="HideTWBExt"/>
        <w:noProof w:val="0"/>
      </w:rPr>
      <w:t>&lt;NoPE&gt;</w:t>
    </w:r>
    <w:r w:rsidRPr="00567D22">
      <w:t>692.613</w:t>
    </w:r>
    <w:r w:rsidRPr="00567D22">
      <w:rPr>
        <w:rStyle w:val="HideTWBExt"/>
        <w:noProof w:val="0"/>
      </w:rPr>
      <w:t>&lt;/NoPE&gt;&lt;Version&gt;</w:t>
    </w:r>
    <w:r w:rsidRPr="00567D22">
      <w:t>v01-00</w:t>
    </w:r>
    <w:r w:rsidRPr="00567D22">
      <w:rPr>
        <w:rStyle w:val="HideTWBExt"/>
        <w:noProof w:val="0"/>
      </w:rPr>
      <w:t>&lt;/Version&gt;</w:t>
    </w:r>
  </w:p>
  <w:p w:rsidR="00302A66" w:rsidRPr="00567D22" w:rsidRDefault="00AD7E19" w:rsidP="00567D22">
    <w:pPr>
      <w:pStyle w:val="EPFooter2"/>
    </w:pPr>
    <w:r w:rsidRPr="00567D22">
      <w:t>DA</w:t>
    </w:r>
    <w:r w:rsidRPr="00567D22">
      <w:tab/>
    </w:r>
    <w:r w:rsidRPr="00567D22">
      <w:rPr>
        <w:b w:val="0"/>
        <w:i/>
        <w:color w:val="C0C0C0"/>
        <w:sz w:val="22"/>
      </w:rPr>
      <w:t>Forenet i mangfoldighed</w:t>
    </w:r>
    <w:r w:rsidRPr="00567D22">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A74" w:rsidRPr="00567D22" w:rsidRDefault="00AD7E19">
      <w:r w:rsidRPr="00567D22">
        <w:separator/>
      </w:r>
    </w:p>
  </w:footnote>
  <w:footnote w:type="continuationSeparator" w:id="0">
    <w:p w:rsidR="004B4A74" w:rsidRPr="00567D22" w:rsidRDefault="00AD7E19">
      <w:r w:rsidRPr="00567D22">
        <w:continuationSeparator/>
      </w:r>
    </w:p>
  </w:footnote>
  <w:footnote w:id="1">
    <w:p w:rsidR="00A95229" w:rsidRPr="00567D22" w:rsidRDefault="00AD7E19">
      <w:pPr>
        <w:pStyle w:val="FootnoteText"/>
      </w:pPr>
      <w:r>
        <w:rPr>
          <w:rStyle w:val="FootnoteReference"/>
        </w:rPr>
        <w:footnoteRef/>
      </w:r>
      <w:r>
        <w:t xml:space="preserve"> 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877" w:rsidRDefault="003318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877" w:rsidRDefault="003318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877" w:rsidRDefault="00331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DOCMNU" w:val=" 1"/>
    <w:docVar w:name="INSTITUTIONSMNU" w:val=" 1"/>
    <w:docVar w:name="JURI1MNU" w:val=" 2"/>
    <w:docVar w:name="JURI2MNU" w:val=" 2"/>
    <w:docVar w:name="LastEditedSection" w:val=" 1"/>
    <w:docVar w:name="PARLIAMENTSMNU" w:val=" 2"/>
    <w:docVar w:name="strDocTypeID" w:val="PR_COD_1app"/>
    <w:docVar w:name="strSubDir" w:val="1230"/>
    <w:docVar w:name="TXTLANGUE" w:val="DA"/>
    <w:docVar w:name="TXTLANGUEMIN" w:val="da"/>
    <w:docVar w:name="TXTNRC" w:val="0336/2020"/>
    <w:docVar w:name="TXTNRCOD" w:val="2020/0302"/>
    <w:docVar w:name="TXTNRCOM" w:val="(2020)0670"/>
    <w:docVar w:name="TXTNRPE" w:val="692.613"/>
    <w:docVar w:name="TXTPEorAP" w:val="PE"/>
    <w:docVar w:name="TXTROUTE" w:val="PR\1230271DA.docx"/>
    <w:docVar w:name="TXTTITLE" w:val="indførelse af et dokumentationsprogram for fangster af almindelig tun (Thunnus thynnus) og om ophævelse af Rådets forordning (EU) nr. 640/2010"/>
    <w:docVar w:name="TXTVERSION" w:val="01-00"/>
  </w:docVars>
  <w:rsids>
    <w:rsidRoot w:val="004B4A74"/>
    <w:rsid w:val="00053B97"/>
    <w:rsid w:val="00064FA1"/>
    <w:rsid w:val="000B5585"/>
    <w:rsid w:val="000C5EDC"/>
    <w:rsid w:val="00104AEE"/>
    <w:rsid w:val="00143F9F"/>
    <w:rsid w:val="00164B9B"/>
    <w:rsid w:val="00182506"/>
    <w:rsid w:val="001907B9"/>
    <w:rsid w:val="00194B53"/>
    <w:rsid w:val="001A06D8"/>
    <w:rsid w:val="001D3524"/>
    <w:rsid w:val="00260FAA"/>
    <w:rsid w:val="002A1CE3"/>
    <w:rsid w:val="002B272A"/>
    <w:rsid w:val="002C3187"/>
    <w:rsid w:val="00302A66"/>
    <w:rsid w:val="003059AA"/>
    <w:rsid w:val="0031005B"/>
    <w:rsid w:val="0031764E"/>
    <w:rsid w:val="00331877"/>
    <w:rsid w:val="003A53CE"/>
    <w:rsid w:val="003C5583"/>
    <w:rsid w:val="003F02FF"/>
    <w:rsid w:val="004078CB"/>
    <w:rsid w:val="0041661E"/>
    <w:rsid w:val="00433573"/>
    <w:rsid w:val="00490742"/>
    <w:rsid w:val="00490D5F"/>
    <w:rsid w:val="004B4A74"/>
    <w:rsid w:val="004D7B3B"/>
    <w:rsid w:val="004F67E3"/>
    <w:rsid w:val="00543B7B"/>
    <w:rsid w:val="005571A0"/>
    <w:rsid w:val="005663F7"/>
    <w:rsid w:val="00567D22"/>
    <w:rsid w:val="0065285A"/>
    <w:rsid w:val="0065535A"/>
    <w:rsid w:val="0069092A"/>
    <w:rsid w:val="007908B5"/>
    <w:rsid w:val="007D611D"/>
    <w:rsid w:val="00814B44"/>
    <w:rsid w:val="00837978"/>
    <w:rsid w:val="008663F8"/>
    <w:rsid w:val="00894923"/>
    <w:rsid w:val="008A07E3"/>
    <w:rsid w:val="008B26BF"/>
    <w:rsid w:val="008B5034"/>
    <w:rsid w:val="008E22DF"/>
    <w:rsid w:val="008E4B14"/>
    <w:rsid w:val="00913414"/>
    <w:rsid w:val="00972ED6"/>
    <w:rsid w:val="00A02CEA"/>
    <w:rsid w:val="00A1447D"/>
    <w:rsid w:val="00A40C66"/>
    <w:rsid w:val="00A43E6A"/>
    <w:rsid w:val="00A62C81"/>
    <w:rsid w:val="00A95229"/>
    <w:rsid w:val="00AD26AD"/>
    <w:rsid w:val="00AD7E19"/>
    <w:rsid w:val="00AE4E74"/>
    <w:rsid w:val="00AF7573"/>
    <w:rsid w:val="00B37926"/>
    <w:rsid w:val="00B52B6C"/>
    <w:rsid w:val="00BA5740"/>
    <w:rsid w:val="00BD28D4"/>
    <w:rsid w:val="00BE1457"/>
    <w:rsid w:val="00BE4EC7"/>
    <w:rsid w:val="00BF6269"/>
    <w:rsid w:val="00C36C9E"/>
    <w:rsid w:val="00C54859"/>
    <w:rsid w:val="00C5782E"/>
    <w:rsid w:val="00C71A3C"/>
    <w:rsid w:val="00C82EBC"/>
    <w:rsid w:val="00C85D0F"/>
    <w:rsid w:val="00D1777C"/>
    <w:rsid w:val="00D919CF"/>
    <w:rsid w:val="00DC3DED"/>
    <w:rsid w:val="00DF6C13"/>
    <w:rsid w:val="00E24902"/>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45AE2A-E14C-4A38-8CD0-3DF0605E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A95229"/>
    <w:pPr>
      <w:tabs>
        <w:tab w:val="right" w:pos="454"/>
        <w:tab w:val="left" w:pos="737"/>
      </w:tabs>
      <w:ind w:left="737" w:hanging="737"/>
    </w:pPr>
    <w:rPr>
      <w:snapToGrid w:val="0"/>
      <w:sz w:val="18"/>
      <w:lang w:eastAsia="en-US"/>
    </w:rPr>
  </w:style>
  <w:style w:type="paragraph" w:customStyle="1" w:styleId="Lgendetitre">
    <w:name w:val="Légende titre"/>
    <w:basedOn w:val="Normal"/>
    <w:rsid w:val="00A95229"/>
    <w:pPr>
      <w:spacing w:before="240" w:after="240"/>
    </w:pPr>
    <w:rPr>
      <w:b/>
      <w:i/>
      <w:snapToGrid w:val="0"/>
      <w:lang w:eastAsia="en-US"/>
    </w:rPr>
  </w:style>
  <w:style w:type="paragraph" w:customStyle="1" w:styleId="Lgendestandard">
    <w:name w:val="Légende standard"/>
    <w:basedOn w:val="Normal"/>
    <w:rsid w:val="00A95229"/>
    <w:rPr>
      <w:sz w:val="18"/>
    </w:rPr>
  </w:style>
  <w:style w:type="paragraph" w:styleId="FootnoteText">
    <w:name w:val="footnote text"/>
    <w:basedOn w:val="Normal"/>
    <w:link w:val="FootnoteTextChar"/>
    <w:rsid w:val="00A95229"/>
    <w:rPr>
      <w:sz w:val="20"/>
    </w:rPr>
  </w:style>
  <w:style w:type="character" w:customStyle="1" w:styleId="FootnoteTextChar">
    <w:name w:val="Footnote Text Char"/>
    <w:basedOn w:val="DefaultParagraphFont"/>
    <w:link w:val="FootnoteText"/>
    <w:rsid w:val="00A95229"/>
    <w:rPr>
      <w:lang w:val="da-DK"/>
    </w:rPr>
  </w:style>
  <w:style w:type="character" w:styleId="FootnoteReference">
    <w:name w:val="footnote reference"/>
    <w:basedOn w:val="DefaultParagraphFont"/>
    <w:rsid w:val="00A95229"/>
    <w:rPr>
      <w:vertAlign w:val="superscript"/>
    </w:rPr>
  </w:style>
  <w:style w:type="paragraph" w:styleId="Footer">
    <w:name w:val="footer"/>
    <w:basedOn w:val="Normal"/>
    <w:link w:val="FooterChar"/>
    <w:semiHidden/>
    <w:rsid w:val="00331877"/>
    <w:pPr>
      <w:tabs>
        <w:tab w:val="center" w:pos="4513"/>
        <w:tab w:val="right" w:pos="9026"/>
      </w:tabs>
    </w:pPr>
  </w:style>
  <w:style w:type="character" w:customStyle="1" w:styleId="FooterChar">
    <w:name w:val="Footer Char"/>
    <w:basedOn w:val="DefaultParagraphFont"/>
    <w:link w:val="Footer"/>
    <w:semiHidden/>
    <w:rsid w:val="0033187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A2917-6B9B-4E99-AF20-790A7985C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963</Words>
  <Characters>6352</Characters>
  <Application>Microsoft Office Word</Application>
  <DocSecurity>0</DocSecurity>
  <Lines>151</Lines>
  <Paragraphs>70</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HEINSOEE Katja</dc:creator>
  <cp:lastModifiedBy>JENSEN Pia Gunnersen</cp:lastModifiedBy>
  <cp:revision>2</cp:revision>
  <cp:lastPrinted>2004-11-04T10:10:00Z</cp:lastPrinted>
  <dcterms:created xsi:type="dcterms:W3CDTF">2021-05-18T08:54:00Z</dcterms:created>
  <dcterms:modified xsi:type="dcterms:W3CDTF">2021-05-18T08:54:00Z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1230271</vt:lpwstr>
  </property>
  <property fmtid="{D5CDD505-2E9C-101B-9397-08002B2CF9AE}" pid="4" name="&lt;Model&gt;">
    <vt:lpwstr>PR_COD_1app</vt:lpwstr>
  </property>
  <property fmtid="{D5CDD505-2E9C-101B-9397-08002B2CF9AE}" pid="5" name="&lt;ModelCod&gt;">
    <vt:lpwstr>\\eiciBRUpr1\pdocep$\DocEP\DOCS\General\PR\PR_Leg\COD\COD_1st\PR_COD_1app.dotx(17/04/2020 19:27:09)</vt:lpwstr>
  </property>
  <property fmtid="{D5CDD505-2E9C-101B-9397-08002B2CF9AE}" pid="6" name="&lt;ModelTra&gt;">
    <vt:lpwstr>\\eiciBRUpr1\pdocep$\DocEP\TRANSFIL\DA\PR_COD_1app.DA(07/09/2020 19:06:16)</vt:lpwstr>
  </property>
  <property fmtid="{D5CDD505-2E9C-101B-9397-08002B2CF9AE}" pid="7" name="&lt;Type&gt;">
    <vt:lpwstr>PR</vt:lpwstr>
  </property>
  <property fmtid="{D5CDD505-2E9C-101B-9397-08002B2CF9AE}" pid="8" name="Bookout">
    <vt:lpwstr>OK - 2021/05/18 10:54</vt:lpwstr>
  </property>
  <property fmtid="{D5CDD505-2E9C-101B-9397-08002B2CF9AE}" pid="9" name="Created with">
    <vt:lpwstr>9.9.1 Build [20200705]</vt:lpwstr>
  </property>
  <property fmtid="{D5CDD505-2E9C-101B-9397-08002B2CF9AE}" pid="10" name="FooterPath">
    <vt:lpwstr>PR\1230271DA.docx</vt:lpwstr>
  </property>
  <property fmtid="{D5CDD505-2E9C-101B-9397-08002B2CF9AE}" pid="11" name="LastEdited with">
    <vt:lpwstr>9.9.1 Build [20200705]</vt:lpwstr>
  </property>
  <property fmtid="{D5CDD505-2E9C-101B-9397-08002B2CF9AE}" pid="12" name="PE number">
    <vt:lpwstr>692.613</vt:lpwstr>
  </property>
  <property fmtid="{D5CDD505-2E9C-101B-9397-08002B2CF9AE}" pid="13" name="SDLStudio">
    <vt:lpwstr/>
  </property>
</Properties>
</file>