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E21112" w:rsidRPr="0090659E" w:rsidTr="00905B76">
        <w:trPr>
          <w:trHeight w:hRule="exact" w:val="1418"/>
        </w:trPr>
        <w:tc>
          <w:tcPr>
            <w:tcW w:w="6804" w:type="dxa"/>
            <w:shd w:val="clear" w:color="auto" w:fill="auto"/>
            <w:vAlign w:val="center"/>
          </w:tcPr>
          <w:p w:rsidR="00E21112" w:rsidRPr="0090659E" w:rsidRDefault="00E21112" w:rsidP="00905B76">
            <w:pPr>
              <w:pStyle w:val="EPName"/>
            </w:pPr>
            <w:r w:rsidRPr="0090659E">
              <w:t>Euroopa Parlament</w:t>
            </w:r>
          </w:p>
          <w:p w:rsidR="00E21112" w:rsidRPr="0090659E" w:rsidRDefault="00E21112" w:rsidP="00905B76">
            <w:pPr>
              <w:pStyle w:val="EPTerm"/>
            </w:pPr>
            <w:r w:rsidRPr="0090659E">
              <w:t>2019-2024</w:t>
            </w:r>
          </w:p>
        </w:tc>
        <w:tc>
          <w:tcPr>
            <w:tcW w:w="2268" w:type="dxa"/>
            <w:shd w:val="clear" w:color="auto" w:fill="auto"/>
          </w:tcPr>
          <w:p w:rsidR="00E21112" w:rsidRPr="0090659E" w:rsidRDefault="00E21112" w:rsidP="00905B76">
            <w:pPr>
              <w:pStyle w:val="EPLogo"/>
            </w:pPr>
            <w:r w:rsidRPr="0090659E">
              <w:rPr>
                <w:lang w:val="en-GB"/>
              </w:rPr>
              <w:drawing>
                <wp:inline distT="0" distB="0" distL="0" distR="0" wp14:anchorId="78992A94" wp14:editId="2703581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E21112" w:rsidRPr="0090659E" w:rsidRDefault="00E21112" w:rsidP="00E21112">
      <w:pPr>
        <w:pStyle w:val="LineTop"/>
      </w:pPr>
    </w:p>
    <w:p w:rsidR="00E21112" w:rsidRPr="0090659E" w:rsidRDefault="00E21112" w:rsidP="00E21112">
      <w:pPr>
        <w:pStyle w:val="EPBody"/>
      </w:pPr>
      <w:r w:rsidRPr="0090659E">
        <w:rPr>
          <w:rStyle w:val="HideTWBExt"/>
          <w:noProof w:val="0"/>
        </w:rPr>
        <w:t>&lt;</w:t>
      </w:r>
      <w:r w:rsidRPr="0090659E">
        <w:rPr>
          <w:rStyle w:val="HideTWBExt"/>
          <w:i w:val="0"/>
          <w:noProof w:val="0"/>
        </w:rPr>
        <w:t>Commission</w:t>
      </w:r>
      <w:r w:rsidRPr="0090659E">
        <w:rPr>
          <w:rStyle w:val="HideTWBExt"/>
          <w:noProof w:val="0"/>
        </w:rPr>
        <w:t>&gt;</w:t>
      </w:r>
      <w:r w:rsidRPr="0090659E">
        <w:rPr>
          <w:rStyle w:val="HideTWBInt"/>
        </w:rPr>
        <w:t>{PECH}</w:t>
      </w:r>
      <w:r w:rsidRPr="0090659E">
        <w:t>Kalanduskomisjon</w:t>
      </w:r>
      <w:r w:rsidRPr="0090659E">
        <w:rPr>
          <w:rStyle w:val="HideTWBExt"/>
          <w:noProof w:val="0"/>
        </w:rPr>
        <w:t>&lt;/</w:t>
      </w:r>
      <w:r w:rsidRPr="0090659E">
        <w:rPr>
          <w:rStyle w:val="HideTWBExt"/>
          <w:i w:val="0"/>
          <w:noProof w:val="0"/>
        </w:rPr>
        <w:t>Commission</w:t>
      </w:r>
      <w:r w:rsidRPr="0090659E">
        <w:rPr>
          <w:rStyle w:val="HideTWBExt"/>
          <w:noProof w:val="0"/>
        </w:rPr>
        <w:t>&gt;</w:t>
      </w:r>
    </w:p>
    <w:p w:rsidR="00E21112" w:rsidRPr="0090659E" w:rsidRDefault="00E21112" w:rsidP="00E21112">
      <w:pPr>
        <w:pStyle w:val="LineBottom"/>
      </w:pPr>
    </w:p>
    <w:p w:rsidR="00E21112" w:rsidRPr="0090659E" w:rsidRDefault="00E21112" w:rsidP="00E21112">
      <w:pPr>
        <w:pStyle w:val="CoverReference"/>
      </w:pPr>
      <w:r w:rsidRPr="0090659E">
        <w:rPr>
          <w:rStyle w:val="HideTWBExt"/>
          <w:b w:val="0"/>
          <w:noProof w:val="0"/>
        </w:rPr>
        <w:t>&lt;RefProc&gt;</w:t>
      </w:r>
      <w:r w:rsidRPr="0090659E">
        <w:t>2020/0302</w:t>
      </w:r>
      <w:r w:rsidRPr="0090659E">
        <w:rPr>
          <w:rStyle w:val="HideTWBExt"/>
          <w:b w:val="0"/>
          <w:noProof w:val="0"/>
        </w:rPr>
        <w:t>&lt;/RefProc&gt;&lt;RefTypeProc&gt;</w:t>
      </w:r>
      <w:r w:rsidRPr="0090659E">
        <w:t>(COD)</w:t>
      </w:r>
      <w:r w:rsidRPr="0090659E">
        <w:rPr>
          <w:rStyle w:val="HideTWBExt"/>
          <w:b w:val="0"/>
          <w:noProof w:val="0"/>
        </w:rPr>
        <w:t>&lt;/RefTypeProc&gt;</w:t>
      </w:r>
    </w:p>
    <w:p w:rsidR="00E21112" w:rsidRPr="0090659E" w:rsidRDefault="00E21112" w:rsidP="00E21112">
      <w:pPr>
        <w:pStyle w:val="CoverDate"/>
      </w:pPr>
      <w:r w:rsidRPr="0090659E">
        <w:rPr>
          <w:rStyle w:val="HideTWBExt"/>
          <w:noProof w:val="0"/>
        </w:rPr>
        <w:t>&lt;Date&gt;</w:t>
      </w:r>
      <w:r w:rsidRPr="0090659E">
        <w:rPr>
          <w:rStyle w:val="HideTWBInt"/>
        </w:rPr>
        <w:t>{29/04/2021}</w:t>
      </w:r>
      <w:r w:rsidRPr="0090659E">
        <w:t>29.4.2021</w:t>
      </w:r>
      <w:r w:rsidRPr="0090659E">
        <w:rPr>
          <w:rStyle w:val="HideTWBExt"/>
          <w:noProof w:val="0"/>
        </w:rPr>
        <w:t>&lt;/Date&gt;</w:t>
      </w:r>
    </w:p>
    <w:p w:rsidR="00E21112" w:rsidRPr="0090659E" w:rsidRDefault="00E21112" w:rsidP="00E21112">
      <w:pPr>
        <w:pStyle w:val="CoverDocType"/>
      </w:pPr>
      <w:r w:rsidRPr="0090659E">
        <w:rPr>
          <w:rStyle w:val="HideTWBExt"/>
          <w:b w:val="0"/>
          <w:noProof w:val="0"/>
        </w:rPr>
        <w:t>&lt;RefProcLect&gt;</w:t>
      </w:r>
      <w:r w:rsidRPr="0090659E">
        <w:t>***I</w:t>
      </w:r>
      <w:r w:rsidRPr="0090659E">
        <w:rPr>
          <w:rStyle w:val="HideTWBExt"/>
          <w:b w:val="0"/>
          <w:noProof w:val="0"/>
        </w:rPr>
        <w:t>&lt;/RefProcLect&gt;</w:t>
      </w:r>
    </w:p>
    <w:p w:rsidR="00E21112" w:rsidRPr="0090659E" w:rsidRDefault="00E21112" w:rsidP="00E21112">
      <w:pPr>
        <w:pStyle w:val="CoverDocType24a"/>
      </w:pPr>
      <w:r w:rsidRPr="0090659E">
        <w:rPr>
          <w:rStyle w:val="HideTWBExt"/>
          <w:b w:val="0"/>
          <w:noProof w:val="0"/>
        </w:rPr>
        <w:t>&lt;TitreType&gt;</w:t>
      </w:r>
      <w:r w:rsidRPr="0090659E">
        <w:t>RAPORTI PROJEKT</w:t>
      </w:r>
      <w:r w:rsidRPr="0090659E">
        <w:rPr>
          <w:rStyle w:val="HideTWBExt"/>
          <w:b w:val="0"/>
          <w:noProof w:val="0"/>
        </w:rPr>
        <w:t>&lt;/TitreType&gt;</w:t>
      </w:r>
    </w:p>
    <w:p w:rsidR="00E21112" w:rsidRPr="0090659E" w:rsidRDefault="00E21112" w:rsidP="00E21112">
      <w:pPr>
        <w:pStyle w:val="CoverNormal"/>
      </w:pPr>
      <w:r w:rsidRPr="0090659E">
        <w:rPr>
          <w:rStyle w:val="HideTWBExt"/>
          <w:noProof w:val="0"/>
        </w:rPr>
        <w:t>&lt;Titre&gt;</w:t>
      </w:r>
      <w:r w:rsidRPr="0090659E">
        <w:t>ettepaneku kohta võtta vastu Euroopa Parlamendi ja nõukogu määrus, millega kehtestatakse hariliku tuuni (Thunnus thynnus) püügi dokumenteerimise programm ning tunnistatakse kehtetuks määrus (EÜ) nr 640/2010</w:t>
      </w:r>
      <w:r w:rsidRPr="0090659E">
        <w:rPr>
          <w:rStyle w:val="HideTWBExt"/>
          <w:noProof w:val="0"/>
        </w:rPr>
        <w:t>&lt;/Titre&gt;</w:t>
      </w:r>
    </w:p>
    <w:p w:rsidR="00E21112" w:rsidRPr="0090659E" w:rsidRDefault="00E21112" w:rsidP="00E21112">
      <w:pPr>
        <w:pStyle w:val="CoverNormal24a"/>
      </w:pPr>
      <w:r w:rsidRPr="0090659E">
        <w:rPr>
          <w:rStyle w:val="HideTWBExt"/>
          <w:noProof w:val="0"/>
        </w:rPr>
        <w:t>&lt;DocRef&gt;</w:t>
      </w:r>
      <w:r w:rsidRPr="0090659E">
        <w:t>(COM(2020)0670 – C9</w:t>
      </w:r>
      <w:r w:rsidRPr="0090659E">
        <w:noBreakHyphen/>
        <w:t>0336/2020 – 2020/0302(COD))</w:t>
      </w:r>
      <w:r w:rsidRPr="0090659E">
        <w:rPr>
          <w:rStyle w:val="HideTWBExt"/>
          <w:noProof w:val="0"/>
        </w:rPr>
        <w:t>&lt;/DocRef&gt;</w:t>
      </w:r>
    </w:p>
    <w:p w:rsidR="00E21112" w:rsidRPr="0090659E" w:rsidRDefault="00E21112" w:rsidP="00E21112">
      <w:pPr>
        <w:pStyle w:val="CoverNormal24a"/>
      </w:pPr>
      <w:r w:rsidRPr="0090659E">
        <w:rPr>
          <w:rStyle w:val="HideTWBExt"/>
          <w:noProof w:val="0"/>
        </w:rPr>
        <w:t>&lt;Commission&gt;</w:t>
      </w:r>
      <w:r w:rsidRPr="0090659E">
        <w:rPr>
          <w:rStyle w:val="HideTWBInt"/>
        </w:rPr>
        <w:t>{PECH}</w:t>
      </w:r>
      <w:r w:rsidRPr="0090659E">
        <w:t>Kalanduskomisjon</w:t>
      </w:r>
      <w:r w:rsidRPr="0090659E">
        <w:rPr>
          <w:rStyle w:val="HideTWBExt"/>
          <w:noProof w:val="0"/>
        </w:rPr>
        <w:t>&lt;/Commission&gt;</w:t>
      </w:r>
    </w:p>
    <w:p w:rsidR="00E21112" w:rsidRPr="0090659E" w:rsidRDefault="00E21112" w:rsidP="00E21112">
      <w:pPr>
        <w:pStyle w:val="CoverNormal24a"/>
      </w:pPr>
      <w:r w:rsidRPr="0090659E">
        <w:t xml:space="preserve">Raportöör: </w:t>
      </w:r>
      <w:r w:rsidRPr="0090659E">
        <w:rPr>
          <w:rStyle w:val="HideTWBExt"/>
          <w:noProof w:val="0"/>
        </w:rPr>
        <w:t>&lt;Depute&gt;</w:t>
      </w:r>
      <w:r w:rsidRPr="0090659E">
        <w:t>Gabriel Mato</w:t>
      </w:r>
      <w:r w:rsidRPr="0090659E">
        <w:rPr>
          <w:rStyle w:val="HideTWBExt"/>
          <w:noProof w:val="0"/>
        </w:rPr>
        <w:t>&lt;/Depute&gt;</w:t>
      </w:r>
    </w:p>
    <w:p w:rsidR="00E21112" w:rsidRPr="0090659E" w:rsidRDefault="00E21112" w:rsidP="00E21112">
      <w:pPr>
        <w:pStyle w:val="CoverNormal"/>
      </w:pPr>
      <w:r w:rsidRPr="0090659E">
        <w:t>(Lihtsustatud menetlus – kodukorra artikli 52 lõige 1)</w:t>
      </w:r>
    </w:p>
    <w:p w:rsidR="00E21112" w:rsidRPr="0090659E" w:rsidRDefault="00E21112" w:rsidP="00E21112">
      <w:r w:rsidRPr="0090659E">
        <w:br w:type="page"/>
      </w:r>
      <w:fldSimple w:instr=" TITLE  \* MERGEFORMAT ">
        <w:r w:rsidR="00472DAD">
          <w:t>PR_COD_1app</w:t>
        </w:r>
      </w:fldSimple>
    </w:p>
    <w:p w:rsidR="00E21112" w:rsidRPr="0090659E" w:rsidRDefault="00E21112" w:rsidP="00E21112"/>
    <w:p w:rsidR="00E21112" w:rsidRPr="0090659E" w:rsidRDefault="00E21112" w:rsidP="00E21112"/>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E21112" w:rsidRPr="0090659E" w:rsidTr="00905B76">
        <w:tc>
          <w:tcPr>
            <w:tcW w:w="5811" w:type="dxa"/>
          </w:tcPr>
          <w:p w:rsidR="00E21112" w:rsidRPr="0090659E" w:rsidRDefault="00E21112" w:rsidP="00905B76">
            <w:pPr>
              <w:pStyle w:val="Lgendetitre"/>
            </w:pPr>
            <w:r w:rsidRPr="0090659E">
              <w:t>Kasutatud tähised</w:t>
            </w:r>
          </w:p>
        </w:tc>
      </w:tr>
      <w:tr w:rsidR="00E21112" w:rsidRPr="0090659E" w:rsidTr="00905B76">
        <w:trPr>
          <w:cantSplit/>
          <w:trHeight w:val="1807"/>
        </w:trPr>
        <w:tc>
          <w:tcPr>
            <w:tcW w:w="5811" w:type="dxa"/>
            <w:tcBorders>
              <w:bottom w:val="single" w:sz="4" w:space="0" w:color="auto"/>
            </w:tcBorders>
          </w:tcPr>
          <w:p w:rsidR="00E21112" w:rsidRPr="0090659E" w:rsidRDefault="00E21112" w:rsidP="00905B76">
            <w:pPr>
              <w:pStyle w:val="Lgendesigne"/>
            </w:pPr>
            <w:r w:rsidRPr="0090659E">
              <w:tab/>
              <w:t>*</w:t>
            </w:r>
            <w:r w:rsidRPr="0090659E">
              <w:tab/>
              <w:t>nõuandemenetlus</w:t>
            </w:r>
          </w:p>
          <w:p w:rsidR="00E21112" w:rsidRPr="0090659E" w:rsidRDefault="00E21112" w:rsidP="00905B76">
            <w:pPr>
              <w:pStyle w:val="Lgendesigne"/>
            </w:pPr>
            <w:r w:rsidRPr="0090659E">
              <w:tab/>
              <w:t>***</w:t>
            </w:r>
            <w:r w:rsidRPr="0090659E">
              <w:tab/>
              <w:t>nõusolekumenetlus</w:t>
            </w:r>
          </w:p>
          <w:p w:rsidR="00E21112" w:rsidRPr="0090659E" w:rsidRDefault="00E21112" w:rsidP="00905B76">
            <w:pPr>
              <w:pStyle w:val="Lgendesigne"/>
            </w:pPr>
            <w:r w:rsidRPr="0090659E">
              <w:tab/>
              <w:t>***I</w:t>
            </w:r>
            <w:r w:rsidRPr="0090659E">
              <w:tab/>
              <w:t>seadusandlik tavamenetlus (esimene lugemine)</w:t>
            </w:r>
          </w:p>
          <w:p w:rsidR="00E21112" w:rsidRPr="0090659E" w:rsidRDefault="00E21112" w:rsidP="00905B76">
            <w:pPr>
              <w:pStyle w:val="Lgendesigne"/>
            </w:pPr>
            <w:r w:rsidRPr="0090659E">
              <w:tab/>
              <w:t>***II</w:t>
            </w:r>
            <w:r w:rsidRPr="0090659E">
              <w:tab/>
              <w:t>seadusandlik tavamenetlus (teine lugemine)</w:t>
            </w:r>
          </w:p>
          <w:p w:rsidR="00E21112" w:rsidRPr="0090659E" w:rsidRDefault="00E21112" w:rsidP="00905B76">
            <w:pPr>
              <w:pStyle w:val="Lgendesigne"/>
            </w:pPr>
            <w:r w:rsidRPr="0090659E">
              <w:tab/>
              <w:t>***III</w:t>
            </w:r>
            <w:r w:rsidRPr="0090659E">
              <w:tab/>
              <w:t>seadusandlik tavamenetlus (kolmas lugemine)</w:t>
            </w:r>
          </w:p>
          <w:p w:rsidR="00E21112" w:rsidRPr="0090659E" w:rsidRDefault="00E21112" w:rsidP="00905B76">
            <w:pPr>
              <w:pStyle w:val="Lgendestandard"/>
            </w:pPr>
          </w:p>
          <w:p w:rsidR="00E21112" w:rsidRPr="0090659E" w:rsidRDefault="00E21112" w:rsidP="00905B76">
            <w:pPr>
              <w:pStyle w:val="Lgendestandard"/>
            </w:pPr>
            <w:r w:rsidRPr="0090659E">
              <w:t>(Märgitud menetlus põhineb õigusakti eelnõus esitatud õiguslikul alusel.)</w:t>
            </w:r>
          </w:p>
          <w:p w:rsidR="00E21112" w:rsidRPr="0090659E" w:rsidRDefault="00E21112" w:rsidP="00905B76">
            <w:pPr>
              <w:pStyle w:val="Lgendestandard"/>
            </w:pPr>
          </w:p>
        </w:tc>
      </w:tr>
    </w:tbl>
    <w:p w:rsidR="00E21112" w:rsidRPr="0090659E" w:rsidRDefault="00E21112" w:rsidP="00E21112"/>
    <w:p w:rsidR="00E21112" w:rsidRPr="0090659E" w:rsidRDefault="00E21112" w:rsidP="00E21112"/>
    <w:p w:rsidR="00E21112" w:rsidRPr="0090659E" w:rsidRDefault="00E21112" w:rsidP="00E21112"/>
    <w:p w:rsidR="00E21112" w:rsidRPr="0090659E" w:rsidRDefault="00E21112" w:rsidP="00E21112"/>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firstRow="0" w:lastRow="0" w:firstColumn="0" w:lastColumn="0" w:noHBand="0" w:noVBand="0"/>
      </w:tblPr>
      <w:tblGrid>
        <w:gridCol w:w="5811"/>
      </w:tblGrid>
      <w:tr w:rsidR="00E21112" w:rsidRPr="0090659E" w:rsidTr="00905B76">
        <w:tc>
          <w:tcPr>
            <w:tcW w:w="5811" w:type="dxa"/>
          </w:tcPr>
          <w:p w:rsidR="00E21112" w:rsidRPr="0090659E" w:rsidRDefault="00E21112" w:rsidP="00905B76">
            <w:pPr>
              <w:pStyle w:val="Lgendetitre"/>
            </w:pPr>
            <w:r w:rsidRPr="0090659E">
              <w:t>Õigusakti eelnõu muudatusettepanekud</w:t>
            </w:r>
          </w:p>
        </w:tc>
      </w:tr>
      <w:tr w:rsidR="00E21112" w:rsidRPr="0090659E" w:rsidTr="00905B76">
        <w:trPr>
          <w:trHeight w:val="4496"/>
        </w:trPr>
        <w:tc>
          <w:tcPr>
            <w:tcW w:w="5811" w:type="dxa"/>
          </w:tcPr>
          <w:p w:rsidR="00E21112" w:rsidRPr="0090659E" w:rsidRDefault="00E21112" w:rsidP="00905B76">
            <w:pPr>
              <w:pStyle w:val="Lgendestandard"/>
              <w:rPr>
                <w:szCs w:val="24"/>
              </w:rPr>
            </w:pPr>
            <w:r w:rsidRPr="0090659E">
              <w:rPr>
                <w:b/>
              </w:rPr>
              <w:t>Kahes veerus esitatud Euroopa Parlamendi muudatusettepanekud</w:t>
            </w:r>
          </w:p>
          <w:p w:rsidR="00E21112" w:rsidRPr="0090659E" w:rsidRDefault="00E21112" w:rsidP="00905B76">
            <w:pPr>
              <w:pStyle w:val="Lgendestandard"/>
              <w:rPr>
                <w:szCs w:val="24"/>
              </w:rPr>
            </w:pPr>
          </w:p>
          <w:p w:rsidR="00E21112" w:rsidRPr="0090659E" w:rsidRDefault="00E21112" w:rsidP="00905B76">
            <w:pPr>
              <w:pStyle w:val="Lgendestandard"/>
              <w:rPr>
                <w:szCs w:val="24"/>
              </w:rPr>
            </w:pPr>
            <w:r w:rsidRPr="0090659E">
              <w:t>Välja jäetav tekst on märgistatud vasakpoolses veerus</w:t>
            </w:r>
            <w:r w:rsidRPr="0090659E">
              <w:rPr>
                <w:b/>
                <w:i/>
              </w:rPr>
              <w:t xml:space="preserve"> paksus kaldkirjas</w:t>
            </w:r>
            <w:r w:rsidRPr="0090659E">
              <w:t xml:space="preserve">. Teksti asendamine on märgistatud mõlemas veerus </w:t>
            </w:r>
            <w:r w:rsidRPr="0090659E">
              <w:rPr>
                <w:b/>
                <w:i/>
              </w:rPr>
              <w:t>paksus kaldkirjas</w:t>
            </w:r>
            <w:r w:rsidRPr="0090659E">
              <w:t xml:space="preserve">. Uus tekst on märgistatud parempoolses veerus </w:t>
            </w:r>
            <w:r w:rsidRPr="0090659E">
              <w:rPr>
                <w:b/>
                <w:i/>
              </w:rPr>
              <w:t>paksus kaldkirjas</w:t>
            </w:r>
            <w:r w:rsidRPr="0090659E">
              <w:t>.</w:t>
            </w:r>
          </w:p>
          <w:p w:rsidR="00E21112" w:rsidRPr="0090659E" w:rsidRDefault="00E21112" w:rsidP="00905B76">
            <w:pPr>
              <w:pStyle w:val="Lgendestandard"/>
              <w:rPr>
                <w:szCs w:val="24"/>
              </w:rPr>
            </w:pPr>
          </w:p>
          <w:p w:rsidR="00E21112" w:rsidRPr="0090659E" w:rsidRDefault="00E21112" w:rsidP="00905B76">
            <w:pPr>
              <w:pStyle w:val="Lgendestandard"/>
              <w:rPr>
                <w:szCs w:val="24"/>
              </w:rPr>
            </w:pPr>
            <w:r w:rsidRPr="0090659E">
              <w:t>Iga muudatusettepaneku päise esimene ja teine rida osutavad läbivaadatava õigusakti eelnõu asjaomasele tekstiosale. Kui muudatusettepanek puudutab kehtivat õigusakti, mida õigusakti eelnõus soovitakse muuta, märgitakse päises lisaks kolmandale reale viide kehtivale õigusaktile ja neljandale reale viide muudetavale sättele.</w:t>
            </w:r>
          </w:p>
          <w:p w:rsidR="00E21112" w:rsidRPr="0090659E" w:rsidRDefault="00E21112" w:rsidP="00905B76">
            <w:pPr>
              <w:pStyle w:val="Lgendestandard"/>
              <w:rPr>
                <w:szCs w:val="24"/>
              </w:rPr>
            </w:pPr>
          </w:p>
          <w:p w:rsidR="00E21112" w:rsidRPr="0090659E" w:rsidRDefault="00E21112" w:rsidP="00905B76">
            <w:pPr>
              <w:pStyle w:val="Lgendestandard"/>
              <w:rPr>
                <w:b/>
                <w:szCs w:val="24"/>
              </w:rPr>
            </w:pPr>
            <w:r w:rsidRPr="0090659E">
              <w:rPr>
                <w:b/>
              </w:rPr>
              <w:t>Konsolideeritud tekstina esitatud Euroopa Parlamendi muudatusettepanekud</w:t>
            </w:r>
          </w:p>
          <w:p w:rsidR="00E21112" w:rsidRPr="0090659E" w:rsidRDefault="00E21112" w:rsidP="00905B76">
            <w:pPr>
              <w:pStyle w:val="Lgendestandard"/>
              <w:rPr>
                <w:szCs w:val="24"/>
              </w:rPr>
            </w:pPr>
          </w:p>
          <w:p w:rsidR="00E21112" w:rsidRPr="0090659E" w:rsidRDefault="00E21112" w:rsidP="00905B76">
            <w:pPr>
              <w:pStyle w:val="Lgendestandard"/>
              <w:rPr>
                <w:szCs w:val="24"/>
              </w:rPr>
            </w:pPr>
            <w:r w:rsidRPr="0090659E">
              <w:t xml:space="preserve">Uued tekstiosad on märgistatud </w:t>
            </w:r>
            <w:r w:rsidRPr="0090659E">
              <w:rPr>
                <w:b/>
                <w:i/>
              </w:rPr>
              <w:t>paksus kaldkirjas</w:t>
            </w:r>
            <w:r w:rsidRPr="0090659E">
              <w:t xml:space="preserve">. Välja jäetud tekstiosad on tähistatud sümboliga ▌või läbi kriipsutatud. Teksti asendamise puhul on uus tekst märgistatud </w:t>
            </w:r>
            <w:r w:rsidRPr="0090659E">
              <w:rPr>
                <w:b/>
                <w:i/>
              </w:rPr>
              <w:t>paksus kaldkirjas</w:t>
            </w:r>
            <w:r w:rsidRPr="0090659E">
              <w:t xml:space="preserve"> ja asendatav tekst kustutatud või läbi kriipsutatud. </w:t>
            </w:r>
          </w:p>
          <w:p w:rsidR="00E21112" w:rsidRPr="0090659E" w:rsidRDefault="00E21112" w:rsidP="00905B76">
            <w:pPr>
              <w:pStyle w:val="Lgendestandard"/>
            </w:pPr>
            <w:r w:rsidRPr="0090659E">
              <w:t>Erandina ei tähistata teenistuste tehtud puhtalt tehnilist laadi muudatusi lõpliku teksti vormistamiseks.</w:t>
            </w:r>
          </w:p>
          <w:p w:rsidR="00E21112" w:rsidRPr="0090659E" w:rsidRDefault="00E21112" w:rsidP="00905B76">
            <w:pPr>
              <w:pStyle w:val="Lgendestandard"/>
            </w:pPr>
          </w:p>
        </w:tc>
      </w:tr>
    </w:tbl>
    <w:p w:rsidR="00E21112" w:rsidRPr="0090659E" w:rsidRDefault="00E21112" w:rsidP="00E21112"/>
    <w:p w:rsidR="00E21112" w:rsidRPr="0090659E" w:rsidRDefault="00E21112" w:rsidP="00E21112">
      <w:pPr>
        <w:widowControl/>
        <w:tabs>
          <w:tab w:val="center" w:pos="4677"/>
        </w:tabs>
      </w:pPr>
    </w:p>
    <w:p w:rsidR="00E21112" w:rsidRPr="0090659E" w:rsidRDefault="00E21112" w:rsidP="00E21112">
      <w:pPr>
        <w:pStyle w:val="TOCHeading"/>
      </w:pPr>
      <w:r w:rsidRPr="0090659E">
        <w:br w:type="page"/>
      </w:r>
      <w:r w:rsidRPr="0090659E">
        <w:lastRenderedPageBreak/>
        <w:t>SISUKORD</w:t>
      </w:r>
    </w:p>
    <w:p w:rsidR="00E21112" w:rsidRPr="0090659E" w:rsidRDefault="00E21112" w:rsidP="00E21112">
      <w:pPr>
        <w:pStyle w:val="TOCPage"/>
      </w:pPr>
      <w:r w:rsidRPr="0090659E">
        <w:t>lk</w:t>
      </w:r>
    </w:p>
    <w:p w:rsidR="00472DAD" w:rsidRDefault="00E21112">
      <w:pPr>
        <w:pStyle w:val="TOC1"/>
        <w:tabs>
          <w:tab w:val="right" w:leader="dot" w:pos="9060"/>
        </w:tabs>
        <w:rPr>
          <w:rFonts w:asciiTheme="minorHAnsi" w:eastAsiaTheme="minorEastAsia" w:hAnsiTheme="minorHAnsi" w:cstheme="minorBidi"/>
          <w:noProof/>
          <w:sz w:val="22"/>
          <w:szCs w:val="22"/>
          <w:lang w:val="en-GB"/>
        </w:rPr>
      </w:pPr>
      <w:r w:rsidRPr="0090659E">
        <w:rPr>
          <w:b/>
        </w:rPr>
        <w:fldChar w:fldCharType="begin"/>
      </w:r>
      <w:r w:rsidRPr="0090659E">
        <w:rPr>
          <w:b/>
        </w:rPr>
        <w:instrText xml:space="preserve"> TOC \t "PageHeading</w:instrText>
      </w:r>
      <w:r w:rsidR="00472DAD">
        <w:rPr>
          <w:b/>
        </w:rPr>
        <w:instrText>;</w:instrText>
      </w:r>
      <w:r w:rsidRPr="0090659E">
        <w:rPr>
          <w:b/>
        </w:rPr>
        <w:instrText xml:space="preserve">1" </w:instrText>
      </w:r>
      <w:r w:rsidRPr="0090659E">
        <w:rPr>
          <w:b/>
        </w:rPr>
        <w:fldChar w:fldCharType="separate"/>
      </w:r>
      <w:r w:rsidR="00472DAD">
        <w:rPr>
          <w:noProof/>
        </w:rPr>
        <w:t>EUROOPA PARLAMENDI SEADUSANDLIKU RESOLUTSIOONI PROJEKT</w:t>
      </w:r>
      <w:r w:rsidR="00472DAD">
        <w:rPr>
          <w:noProof/>
        </w:rPr>
        <w:tab/>
      </w:r>
      <w:r w:rsidR="00472DAD">
        <w:rPr>
          <w:noProof/>
        </w:rPr>
        <w:fldChar w:fldCharType="begin"/>
      </w:r>
      <w:r w:rsidR="00472DAD">
        <w:rPr>
          <w:noProof/>
        </w:rPr>
        <w:instrText xml:space="preserve"> PAGEREF _Toc72221225 \h </w:instrText>
      </w:r>
      <w:r w:rsidR="00472DAD">
        <w:rPr>
          <w:noProof/>
        </w:rPr>
      </w:r>
      <w:r w:rsidR="00472DAD">
        <w:rPr>
          <w:noProof/>
        </w:rPr>
        <w:fldChar w:fldCharType="separate"/>
      </w:r>
      <w:r w:rsidR="00472DAD">
        <w:rPr>
          <w:noProof/>
        </w:rPr>
        <w:t>5</w:t>
      </w:r>
      <w:r w:rsidR="00472DAD">
        <w:rPr>
          <w:noProof/>
        </w:rPr>
        <w:fldChar w:fldCharType="end"/>
      </w:r>
    </w:p>
    <w:p w:rsidR="00472DAD" w:rsidRDefault="00472DAD">
      <w:pPr>
        <w:pStyle w:val="TOC1"/>
        <w:tabs>
          <w:tab w:val="right" w:leader="dot" w:pos="9060"/>
        </w:tabs>
        <w:rPr>
          <w:rFonts w:asciiTheme="minorHAnsi" w:eastAsiaTheme="minorEastAsia" w:hAnsiTheme="minorHAnsi" w:cstheme="minorBidi"/>
          <w:noProof/>
          <w:sz w:val="22"/>
          <w:szCs w:val="22"/>
          <w:lang w:val="en-GB"/>
        </w:rPr>
      </w:pPr>
      <w:r>
        <w:rPr>
          <w:noProof/>
        </w:rPr>
        <w:t>SELETUSKIRI</w:t>
      </w:r>
      <w:r>
        <w:rPr>
          <w:noProof/>
        </w:rPr>
        <w:tab/>
      </w:r>
      <w:r>
        <w:rPr>
          <w:noProof/>
        </w:rPr>
        <w:fldChar w:fldCharType="begin"/>
      </w:r>
      <w:r>
        <w:rPr>
          <w:noProof/>
        </w:rPr>
        <w:instrText xml:space="preserve"> PAGEREF _Toc72221226 \h </w:instrText>
      </w:r>
      <w:r>
        <w:rPr>
          <w:noProof/>
        </w:rPr>
      </w:r>
      <w:r>
        <w:rPr>
          <w:noProof/>
        </w:rPr>
        <w:fldChar w:fldCharType="separate"/>
      </w:r>
      <w:r>
        <w:rPr>
          <w:noProof/>
        </w:rPr>
        <w:t>6</w:t>
      </w:r>
      <w:r>
        <w:rPr>
          <w:noProof/>
        </w:rPr>
        <w:fldChar w:fldCharType="end"/>
      </w:r>
    </w:p>
    <w:p w:rsidR="00E21112" w:rsidRPr="0090659E" w:rsidRDefault="00E21112" w:rsidP="00E21112">
      <w:r w:rsidRPr="0090659E">
        <w:rPr>
          <w:b/>
        </w:rPr>
        <w:fldChar w:fldCharType="end"/>
      </w:r>
    </w:p>
    <w:p w:rsidR="00E21112" w:rsidRPr="0090659E" w:rsidRDefault="00E21112" w:rsidP="00E21112">
      <w:pPr>
        <w:pStyle w:val="PageHeading"/>
      </w:pPr>
      <w:r w:rsidRPr="0090659E">
        <w:br w:type="page"/>
      </w:r>
      <w:r w:rsidRPr="0090659E">
        <w:br w:type="page"/>
      </w:r>
      <w:bookmarkStart w:id="0" w:name="_Toc72221225"/>
      <w:r w:rsidRPr="0090659E">
        <w:t>EUROOPA PARLAMENDI SEADUSANDLIKU RESOLUTSIOONI PROJEKT</w:t>
      </w:r>
      <w:bookmarkEnd w:id="0"/>
    </w:p>
    <w:p w:rsidR="00E21112" w:rsidRPr="0090659E" w:rsidRDefault="00E21112" w:rsidP="00E21112">
      <w:pPr>
        <w:pStyle w:val="NormalBold"/>
      </w:pPr>
      <w:r w:rsidRPr="0090659E">
        <w:t>ettepaneku kohta võtta vastu Euroopa Parlamendi ja nõukogu määrus, millega kehtestatakse hariliku tuuni (Thunnus thynnus) püügi dokumenteerimise programm ning tunnistatakse kehtetuks määrus (EÜ) nr 640/2010</w:t>
      </w:r>
    </w:p>
    <w:p w:rsidR="00E21112" w:rsidRPr="0090659E" w:rsidRDefault="00E21112" w:rsidP="00E21112">
      <w:pPr>
        <w:pStyle w:val="NormalBold12a"/>
      </w:pPr>
      <w:r w:rsidRPr="0090659E">
        <w:t>(COM(2020)0670 – C9</w:t>
      </w:r>
      <w:r w:rsidRPr="0090659E">
        <w:noBreakHyphen/>
        <w:t>0336/2020 – 2020/0302(COD))</w:t>
      </w:r>
    </w:p>
    <w:p w:rsidR="00E21112" w:rsidRPr="0090659E" w:rsidRDefault="00E21112" w:rsidP="00E21112">
      <w:pPr>
        <w:pStyle w:val="NormalBold"/>
      </w:pPr>
      <w:r w:rsidRPr="0090659E">
        <w:t>(Seadusandlik tavamenetlus: esimene lugemine)</w:t>
      </w:r>
    </w:p>
    <w:p w:rsidR="00E21112" w:rsidRPr="0090659E" w:rsidRDefault="00E21112" w:rsidP="00E21112">
      <w:pPr>
        <w:pStyle w:val="EPComma"/>
      </w:pPr>
      <w:r w:rsidRPr="0090659E">
        <w:rPr>
          <w:i/>
        </w:rPr>
        <w:t>Euroopa Parlament</w:t>
      </w:r>
      <w:r w:rsidRPr="0090659E">
        <w:t>,</w:t>
      </w:r>
    </w:p>
    <w:p w:rsidR="00E21112" w:rsidRPr="0090659E" w:rsidRDefault="00E21112" w:rsidP="00E21112">
      <w:pPr>
        <w:pStyle w:val="NormalHanging12a"/>
      </w:pPr>
      <w:r w:rsidRPr="0090659E">
        <w:t>–</w:t>
      </w:r>
      <w:r w:rsidRPr="0090659E">
        <w:tab/>
        <w:t>võttes arvesse komisjoni ettepanekut Euroopa Parlamendile ja nõukogule (COM(2020)0670),</w:t>
      </w:r>
    </w:p>
    <w:p w:rsidR="00E21112" w:rsidRPr="0090659E" w:rsidRDefault="00E21112" w:rsidP="00E21112">
      <w:pPr>
        <w:pStyle w:val="NormalHanging12a"/>
      </w:pPr>
      <w:r w:rsidRPr="0090659E">
        <w:t>–</w:t>
      </w:r>
      <w:r w:rsidRPr="0090659E">
        <w:tab/>
        <w:t>võttes arvesse Euroopa Liidu toimimise lepingu artikli 294 lõiget 2 ja artikli 43 lõiget 2, mille alusel komisjon esitas ettepaneku Euroopa Parlamendile (C9</w:t>
      </w:r>
      <w:r w:rsidRPr="0090659E">
        <w:noBreakHyphen/>
        <w:t>0336/2020),</w:t>
      </w:r>
    </w:p>
    <w:p w:rsidR="00E21112" w:rsidRPr="0090659E" w:rsidRDefault="00E21112" w:rsidP="00E21112">
      <w:pPr>
        <w:pStyle w:val="NormalHanging12a"/>
      </w:pPr>
      <w:r w:rsidRPr="0090659E">
        <w:t>–</w:t>
      </w:r>
      <w:r w:rsidRPr="0090659E">
        <w:tab/>
        <w:t>võttes arvesse Euroopa Liidu toimimise lepingu artikli 294 lõiget 3,</w:t>
      </w:r>
    </w:p>
    <w:p w:rsidR="00E1461E" w:rsidRPr="0090659E" w:rsidRDefault="00E1461E" w:rsidP="00E1461E">
      <w:pPr>
        <w:pStyle w:val="NormalHanging12a"/>
      </w:pPr>
      <w:r w:rsidRPr="0090659E">
        <w:t>–</w:t>
      </w:r>
      <w:r w:rsidRPr="0090659E">
        <w:tab/>
        <w:t>võttes arvesse Euroopa Majandus- ja Sotsiaalkomitee 27. jaanuari 2021. aasta arvamust</w:t>
      </w:r>
      <w:r w:rsidR="00314486" w:rsidRPr="0090659E">
        <w:rPr>
          <w:rStyle w:val="FootnoteReference"/>
        </w:rPr>
        <w:footnoteReference w:id="1"/>
      </w:r>
      <w:r w:rsidRPr="0090659E">
        <w:t>,</w:t>
      </w:r>
    </w:p>
    <w:p w:rsidR="00E21112" w:rsidRPr="0090659E" w:rsidRDefault="00E21112" w:rsidP="00E21112">
      <w:pPr>
        <w:pStyle w:val="NormalHanging12a"/>
      </w:pPr>
      <w:r w:rsidRPr="0090659E">
        <w:t>–</w:t>
      </w:r>
      <w:r w:rsidRPr="0090659E">
        <w:tab/>
        <w:t>võttes arvesse kodukorra artiklit 59,</w:t>
      </w:r>
    </w:p>
    <w:p w:rsidR="00E21112" w:rsidRPr="0090659E" w:rsidRDefault="00E21112" w:rsidP="00E21112">
      <w:pPr>
        <w:pStyle w:val="NormalHanging12a"/>
      </w:pPr>
      <w:r w:rsidRPr="0090659E">
        <w:t>–</w:t>
      </w:r>
      <w:r w:rsidRPr="0090659E">
        <w:tab/>
        <w:t>võttes arvesse kalanduskomisjoni raportit (A9</w:t>
      </w:r>
      <w:r w:rsidRPr="0090659E">
        <w:noBreakHyphen/>
        <w:t>0000/2021),</w:t>
      </w:r>
    </w:p>
    <w:p w:rsidR="00E21112" w:rsidRPr="0090659E" w:rsidRDefault="00E21112" w:rsidP="00E21112">
      <w:pPr>
        <w:pStyle w:val="NormalHanging12a"/>
      </w:pPr>
      <w:r w:rsidRPr="0090659E">
        <w:t>1.</w:t>
      </w:r>
      <w:r w:rsidRPr="0090659E">
        <w:tab/>
        <w:t>võtab vastu esimese lugemise seisukoha, võttes üle komisjoni ettepaneku;</w:t>
      </w:r>
    </w:p>
    <w:p w:rsidR="00E21112" w:rsidRPr="0090659E" w:rsidRDefault="00E21112" w:rsidP="00E21112">
      <w:pPr>
        <w:pStyle w:val="NormalHanging12a"/>
      </w:pPr>
      <w:r w:rsidRPr="0090659E">
        <w:t>2.</w:t>
      </w:r>
      <w:r w:rsidRPr="0090659E">
        <w:tab/>
        <w:t>palub komisjonil ettepaneku uuesti Euroopa Parlamendile saata, kui komisjon asendab oma ettepaneku, muudab seda oluliselt või kavatseb seda oluliselt muuta;</w:t>
      </w:r>
    </w:p>
    <w:p w:rsidR="00E21112" w:rsidRPr="0090659E" w:rsidRDefault="00E21112" w:rsidP="00E21112">
      <w:pPr>
        <w:pStyle w:val="NormalHanging12a"/>
      </w:pPr>
      <w:r w:rsidRPr="0090659E">
        <w:t>3.</w:t>
      </w:r>
      <w:r w:rsidRPr="0090659E">
        <w:tab/>
        <w:t>teeb presidendile ülesandeks edastada Euroopa Parlamendi seisukoht nõukogule, komisjonile ja liikmesriikide parlamentidele.</w:t>
      </w:r>
    </w:p>
    <w:p w:rsidR="00E21112" w:rsidRPr="0090659E" w:rsidRDefault="00E21112" w:rsidP="00E21112">
      <w:pPr>
        <w:widowControl/>
      </w:pPr>
      <w:r w:rsidRPr="0090659E">
        <w:br w:type="page"/>
      </w:r>
    </w:p>
    <w:p w:rsidR="00E21112" w:rsidRPr="0090659E" w:rsidRDefault="00E21112" w:rsidP="00E21112">
      <w:pPr>
        <w:pStyle w:val="PageHeading"/>
      </w:pPr>
      <w:bookmarkStart w:id="1" w:name="_Toc72221226"/>
      <w:r w:rsidRPr="0090659E">
        <w:t>SELETUSKIRI</w:t>
      </w:r>
      <w:bookmarkEnd w:id="1"/>
    </w:p>
    <w:p w:rsidR="00E21112" w:rsidRPr="0090659E" w:rsidRDefault="00E21112" w:rsidP="00E21112">
      <w:pPr>
        <w:rPr>
          <w:b/>
          <w:bCs/>
        </w:rPr>
      </w:pPr>
      <w:r w:rsidRPr="0090659E">
        <w:rPr>
          <w:b/>
        </w:rPr>
        <w:t>Ettepaneku taust</w:t>
      </w:r>
    </w:p>
    <w:p w:rsidR="00E21112" w:rsidRPr="0090659E" w:rsidRDefault="00E21112" w:rsidP="00E21112">
      <w:pPr>
        <w:rPr>
          <w:b/>
          <w:bCs/>
          <w:sz w:val="22"/>
        </w:rPr>
      </w:pPr>
    </w:p>
    <w:p w:rsidR="00E21112" w:rsidRPr="0090659E" w:rsidRDefault="00E21112" w:rsidP="00E21112">
      <w:r w:rsidRPr="0090659E">
        <w:t xml:space="preserve">Euroopa Liit on olnud alates 1997. aastast rahvusvahelise Atlandi tuunikala kaitse konventsiooni (edaspidi „ICCATi konventsioon“) osaline. </w:t>
      </w:r>
    </w:p>
    <w:p w:rsidR="00E21112" w:rsidRPr="0090659E" w:rsidRDefault="00E21112" w:rsidP="00E21112"/>
    <w:p w:rsidR="00E21112" w:rsidRPr="0090659E" w:rsidRDefault="00E21112" w:rsidP="00E21112">
      <w:r w:rsidRPr="0090659E">
        <w:t xml:space="preserve">ICCATi konventsiooniga nähakse ette Atlandi ookeanis ja külgnevates meredes leiduva tuuni ja tuunilaadsete liikide kaitse ja majandamise piirkondadevahelise koostöö raamistik ning luuakse Rahvusvaheline Atlandi Tuunikala Kaitse Komisjon (edaspidi „ICCAT“). </w:t>
      </w:r>
    </w:p>
    <w:p w:rsidR="00E21112" w:rsidRPr="0090659E" w:rsidRDefault="00E21112" w:rsidP="00E21112"/>
    <w:p w:rsidR="00E21112" w:rsidRPr="0090659E" w:rsidRDefault="00E21112" w:rsidP="00E21112">
      <w:r w:rsidRPr="0090659E">
        <w:t xml:space="preserve">ICCAT on volitatud vastu võtma siduvaid soovitusi oma pädevusvaldkonda kuuluvate kalavarude kaitse ja majandamise küsimustes. Need õigusaktid on üldjuhul adresseeritud ICCATi lepinguosalistele, näiteks ELile, kuid sisaldavad ka erasektori käitajatele (näiteks laevakaptenid) kehtestatavaid kohustusi. </w:t>
      </w:r>
    </w:p>
    <w:p w:rsidR="00E21112" w:rsidRPr="0090659E" w:rsidRDefault="00E21112" w:rsidP="00E21112"/>
    <w:p w:rsidR="00E21112" w:rsidRPr="0090659E" w:rsidRDefault="00E21112" w:rsidP="00E21112">
      <w:pPr>
        <w:rPr>
          <w:b/>
          <w:bCs/>
        </w:rPr>
      </w:pPr>
      <w:r w:rsidRPr="0090659E">
        <w:rPr>
          <w:b/>
        </w:rPr>
        <w:t>Ettepaneku sisu</w:t>
      </w:r>
    </w:p>
    <w:p w:rsidR="00E21112" w:rsidRPr="0090659E" w:rsidRDefault="00E21112" w:rsidP="00E21112"/>
    <w:p w:rsidR="00E21112" w:rsidRPr="0090659E" w:rsidRDefault="00E21112" w:rsidP="00E21112">
      <w:r w:rsidRPr="0090659E">
        <w:t xml:space="preserve">Käesoleva ettepanekuga [COM (2020)0670] kehtestatakse liidu hariliku tuuni püügi dokumenteerimise programmi eeskirjad, mille põhjal rakendada ICCATi hariliku tuuni püügi dokumenteerimise kavaga vastu võetud kaitse- ja majandamismeetmeid. Kava eesmärk on kõigi harilike tuunide päritolu kindlakstegemine. </w:t>
      </w:r>
    </w:p>
    <w:p w:rsidR="00E21112" w:rsidRPr="0090659E" w:rsidRDefault="00E21112" w:rsidP="00E21112"/>
    <w:p w:rsidR="00E21112" w:rsidRPr="0090659E" w:rsidRDefault="00E21112" w:rsidP="00E21112">
      <w:r w:rsidRPr="0090659E">
        <w:t>Tegelikult on liidu püügi dokumenteerimise programm määrusega (EL) nr 640/2010 juba vastu võetud. Praegu arutlusel oleva ettepaneku kohaselt, millega tahetakse määrus (EL) nr 640/2010 kehtetuks tunnistada, toimub hariliku tuuni püügi ja sellele järgnevate kaubatehingute registreerimine ja kinnitamine elektroonilise hariliku tuuni püügi dokumenteerimise programmi (eBCD) kaudu, mis on toiminud alates 2017. aastast ning mida liikmesriigid ja ettevõtjad juba kasutavad. Ettepaneku kohaselt võib erandkorras elektroonilise süsteemi asemel kasutada elektroonilise süsteemi nõuetele vastavaid dokumente paberkandjal (BCD, hariliku tuuni püügi dokument).</w:t>
      </w:r>
    </w:p>
    <w:p w:rsidR="00E21112" w:rsidRPr="0090659E" w:rsidRDefault="00E21112" w:rsidP="00E21112"/>
    <w:p w:rsidR="00E21112" w:rsidRPr="0090659E" w:rsidRDefault="00E21112" w:rsidP="00E21112">
      <w:r w:rsidRPr="0090659E">
        <w:t>Lisaks kehtestatakse ettepanekuga üldsätted hariliku tuuni püügi- ja reekspordidokumentide kasutamise kohta ning kehtestatakse eeskirjad hariliku tuuni püügi ja sellele järgnevate kaubatehingute registreerimiseks ja kinnitamiseks. Märgistatud kalade puhul kehtivad erieeskirjad. Lisaks sisaldab ettepanek sätteid, mis käsitlevad kinnitamiseelset kontrolli, eBCD-süsteemi kasutajate andmete edastamist ja igal aastal ICCATile edastatavaid aruandeid. Lõpuks tehakse ettepanek põhiõigusakti muutmiseks edaspidi ulatuslikult kasutada delegeeritud õigusakte (artikkel 14).</w:t>
      </w:r>
    </w:p>
    <w:p w:rsidR="00E21112" w:rsidRPr="0090659E" w:rsidRDefault="00E21112" w:rsidP="00E21112"/>
    <w:p w:rsidR="00E21112" w:rsidRPr="0090659E" w:rsidRDefault="00E21112" w:rsidP="00E21112"/>
    <w:p w:rsidR="00E21112" w:rsidRPr="0090659E" w:rsidRDefault="00E21112" w:rsidP="00E21112">
      <w:pPr>
        <w:rPr>
          <w:b/>
        </w:rPr>
      </w:pPr>
      <w:r w:rsidRPr="0090659E">
        <w:rPr>
          <w:b/>
        </w:rPr>
        <w:t>Raportööri arvamus</w:t>
      </w:r>
    </w:p>
    <w:p w:rsidR="00E21112" w:rsidRPr="0090659E" w:rsidRDefault="00E21112" w:rsidP="00E21112"/>
    <w:p w:rsidR="00E21112" w:rsidRPr="0090659E" w:rsidRDefault="00E21112" w:rsidP="00E21112">
      <w:pPr>
        <w:spacing w:after="240"/>
      </w:pPr>
      <w:r w:rsidRPr="0090659E">
        <w:t xml:space="preserve">Raportöör väljendab heameelt asjaolu üle, et komisjon on otsustanud ICCATi soovitused rangelt üle võtta ja nõnda luua kõigile ettevõtjatele võrdsed tingimused. Kõigile võrdsete tingimuste tagamine, edendades samal ajal välisriikide laevastike jaoks ELi kõrgeid kestlikkusstandardeid ELi tegevuse kaudu piirkondlikes kalandusorganisatsioonides ja muudel rahvusvahelistel foorumitel, on äärmiselt oluline meie ettevõtjate jaoks ja ookeanide rahvusvahelise haldamise parandamiseks. </w:t>
      </w:r>
    </w:p>
    <w:p w:rsidR="00E21112" w:rsidRPr="0090659E" w:rsidRDefault="00E21112" w:rsidP="00E21112">
      <w:r w:rsidRPr="0090659E">
        <w:t xml:space="preserve">Raportöör on veendunud, et ettevõtjate, üldsuse ja meie partnerriikide jaoks on oluline, et komisjon teeb ettepaneku piirkondlike kalandusorganisatsioonide soovituste kiireks ülevõtmiseks, et vältida viivitusi teatavate õigusnormide rakendamisel. On ebaloogiline, et 2018. aastast pärinevad ICCATi soovitused, millega kehtestatakse tähtajad 2020. aastaks, võetakse vastu 2021. aastal. </w:t>
      </w:r>
    </w:p>
    <w:p w:rsidR="00E21112" w:rsidRPr="0090659E" w:rsidRDefault="00E21112" w:rsidP="00E21112"/>
    <w:p w:rsidR="002A1CE3" w:rsidRPr="0090659E" w:rsidRDefault="00E21112" w:rsidP="00E21112">
      <w:r w:rsidRPr="0090659E">
        <w:t>Seda silmas pidades ja arvestades, et tegemist on väga tehnilise ülevõtmisega, millel puudub oluline poliitiline sisu, otsustas raportöör komisjoni ettepaneku kohta muudatusettepanekuid mitte esitada.</w:t>
      </w:r>
      <w:bookmarkStart w:id="2" w:name="_GoBack"/>
      <w:bookmarkEnd w:id="2"/>
    </w:p>
    <w:sectPr w:rsidR="002A1CE3" w:rsidRPr="0090659E" w:rsidSect="0090659E">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D6A25" w:rsidRPr="0090659E" w:rsidRDefault="00AD6A25">
      <w:r w:rsidRPr="0090659E">
        <w:separator/>
      </w:r>
    </w:p>
  </w:endnote>
  <w:endnote w:type="continuationSeparator" w:id="0">
    <w:p w:rsidR="00AD6A25" w:rsidRPr="0090659E" w:rsidRDefault="00AD6A25">
      <w:r w:rsidRPr="0090659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EFF" w:usb1="C000247B" w:usb2="00000009" w:usb3="00000000" w:csb0="000001FF" w:csb1="00000000"/>
  </w:font>
  <w:font w:name="DokChampa">
    <w:altName w:val="Leelawadee UI"/>
    <w:charset w:val="DE"/>
    <w:family w:val="swiss"/>
    <w:pitch w:val="variable"/>
    <w:sig w:usb0="00000000" w:usb1="00000000" w:usb2="00000000" w:usb3="00000000" w:csb0="0001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659E" w:rsidRPr="0090659E" w:rsidRDefault="0090659E" w:rsidP="0090659E">
    <w:pPr>
      <w:pStyle w:val="EPFooter"/>
    </w:pPr>
    <w:r w:rsidRPr="0090659E">
      <w:t>PE</w:t>
    </w:r>
    <w:r w:rsidRPr="0090659E">
      <w:rPr>
        <w:rStyle w:val="HideTWBExt"/>
        <w:noProof w:val="0"/>
      </w:rPr>
      <w:t>&lt;NoPE&gt;</w:t>
    </w:r>
    <w:r w:rsidRPr="0090659E">
      <w:t>692.613</w:t>
    </w:r>
    <w:r w:rsidRPr="0090659E">
      <w:rPr>
        <w:rStyle w:val="HideTWBExt"/>
        <w:noProof w:val="0"/>
      </w:rPr>
      <w:t>&lt;/NoPE&gt;&lt;Version&gt;</w:t>
    </w:r>
    <w:r w:rsidRPr="0090659E">
      <w:t>v01-00</w:t>
    </w:r>
    <w:r w:rsidRPr="0090659E">
      <w:rPr>
        <w:rStyle w:val="HideTWBExt"/>
        <w:noProof w:val="0"/>
      </w:rPr>
      <w:t>&lt;/Version&gt;</w:t>
    </w:r>
    <w:r w:rsidRPr="0090659E">
      <w:tab/>
    </w:r>
    <w:r w:rsidRPr="0090659E">
      <w:fldChar w:fldCharType="begin"/>
    </w:r>
    <w:r w:rsidRPr="0090659E">
      <w:instrText xml:space="preserve"> PAGE  \* MERGEFORMAT </w:instrText>
    </w:r>
    <w:r w:rsidRPr="0090659E">
      <w:fldChar w:fldCharType="separate"/>
    </w:r>
    <w:r w:rsidR="00472DAD">
      <w:rPr>
        <w:noProof/>
      </w:rPr>
      <w:t>6</w:t>
    </w:r>
    <w:r w:rsidRPr="0090659E">
      <w:fldChar w:fldCharType="end"/>
    </w:r>
    <w:r w:rsidRPr="0090659E">
      <w:t>/</w:t>
    </w:r>
    <w:r w:rsidR="00472DAD">
      <w:fldChar w:fldCharType="begin"/>
    </w:r>
    <w:r w:rsidR="00472DAD">
      <w:instrText xml:space="preserve"> NUMPAGES  \* MERGEFORMAT </w:instrText>
    </w:r>
    <w:r w:rsidR="00472DAD">
      <w:fldChar w:fldCharType="separate"/>
    </w:r>
    <w:r w:rsidR="00472DAD">
      <w:rPr>
        <w:noProof/>
      </w:rPr>
      <w:t>7</w:t>
    </w:r>
    <w:r w:rsidR="00472DAD">
      <w:rPr>
        <w:noProof/>
      </w:rPr>
      <w:fldChar w:fldCharType="end"/>
    </w:r>
    <w:r w:rsidRPr="0090659E">
      <w:tab/>
    </w:r>
    <w:r w:rsidRPr="0090659E">
      <w:rPr>
        <w:rStyle w:val="HideTWBExt"/>
        <w:noProof w:val="0"/>
      </w:rPr>
      <w:t>&lt;PathFdR&gt;</w:t>
    </w:r>
    <w:r w:rsidRPr="0090659E">
      <w:t>PR\1230271ET.docx</w:t>
    </w:r>
    <w:r w:rsidRPr="0090659E">
      <w:rPr>
        <w:rStyle w:val="HideTWBExt"/>
        <w:noProof w:val="0"/>
      </w:rPr>
      <w:t>&lt;/PathFdR&gt;</w:t>
    </w:r>
  </w:p>
  <w:p w:rsidR="00302A66" w:rsidRPr="0090659E" w:rsidRDefault="0090659E" w:rsidP="0090659E">
    <w:pPr>
      <w:pStyle w:val="EPFooter2"/>
    </w:pPr>
    <w:r w:rsidRPr="0090659E">
      <w:t>ET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659E" w:rsidRPr="0090659E" w:rsidRDefault="0090659E" w:rsidP="0090659E">
    <w:pPr>
      <w:pStyle w:val="EPFooter"/>
    </w:pPr>
    <w:r w:rsidRPr="0090659E">
      <w:rPr>
        <w:rStyle w:val="HideTWBExt"/>
        <w:noProof w:val="0"/>
      </w:rPr>
      <w:t>&lt;PathFdR&gt;</w:t>
    </w:r>
    <w:r w:rsidRPr="0090659E">
      <w:t>PR\1230271ET.docx</w:t>
    </w:r>
    <w:r w:rsidRPr="0090659E">
      <w:rPr>
        <w:rStyle w:val="HideTWBExt"/>
        <w:noProof w:val="0"/>
      </w:rPr>
      <w:t>&lt;/PathFdR&gt;</w:t>
    </w:r>
    <w:r w:rsidRPr="0090659E">
      <w:tab/>
    </w:r>
    <w:r w:rsidRPr="0090659E">
      <w:fldChar w:fldCharType="begin"/>
    </w:r>
    <w:r w:rsidRPr="0090659E">
      <w:instrText xml:space="preserve"> PAGE  \* MERGEFORMAT </w:instrText>
    </w:r>
    <w:r w:rsidRPr="0090659E">
      <w:fldChar w:fldCharType="separate"/>
    </w:r>
    <w:r w:rsidR="00472DAD">
      <w:rPr>
        <w:noProof/>
      </w:rPr>
      <w:t>7</w:t>
    </w:r>
    <w:r w:rsidRPr="0090659E">
      <w:fldChar w:fldCharType="end"/>
    </w:r>
    <w:r w:rsidRPr="0090659E">
      <w:t>/</w:t>
    </w:r>
    <w:r w:rsidR="00472DAD">
      <w:fldChar w:fldCharType="begin"/>
    </w:r>
    <w:r w:rsidR="00472DAD">
      <w:instrText xml:space="preserve"> NUMPAGES  \* MERGEFORMAT </w:instrText>
    </w:r>
    <w:r w:rsidR="00472DAD">
      <w:fldChar w:fldCharType="separate"/>
    </w:r>
    <w:r w:rsidR="00472DAD">
      <w:rPr>
        <w:noProof/>
      </w:rPr>
      <w:t>7</w:t>
    </w:r>
    <w:r w:rsidR="00472DAD">
      <w:rPr>
        <w:noProof/>
      </w:rPr>
      <w:fldChar w:fldCharType="end"/>
    </w:r>
    <w:r w:rsidRPr="0090659E">
      <w:tab/>
      <w:t>PE</w:t>
    </w:r>
    <w:r w:rsidRPr="0090659E">
      <w:rPr>
        <w:rStyle w:val="HideTWBExt"/>
        <w:noProof w:val="0"/>
      </w:rPr>
      <w:t>&lt;NoPE&gt;</w:t>
    </w:r>
    <w:r w:rsidRPr="0090659E">
      <w:t>692.613</w:t>
    </w:r>
    <w:r w:rsidRPr="0090659E">
      <w:rPr>
        <w:rStyle w:val="HideTWBExt"/>
        <w:noProof w:val="0"/>
      </w:rPr>
      <w:t>&lt;/NoPE&gt;&lt;Version&gt;</w:t>
    </w:r>
    <w:r w:rsidRPr="0090659E">
      <w:t>v01-00</w:t>
    </w:r>
    <w:r w:rsidRPr="0090659E">
      <w:rPr>
        <w:rStyle w:val="HideTWBExt"/>
        <w:noProof w:val="0"/>
      </w:rPr>
      <w:t>&lt;/Version&gt;</w:t>
    </w:r>
  </w:p>
  <w:p w:rsidR="00302A66" w:rsidRPr="0090659E" w:rsidRDefault="0090659E" w:rsidP="0090659E">
    <w:pPr>
      <w:pStyle w:val="EPFooter2"/>
    </w:pPr>
    <w:r w:rsidRPr="0090659E">
      <w:tab/>
    </w:r>
    <w:r w:rsidRPr="0090659E">
      <w:tab/>
      <w:t>ET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659E" w:rsidRPr="0090659E" w:rsidRDefault="0090659E" w:rsidP="0090659E">
    <w:pPr>
      <w:pStyle w:val="EPFooter"/>
    </w:pPr>
    <w:r w:rsidRPr="0090659E">
      <w:rPr>
        <w:rStyle w:val="HideTWBExt"/>
        <w:noProof w:val="0"/>
      </w:rPr>
      <w:t>&lt;PathFdR&gt;</w:t>
    </w:r>
    <w:r w:rsidRPr="0090659E">
      <w:t>PR\1230271ET.docx</w:t>
    </w:r>
    <w:r w:rsidRPr="0090659E">
      <w:rPr>
        <w:rStyle w:val="HideTWBExt"/>
        <w:noProof w:val="0"/>
      </w:rPr>
      <w:t>&lt;/PathFdR&gt;</w:t>
    </w:r>
    <w:r w:rsidRPr="0090659E">
      <w:tab/>
    </w:r>
    <w:r w:rsidRPr="0090659E">
      <w:tab/>
      <w:t>PE</w:t>
    </w:r>
    <w:r w:rsidRPr="0090659E">
      <w:rPr>
        <w:rStyle w:val="HideTWBExt"/>
        <w:noProof w:val="0"/>
      </w:rPr>
      <w:t>&lt;NoPE&gt;</w:t>
    </w:r>
    <w:r w:rsidRPr="0090659E">
      <w:t>692.613</w:t>
    </w:r>
    <w:r w:rsidRPr="0090659E">
      <w:rPr>
        <w:rStyle w:val="HideTWBExt"/>
        <w:noProof w:val="0"/>
      </w:rPr>
      <w:t>&lt;/NoPE&gt;&lt;Version&gt;</w:t>
    </w:r>
    <w:r w:rsidRPr="0090659E">
      <w:t>v01-00</w:t>
    </w:r>
    <w:r w:rsidRPr="0090659E">
      <w:rPr>
        <w:rStyle w:val="HideTWBExt"/>
        <w:noProof w:val="0"/>
      </w:rPr>
      <w:t>&lt;/Version&gt;</w:t>
    </w:r>
  </w:p>
  <w:p w:rsidR="00302A66" w:rsidRPr="0090659E" w:rsidRDefault="0090659E" w:rsidP="0090659E">
    <w:pPr>
      <w:pStyle w:val="EPFooter2"/>
    </w:pPr>
    <w:r w:rsidRPr="0090659E">
      <w:t>ET</w:t>
    </w:r>
    <w:r w:rsidRPr="0090659E">
      <w:tab/>
    </w:r>
    <w:r w:rsidRPr="0090659E">
      <w:rPr>
        <w:b w:val="0"/>
        <w:i/>
        <w:color w:val="C0C0C0"/>
        <w:sz w:val="22"/>
      </w:rPr>
      <w:t>Ühinenud mitmekesisuses</w:t>
    </w:r>
    <w:r w:rsidRPr="0090659E">
      <w:tab/>
      <w:t>ET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D6A25" w:rsidRPr="0090659E" w:rsidRDefault="00AD6A25">
      <w:r w:rsidRPr="0090659E">
        <w:separator/>
      </w:r>
    </w:p>
  </w:footnote>
  <w:footnote w:type="continuationSeparator" w:id="0">
    <w:p w:rsidR="00AD6A25" w:rsidRPr="0090659E" w:rsidRDefault="00AD6A25">
      <w:r w:rsidRPr="0090659E">
        <w:continuationSeparator/>
      </w:r>
    </w:p>
  </w:footnote>
  <w:footnote w:id="1">
    <w:p w:rsidR="00314486" w:rsidRPr="0090659E" w:rsidRDefault="00314486">
      <w:pPr>
        <w:pStyle w:val="FootnoteText"/>
      </w:pPr>
      <w:r w:rsidRPr="0090659E">
        <w:rPr>
          <w:rStyle w:val="FootnoteReference"/>
        </w:rPr>
        <w:footnoteRef/>
      </w:r>
      <w:r w:rsidRPr="0090659E">
        <w:t xml:space="preserve"> </w:t>
      </w:r>
      <w:r w:rsidRPr="0090659E">
        <w:tab/>
        <w:t>Euroopa Liidu Teatajas seni avaldamata.</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24D40" w:rsidRDefault="00C24D4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24D40" w:rsidRDefault="00C24D4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24D40" w:rsidRDefault="00C24D4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KEY" w:val="PECH"/>
    <w:docVar w:name="CopyToNetwork" w:val="-1"/>
    <w:docVar w:name="DOCMNU" w:val=" 1"/>
    <w:docVar w:name="INSTITUTIONSMNU" w:val=" 2"/>
    <w:docVar w:name="JURI1MNU" w:val=" 2"/>
    <w:docVar w:name="JURI2MNU" w:val=" 2"/>
    <w:docVar w:name="LastEditedSection" w:val=" 1"/>
    <w:docVar w:name="PARLIAMENTSMNU" w:val=" 2"/>
    <w:docVar w:name="strDocTypeID" w:val="PR_COD_1app"/>
    <w:docVar w:name="strSubDir" w:val="1230"/>
    <w:docVar w:name="TXTLANGUE" w:val="ET"/>
    <w:docVar w:name="TXTLANGUEMIN" w:val="et"/>
    <w:docVar w:name="TXTNRC" w:val="0336/2020"/>
    <w:docVar w:name="TXTNRCOD" w:val="2020/0302"/>
    <w:docVar w:name="TXTNRCOM" w:val="(2020)0670"/>
    <w:docVar w:name="TXTNRPE" w:val="692.613"/>
    <w:docVar w:name="TXTPEorAP" w:val="PE"/>
    <w:docVar w:name="TXTROUTE" w:val="PR\1230271ET.docx"/>
    <w:docVar w:name="TXTTITLE" w:val="establishing a catch documentation programme for bluefin tuna (Thunnus thynnus) and repealing Regulation (EU) No 640/2010"/>
    <w:docVar w:name="TXTVERSION" w:val="01-00"/>
  </w:docVars>
  <w:rsids>
    <w:rsidRoot w:val="00AD6A25"/>
    <w:rsid w:val="00053B97"/>
    <w:rsid w:val="000B5585"/>
    <w:rsid w:val="000C3165"/>
    <w:rsid w:val="000C5EDC"/>
    <w:rsid w:val="00104AEE"/>
    <w:rsid w:val="00164B9B"/>
    <w:rsid w:val="00182506"/>
    <w:rsid w:val="001907B9"/>
    <w:rsid w:val="001A06D8"/>
    <w:rsid w:val="001D3524"/>
    <w:rsid w:val="00257FC1"/>
    <w:rsid w:val="00260FAA"/>
    <w:rsid w:val="002A1CE3"/>
    <w:rsid w:val="002B272A"/>
    <w:rsid w:val="002C3187"/>
    <w:rsid w:val="00302A66"/>
    <w:rsid w:val="00314486"/>
    <w:rsid w:val="0031764E"/>
    <w:rsid w:val="003A53CE"/>
    <w:rsid w:val="003C5583"/>
    <w:rsid w:val="00402216"/>
    <w:rsid w:val="004078CB"/>
    <w:rsid w:val="0041661E"/>
    <w:rsid w:val="00433573"/>
    <w:rsid w:val="00472DAD"/>
    <w:rsid w:val="00490742"/>
    <w:rsid w:val="00490D5F"/>
    <w:rsid w:val="004B06A0"/>
    <w:rsid w:val="004D7B3B"/>
    <w:rsid w:val="004F67E3"/>
    <w:rsid w:val="00543B7B"/>
    <w:rsid w:val="005571A0"/>
    <w:rsid w:val="005663F7"/>
    <w:rsid w:val="00621F68"/>
    <w:rsid w:val="0065285A"/>
    <w:rsid w:val="007908B5"/>
    <w:rsid w:val="007D611D"/>
    <w:rsid w:val="00814B44"/>
    <w:rsid w:val="00837978"/>
    <w:rsid w:val="008663F8"/>
    <w:rsid w:val="00875B43"/>
    <w:rsid w:val="008A07E3"/>
    <w:rsid w:val="008B26BF"/>
    <w:rsid w:val="008B5034"/>
    <w:rsid w:val="008E22DF"/>
    <w:rsid w:val="008E4B14"/>
    <w:rsid w:val="0090659E"/>
    <w:rsid w:val="00913414"/>
    <w:rsid w:val="00972ED6"/>
    <w:rsid w:val="00A02CEA"/>
    <w:rsid w:val="00A40C66"/>
    <w:rsid w:val="00A43E6A"/>
    <w:rsid w:val="00A62C81"/>
    <w:rsid w:val="00AD26AD"/>
    <w:rsid w:val="00AD6A25"/>
    <w:rsid w:val="00AE4E74"/>
    <w:rsid w:val="00AF7573"/>
    <w:rsid w:val="00B37926"/>
    <w:rsid w:val="00B52B6C"/>
    <w:rsid w:val="00BA5740"/>
    <w:rsid w:val="00BB197B"/>
    <w:rsid w:val="00BD28D4"/>
    <w:rsid w:val="00BE1457"/>
    <w:rsid w:val="00BE4EC7"/>
    <w:rsid w:val="00BF6269"/>
    <w:rsid w:val="00C140AA"/>
    <w:rsid w:val="00C24D40"/>
    <w:rsid w:val="00C54859"/>
    <w:rsid w:val="00C61403"/>
    <w:rsid w:val="00C71A3C"/>
    <w:rsid w:val="00C82EBC"/>
    <w:rsid w:val="00D1777C"/>
    <w:rsid w:val="00D919CF"/>
    <w:rsid w:val="00DC3DED"/>
    <w:rsid w:val="00DF6C13"/>
    <w:rsid w:val="00E1461E"/>
    <w:rsid w:val="00E21112"/>
    <w:rsid w:val="00E24902"/>
    <w:rsid w:val="00ED0609"/>
    <w:rsid w:val="00ED0821"/>
    <w:rsid w:val="00ED39D4"/>
    <w:rsid w:val="00F0202A"/>
    <w:rsid w:val="00F31E31"/>
    <w:rsid w:val="00FC479A"/>
    <w:rsid w:val="00FD732D"/>
    <w:rsid w:val="00FF2A53"/>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8B852726-56CF-4ACB-AEFE-A972B5E9E6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t-EE"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C5583"/>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b w:val="0"/>
      <w:i w:val="0"/>
      <w:strike w:val="0"/>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837978"/>
    <w:pPr>
      <w:spacing w:before="480" w:after="240"/>
    </w:pPr>
  </w:style>
  <w:style w:type="paragraph" w:styleId="TOC1">
    <w:name w:val="toc 1"/>
    <w:basedOn w:val="Normal"/>
    <w:next w:val="Normal"/>
    <w:autoRedefine/>
    <w:uiPriority w:val="39"/>
    <w:rsid w:val="008E4B14"/>
    <w:pPr>
      <w:spacing w:after="240"/>
    </w:pPr>
  </w:style>
  <w:style w:type="paragraph" w:styleId="TOCHeading">
    <w:name w:val="TOC Heading"/>
    <w:basedOn w:val="Normal"/>
    <w:next w:val="TOCPage"/>
    <w:qFormat/>
    <w:rsid w:val="00FF2A53"/>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Bold12a">
    <w:name w:val="NormalBold12a"/>
    <w:basedOn w:val="Normal"/>
    <w:pPr>
      <w:spacing w:after="240"/>
    </w:pPr>
    <w:rPr>
      <w:b/>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053B97"/>
    <w:pPr>
      <w:spacing w:before="80" w:after="80"/>
    </w:pPr>
    <w:rPr>
      <w:rFonts w:ascii="Arial Narrow" w:hAnsi="Arial Narrow" w:cs="Arial"/>
      <w:b/>
      <w:sz w:val="32"/>
      <w:szCs w:val="22"/>
    </w:rPr>
  </w:style>
  <w:style w:type="paragraph" w:customStyle="1" w:styleId="CoverNormal24a">
    <w:name w:val="CoverNormal24a"/>
    <w:basedOn w:val="Normal"/>
    <w:rsid w:val="00D1777C"/>
    <w:pPr>
      <w:spacing w:after="480"/>
      <w:ind w:left="1417"/>
    </w:pPr>
  </w:style>
  <w:style w:type="paragraph" w:customStyle="1" w:styleId="CoverNormal">
    <w:name w:val="CoverNormal"/>
    <w:basedOn w:val="Normal"/>
    <w:pPr>
      <w:ind w:left="1418"/>
    </w:pPr>
  </w:style>
  <w:style w:type="paragraph" w:customStyle="1" w:styleId="CoverReference">
    <w:name w:val="CoverReference"/>
    <w:basedOn w:val="Normal"/>
    <w:rsid w:val="0065285A"/>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D1777C"/>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164B9B"/>
    <w:pPr>
      <w:tabs>
        <w:tab w:val="center" w:pos="4513"/>
        <w:tab w:val="right" w:pos="9026"/>
      </w:tabs>
    </w:pPr>
  </w:style>
  <w:style w:type="table" w:styleId="TableGrid">
    <w:name w:val="Table Grid"/>
    <w:basedOn w:val="TableNormal"/>
    <w:rsid w:val="00C71A3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C71A3C"/>
    <w:pPr>
      <w:jc w:val="center"/>
    </w:pPr>
    <w:rPr>
      <w:rFonts w:ascii="Arial" w:hAnsi="Arial" w:cs="Arial"/>
      <w:i/>
      <w:sz w:val="22"/>
      <w:szCs w:val="22"/>
    </w:rPr>
  </w:style>
  <w:style w:type="paragraph" w:customStyle="1" w:styleId="LineTop">
    <w:name w:val="LineTop"/>
    <w:basedOn w:val="Normal"/>
    <w:next w:val="Normal"/>
    <w:rsid w:val="00C71A3C"/>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71A3C"/>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053B97"/>
    <w:pPr>
      <w:spacing w:after="80"/>
    </w:pPr>
    <w:rPr>
      <w:rFonts w:ascii="Arial" w:hAnsi="Arial" w:cs="Arial"/>
      <w:sz w:val="20"/>
      <w:szCs w:val="22"/>
    </w:rPr>
  </w:style>
  <w:style w:type="paragraph" w:customStyle="1" w:styleId="EPLogo">
    <w:name w:val="EPLogo"/>
    <w:basedOn w:val="Normal"/>
    <w:qFormat/>
    <w:rsid w:val="00053B97"/>
    <w:pPr>
      <w:jc w:val="right"/>
    </w:pPr>
  </w:style>
  <w:style w:type="paragraph" w:customStyle="1" w:styleId="EPFooter">
    <w:name w:val="EPFooter"/>
    <w:basedOn w:val="Normal"/>
    <w:rsid w:val="00D1777C"/>
    <w:pPr>
      <w:tabs>
        <w:tab w:val="center" w:pos="4535"/>
        <w:tab w:val="right" w:pos="9071"/>
      </w:tabs>
      <w:spacing w:before="240" w:after="240"/>
    </w:pPr>
    <w:rPr>
      <w:color w:val="010000"/>
      <w:sz w:val="22"/>
    </w:rPr>
  </w:style>
  <w:style w:type="character" w:styleId="PageNumber">
    <w:name w:val="page number"/>
    <w:basedOn w:val="DefaultParagraphFont"/>
    <w:semiHidden/>
    <w:rsid w:val="00913414"/>
  </w:style>
  <w:style w:type="character" w:customStyle="1" w:styleId="HeaderChar">
    <w:name w:val="Header Char"/>
    <w:basedOn w:val="DefaultParagraphFont"/>
    <w:link w:val="Header"/>
    <w:semiHidden/>
    <w:rsid w:val="00164B9B"/>
    <w:rPr>
      <w:sz w:val="24"/>
    </w:rPr>
  </w:style>
  <w:style w:type="paragraph" w:customStyle="1" w:styleId="Lgendesigne">
    <w:name w:val="Légende signe"/>
    <w:basedOn w:val="Normal"/>
    <w:rsid w:val="000C3165"/>
    <w:pPr>
      <w:tabs>
        <w:tab w:val="right" w:pos="454"/>
        <w:tab w:val="left" w:pos="737"/>
      </w:tabs>
      <w:ind w:left="737" w:hanging="737"/>
    </w:pPr>
    <w:rPr>
      <w:snapToGrid w:val="0"/>
      <w:sz w:val="18"/>
      <w:lang w:eastAsia="en-US"/>
    </w:rPr>
  </w:style>
  <w:style w:type="paragraph" w:customStyle="1" w:styleId="Lgendetitre">
    <w:name w:val="Légende titre"/>
    <w:basedOn w:val="Normal"/>
    <w:rsid w:val="000C3165"/>
    <w:pPr>
      <w:spacing w:before="240" w:after="240"/>
    </w:pPr>
    <w:rPr>
      <w:b/>
      <w:i/>
      <w:snapToGrid w:val="0"/>
      <w:lang w:eastAsia="en-US"/>
    </w:rPr>
  </w:style>
  <w:style w:type="paragraph" w:customStyle="1" w:styleId="Lgendestandard">
    <w:name w:val="Légende standard"/>
    <w:basedOn w:val="Normal"/>
    <w:rsid w:val="000C3165"/>
    <w:rPr>
      <w:sz w:val="18"/>
    </w:rPr>
  </w:style>
  <w:style w:type="paragraph" w:customStyle="1" w:styleId="Normal12Hanging">
    <w:name w:val="Normal12Hanging"/>
    <w:basedOn w:val="Normal"/>
    <w:rsid w:val="000C3165"/>
    <w:pPr>
      <w:spacing w:after="240"/>
      <w:ind w:left="567" w:hanging="567"/>
    </w:pPr>
  </w:style>
  <w:style w:type="paragraph" w:styleId="Footer">
    <w:name w:val="footer"/>
    <w:basedOn w:val="Normal"/>
    <w:link w:val="FooterChar"/>
    <w:semiHidden/>
    <w:rsid w:val="000C3165"/>
    <w:pPr>
      <w:tabs>
        <w:tab w:val="center" w:pos="4513"/>
        <w:tab w:val="right" w:pos="9026"/>
      </w:tabs>
    </w:pPr>
  </w:style>
  <w:style w:type="character" w:customStyle="1" w:styleId="FooterChar">
    <w:name w:val="Footer Char"/>
    <w:basedOn w:val="DefaultParagraphFont"/>
    <w:link w:val="Footer"/>
    <w:semiHidden/>
    <w:rsid w:val="000C3165"/>
    <w:rPr>
      <w:sz w:val="24"/>
    </w:rPr>
  </w:style>
  <w:style w:type="paragraph" w:styleId="BalloonText">
    <w:name w:val="Balloon Text"/>
    <w:basedOn w:val="Normal"/>
    <w:link w:val="BalloonTextChar"/>
    <w:semiHidden/>
    <w:unhideWhenUsed/>
    <w:rsid w:val="00314486"/>
    <w:rPr>
      <w:rFonts w:ascii="Segoe UI" w:hAnsi="Segoe UI" w:cs="Segoe UI"/>
      <w:sz w:val="18"/>
      <w:szCs w:val="18"/>
    </w:rPr>
  </w:style>
  <w:style w:type="character" w:customStyle="1" w:styleId="BalloonTextChar">
    <w:name w:val="Balloon Text Char"/>
    <w:basedOn w:val="DefaultParagraphFont"/>
    <w:link w:val="BalloonText"/>
    <w:semiHidden/>
    <w:rsid w:val="00314486"/>
    <w:rPr>
      <w:rFonts w:ascii="Segoe UI" w:hAnsi="Segoe UI" w:cs="Segoe UI"/>
      <w:sz w:val="18"/>
      <w:szCs w:val="18"/>
    </w:rPr>
  </w:style>
  <w:style w:type="paragraph" w:styleId="FootnoteText">
    <w:name w:val="footnote text"/>
    <w:basedOn w:val="Normal"/>
    <w:link w:val="FootnoteTextChar"/>
    <w:rsid w:val="00314486"/>
    <w:rPr>
      <w:sz w:val="20"/>
    </w:rPr>
  </w:style>
  <w:style w:type="character" w:customStyle="1" w:styleId="FootnoteTextChar">
    <w:name w:val="Footnote Text Char"/>
    <w:basedOn w:val="DefaultParagraphFont"/>
    <w:link w:val="FootnoteText"/>
    <w:rsid w:val="00314486"/>
  </w:style>
  <w:style w:type="character" w:styleId="FootnoteReference">
    <w:name w:val="footnote reference"/>
    <w:basedOn w:val="DefaultParagraphFont"/>
    <w:rsid w:val="0031448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B07C0AD-B3F7-470A-92C8-07CDD1CD0D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1025</Words>
  <Characters>5848</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PR_COD_1app</vt:lpstr>
    </vt:vector>
  </TitlesOfParts>
  <Company/>
  <LinksUpToDate>false</LinksUpToDate>
  <CharactersWithSpaces>6860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PR_COD_1app</dc:title>
  <dc:subject/>
  <dc:creator>BARSTYTE Lina</dc:creator>
  <cp:keywords/>
  <dc:description/>
  <cp:lastModifiedBy>THOMSON Astrid</cp:lastModifiedBy>
  <cp:revision>2</cp:revision>
  <cp:lastPrinted>2004-11-04T10:10:00Z</cp:lastPrinted>
  <dcterms:created xsi:type="dcterms:W3CDTF">2021-05-18T07:06:00Z</dcterms:created>
  <dcterms:modified xsi:type="dcterms:W3CDTF">2021-05-18T07:06:00Z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with">
    <vt:lpwstr>9.9.1 Build [20200705]</vt:lpwstr>
  </property>
  <property fmtid="{D5CDD505-2E9C-101B-9397-08002B2CF9AE}" pid="3" name="LastEdited with">
    <vt:lpwstr>9.9.1 Build [20200705]</vt:lpwstr>
  </property>
  <property fmtid="{D5CDD505-2E9C-101B-9397-08002B2CF9AE}" pid="4" name="&lt;FdR&gt;">
    <vt:lpwstr>1230271</vt:lpwstr>
  </property>
  <property fmtid="{D5CDD505-2E9C-101B-9397-08002B2CF9AE}" pid="5" name="&lt;Type&gt;">
    <vt:lpwstr>PR</vt:lpwstr>
  </property>
  <property fmtid="{D5CDD505-2E9C-101B-9397-08002B2CF9AE}" pid="6" name="&lt;ModelCod&gt;">
    <vt:lpwstr>\\eiciBRUpr1\pdocep$\DocEP\DOCS\General\PR\PR_Leg\COD\COD_1st\PR_COD_1app.dotx(17/04/2020 19:27:09)</vt:lpwstr>
  </property>
  <property fmtid="{D5CDD505-2E9C-101B-9397-08002B2CF9AE}" pid="7" name="&lt;ModelTra&gt;">
    <vt:lpwstr>\\eiciBRUpr1\pdocep$\DocEP\TRANSFIL\EN\PR_COD_1app.EN(07/09/2020 19:06:27)</vt:lpwstr>
  </property>
  <property fmtid="{D5CDD505-2E9C-101B-9397-08002B2CF9AE}" pid="8" name="&lt;Model&gt;">
    <vt:lpwstr>PR_COD_1app</vt:lpwstr>
  </property>
  <property fmtid="{D5CDD505-2E9C-101B-9397-08002B2CF9AE}" pid="9" name="FooterPath">
    <vt:lpwstr>PR\1230271ET.docx</vt:lpwstr>
  </property>
  <property fmtid="{D5CDD505-2E9C-101B-9397-08002B2CF9AE}" pid="10" name="PE number">
    <vt:lpwstr>692.613</vt:lpwstr>
  </property>
  <property fmtid="{D5CDD505-2E9C-101B-9397-08002B2CF9AE}" pid="11" name="SendToEpades">
    <vt:lpwstr>OK - 2021/04/29 11:11</vt:lpwstr>
  </property>
  <property fmtid="{D5CDD505-2E9C-101B-9397-08002B2CF9AE}" pid="12" name="SDLStudio">
    <vt:lpwstr/>
  </property>
  <property fmtid="{D5CDD505-2E9C-101B-9397-08002B2CF9AE}" pid="13" name="&lt;Extension&gt;">
    <vt:lpwstr>ET</vt:lpwstr>
  </property>
  <property fmtid="{D5CDD505-2E9C-101B-9397-08002B2CF9AE}" pid="14" name="Bookout">
    <vt:lpwstr>OK - 2021/05/18 09:03</vt:lpwstr>
  </property>
</Properties>
</file>