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B5034" w:rsidRPr="00583E97" w:rsidTr="00C85D0F">
        <w:trPr>
          <w:trHeight w:hRule="exact" w:val="1418"/>
        </w:trPr>
        <w:tc>
          <w:tcPr>
            <w:tcW w:w="6804" w:type="dxa"/>
            <w:shd w:val="clear" w:color="auto" w:fill="auto"/>
            <w:vAlign w:val="center"/>
          </w:tcPr>
          <w:p w:rsidR="008B5034" w:rsidRPr="00583E97" w:rsidRDefault="00583E97" w:rsidP="00C85D0F">
            <w:pPr>
              <w:pStyle w:val="EPName"/>
            </w:pPr>
            <w:bookmarkStart w:id="0" w:name="_GoBack"/>
            <w:bookmarkEnd w:id="0"/>
            <w:r>
              <w:t>Parlamento europeo</w:t>
            </w:r>
          </w:p>
          <w:p w:rsidR="008B5034" w:rsidRPr="00447EB4" w:rsidRDefault="00447EB4" w:rsidP="00447EB4">
            <w:pPr>
              <w:pStyle w:val="EPTerm"/>
            </w:pPr>
            <w:r>
              <w:t>2019-2024</w:t>
            </w:r>
          </w:p>
        </w:tc>
        <w:tc>
          <w:tcPr>
            <w:tcW w:w="2268" w:type="dxa"/>
            <w:shd w:val="clear" w:color="auto" w:fill="auto"/>
          </w:tcPr>
          <w:p w:rsidR="008B5034" w:rsidRPr="00583E97" w:rsidRDefault="008B5034" w:rsidP="00C85D0F">
            <w:pPr>
              <w:pStyle w:val="EPLogo"/>
            </w:pPr>
            <w:r w:rsidRPr="00583E97">
              <w:rPr>
                <w:lang w:val="en-GB"/>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C71A3C" w:rsidRPr="00583E97" w:rsidRDefault="00C71A3C" w:rsidP="00C71A3C">
      <w:pPr>
        <w:pStyle w:val="LineTop"/>
      </w:pPr>
    </w:p>
    <w:p w:rsidR="00C71A3C" w:rsidRPr="00583E97" w:rsidRDefault="00C71A3C" w:rsidP="00C71A3C">
      <w:pPr>
        <w:pStyle w:val="EPBody"/>
      </w:pPr>
      <w:r>
        <w:rPr>
          <w:rStyle w:val="HideTWBExt"/>
          <w:noProof w:val="0"/>
        </w:rPr>
        <w:t>&lt;</w:t>
      </w:r>
      <w:r>
        <w:rPr>
          <w:rStyle w:val="HideTWBExt"/>
          <w:i w:val="0"/>
          <w:noProof w:val="0"/>
        </w:rPr>
        <w:t>Commission</w:t>
      </w:r>
      <w:r>
        <w:rPr>
          <w:rStyle w:val="HideTWBExt"/>
          <w:noProof w:val="0"/>
        </w:rPr>
        <w:t>&gt;</w:t>
      </w:r>
      <w:r>
        <w:rPr>
          <w:rStyle w:val="HideTWBInt"/>
        </w:rPr>
        <w:t>{PECH}</w:t>
      </w:r>
      <w:r>
        <w:t>Commissione per la pesca</w:t>
      </w:r>
      <w:r>
        <w:rPr>
          <w:rStyle w:val="HideTWBExt"/>
          <w:noProof w:val="0"/>
        </w:rPr>
        <w:t>&lt;/</w:t>
      </w:r>
      <w:r>
        <w:rPr>
          <w:rStyle w:val="HideTWBExt"/>
          <w:i w:val="0"/>
          <w:noProof w:val="0"/>
        </w:rPr>
        <w:t>Commission</w:t>
      </w:r>
      <w:r>
        <w:rPr>
          <w:rStyle w:val="HideTWBExt"/>
          <w:noProof w:val="0"/>
        </w:rPr>
        <w:t>&gt;</w:t>
      </w:r>
    </w:p>
    <w:p w:rsidR="00C71A3C" w:rsidRPr="00583E97" w:rsidRDefault="00C71A3C" w:rsidP="00C71A3C">
      <w:pPr>
        <w:pStyle w:val="LineBottom"/>
      </w:pPr>
    </w:p>
    <w:p w:rsidR="00ED0821" w:rsidRPr="00583E97" w:rsidRDefault="00ED0821">
      <w:pPr>
        <w:pStyle w:val="CoverReference"/>
      </w:pPr>
      <w:r>
        <w:rPr>
          <w:rStyle w:val="HideTWBExt"/>
          <w:b w:val="0"/>
          <w:noProof w:val="0"/>
        </w:rPr>
        <w:t>&lt;RefProc&gt;</w:t>
      </w:r>
      <w:r>
        <w:t>2020/0302</w:t>
      </w:r>
      <w:r>
        <w:rPr>
          <w:rStyle w:val="HideTWBExt"/>
          <w:b w:val="0"/>
          <w:noProof w:val="0"/>
        </w:rPr>
        <w:t>&lt;/RefProc&gt;&lt;RefTypeProc&gt;</w:t>
      </w:r>
      <w:r>
        <w:t>(COD)</w:t>
      </w:r>
      <w:r>
        <w:rPr>
          <w:rStyle w:val="HideTWBExt"/>
          <w:b w:val="0"/>
          <w:noProof w:val="0"/>
        </w:rPr>
        <w:t>&lt;/RefTypeProc&gt;</w:t>
      </w:r>
    </w:p>
    <w:p w:rsidR="00ED0821" w:rsidRPr="00583E97" w:rsidRDefault="00ED0821">
      <w:pPr>
        <w:pStyle w:val="CoverDate"/>
      </w:pPr>
      <w:r>
        <w:rPr>
          <w:rStyle w:val="HideTWBExt"/>
          <w:noProof w:val="0"/>
        </w:rPr>
        <w:t>&lt;Date&gt;</w:t>
      </w:r>
      <w:r>
        <w:rPr>
          <w:rStyle w:val="HideTWBInt"/>
        </w:rPr>
        <w:t>{29/04/2021}</w:t>
      </w:r>
      <w:r>
        <w:t>29.4.2021</w:t>
      </w:r>
      <w:r>
        <w:rPr>
          <w:rStyle w:val="HideTWBExt"/>
          <w:noProof w:val="0"/>
        </w:rPr>
        <w:t>&lt;/Date&gt;</w:t>
      </w:r>
    </w:p>
    <w:p w:rsidR="00ED0821" w:rsidRPr="00583E97" w:rsidRDefault="00ED0821">
      <w:pPr>
        <w:pStyle w:val="CoverDocType"/>
      </w:pPr>
      <w:r>
        <w:rPr>
          <w:rStyle w:val="HideTWBExt"/>
          <w:b w:val="0"/>
          <w:noProof w:val="0"/>
        </w:rPr>
        <w:t>&lt;RefProcLect&gt;</w:t>
      </w:r>
      <w:r>
        <w:t>***I</w:t>
      </w:r>
      <w:r>
        <w:rPr>
          <w:rStyle w:val="HideTWBExt"/>
          <w:b w:val="0"/>
          <w:noProof w:val="0"/>
        </w:rPr>
        <w:t>&lt;/RefProcLect&gt;</w:t>
      </w:r>
    </w:p>
    <w:p w:rsidR="00ED0821" w:rsidRPr="00583E97" w:rsidRDefault="00ED0821">
      <w:pPr>
        <w:pStyle w:val="CoverDocType24a"/>
      </w:pPr>
      <w:r>
        <w:rPr>
          <w:rStyle w:val="HideTWBExt"/>
          <w:b w:val="0"/>
          <w:noProof w:val="0"/>
        </w:rPr>
        <w:t>&lt;TitreType&gt;</w:t>
      </w:r>
      <w:r>
        <w:t>PROGETTO DI RELAZIONE</w:t>
      </w:r>
      <w:r>
        <w:rPr>
          <w:rStyle w:val="HideTWBExt"/>
          <w:b w:val="0"/>
          <w:noProof w:val="0"/>
        </w:rPr>
        <w:t>&lt;/TitreType&gt;</w:t>
      </w:r>
    </w:p>
    <w:p w:rsidR="00ED0821" w:rsidRPr="00583E97" w:rsidRDefault="00ED0821">
      <w:pPr>
        <w:pStyle w:val="CoverNormal"/>
      </w:pPr>
      <w:r>
        <w:rPr>
          <w:rStyle w:val="HideTWBExt"/>
          <w:noProof w:val="0"/>
        </w:rPr>
        <w:t>&lt;Titre&gt;</w:t>
      </w:r>
      <w:r>
        <w:t>sulla proposta di regolamento del Parlamento europeo e del Consiglio che istituisce un programma di documentazione delle catture di tonno rosso (Thunnus thynnus) e abroga il regolamento (UE) n. 640/2010</w:t>
      </w:r>
      <w:r>
        <w:rPr>
          <w:rStyle w:val="HideTWBExt"/>
          <w:noProof w:val="0"/>
        </w:rPr>
        <w:t>&lt;/Titre&gt;</w:t>
      </w:r>
    </w:p>
    <w:p w:rsidR="00ED0821" w:rsidRPr="00447EB4" w:rsidRDefault="00ED0821">
      <w:pPr>
        <w:pStyle w:val="CoverNormal24a"/>
      </w:pPr>
      <w:r>
        <w:rPr>
          <w:rStyle w:val="HideTWBExt"/>
          <w:noProof w:val="0"/>
          <w:lang w:val="pt-PT"/>
        </w:rPr>
        <w:t>&lt;DocRef&gt;</w:t>
      </w:r>
      <w:r>
        <w:t>(COM(2020)0670 – C9-0336/2020 – 2020/0302(COD))</w:t>
      </w:r>
      <w:r>
        <w:rPr>
          <w:rStyle w:val="HideTWBExt"/>
          <w:noProof w:val="0"/>
          <w:lang w:val="pt-PT"/>
        </w:rPr>
        <w:t>&lt;/DocRef&gt;</w:t>
      </w:r>
    </w:p>
    <w:p w:rsidR="00ED0821" w:rsidRPr="00583E97" w:rsidRDefault="00ED0821">
      <w:pPr>
        <w:pStyle w:val="CoverNormal24a"/>
      </w:pPr>
      <w:r>
        <w:rPr>
          <w:rStyle w:val="HideTWBExt"/>
          <w:noProof w:val="0"/>
        </w:rPr>
        <w:t>&lt;Commission&gt;</w:t>
      </w:r>
      <w:r>
        <w:rPr>
          <w:rStyle w:val="HideTWBInt"/>
        </w:rPr>
        <w:t>{PECH}</w:t>
      </w:r>
      <w:r>
        <w:t>Commissione per la pesca</w:t>
      </w:r>
      <w:r>
        <w:rPr>
          <w:rStyle w:val="HideTWBExt"/>
          <w:noProof w:val="0"/>
        </w:rPr>
        <w:t>&lt;/Commission&gt;</w:t>
      </w:r>
    </w:p>
    <w:p w:rsidR="00ED0821" w:rsidRPr="00583E97" w:rsidRDefault="00447EB4">
      <w:pPr>
        <w:pStyle w:val="CoverNormal24a"/>
      </w:pPr>
      <w:r>
        <w:t xml:space="preserve">Relatore: </w:t>
      </w:r>
      <w:r>
        <w:rPr>
          <w:rStyle w:val="HideTWBExt"/>
          <w:noProof w:val="0"/>
        </w:rPr>
        <w:t>&lt;Depute&gt;</w:t>
      </w:r>
      <w:r>
        <w:t>Gabriel Mato</w:t>
      </w:r>
      <w:r>
        <w:rPr>
          <w:rStyle w:val="HideTWBExt"/>
          <w:noProof w:val="0"/>
        </w:rPr>
        <w:t>&lt;/Depute&gt;</w:t>
      </w:r>
    </w:p>
    <w:p w:rsidR="00BE4EC7" w:rsidRPr="00583E97" w:rsidRDefault="00447EB4" w:rsidP="00BE4EC7">
      <w:pPr>
        <w:pStyle w:val="CoverNormal"/>
      </w:pPr>
      <w:r>
        <w:t>(Procedura semplificata – articolo 52, paragrafo 1, del regolamento)</w:t>
      </w:r>
    </w:p>
    <w:p w:rsidR="00447EB4" w:rsidRDefault="00ED0821" w:rsidP="00894923">
      <w:r>
        <w:br w:type="page"/>
      </w:r>
      <w:r w:rsidR="0086183E">
        <w:lastRenderedPageBreak/>
        <w:fldChar w:fldCharType="begin"/>
      </w:r>
      <w:r w:rsidR="0086183E">
        <w:instrText xml:space="preserve"> TITLE  \* MERGEFORMAT </w:instrText>
      </w:r>
      <w:r w:rsidR="0086183E">
        <w:fldChar w:fldCharType="separate"/>
      </w:r>
      <w:r w:rsidR="0086183E" w:rsidRPr="0086183E">
        <w:rPr>
          <w:lang w:val="fr-FR"/>
        </w:rPr>
        <w:t>PR_COD_1app</w:t>
      </w:r>
      <w:r w:rsidR="0086183E">
        <w:rPr>
          <w:lang w:val="fr-FR"/>
        </w:rPr>
        <w:fldChar w:fldCharType="end"/>
      </w:r>
    </w:p>
    <w:p w:rsidR="00447EB4" w:rsidRDefault="00447EB4" w:rsidP="00894923">
      <w:pPr>
        <w:rPr>
          <w:lang w:val="fr-FR"/>
        </w:rPr>
      </w:pPr>
    </w:p>
    <w:p w:rsidR="00447EB4" w:rsidRDefault="00447EB4" w:rsidP="00894923">
      <w:pPr>
        <w:rPr>
          <w:lang w:val="fr-FR"/>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447EB4">
        <w:tc>
          <w:tcPr>
            <w:tcW w:w="5811" w:type="dxa"/>
          </w:tcPr>
          <w:p w:rsidR="00447EB4" w:rsidRDefault="00447EB4" w:rsidP="00894923">
            <w:pPr>
              <w:pStyle w:val="Lgendetitre"/>
            </w:pPr>
            <w:r>
              <w:t>Significato dei simboli utilizzati</w:t>
            </w:r>
          </w:p>
        </w:tc>
      </w:tr>
      <w:tr w:rsidR="00447EB4" w:rsidTr="00C50C36">
        <w:trPr>
          <w:cantSplit/>
          <w:trHeight w:val="1944"/>
        </w:trPr>
        <w:tc>
          <w:tcPr>
            <w:tcW w:w="5811" w:type="dxa"/>
            <w:tcBorders>
              <w:bottom w:val="single" w:sz="4" w:space="0" w:color="auto"/>
            </w:tcBorders>
          </w:tcPr>
          <w:p w:rsidR="00447EB4" w:rsidRPr="00C119BA" w:rsidRDefault="00447EB4" w:rsidP="00275D31">
            <w:pPr>
              <w:pStyle w:val="Lgendesigne"/>
            </w:pPr>
            <w:r>
              <w:tab/>
              <w:t>*</w:t>
            </w:r>
            <w:r>
              <w:tab/>
              <w:t>Procedura di consultazione</w:t>
            </w:r>
          </w:p>
          <w:p w:rsidR="00447EB4" w:rsidRPr="00C119BA" w:rsidRDefault="00447EB4" w:rsidP="00275D31">
            <w:pPr>
              <w:pStyle w:val="Lgendesigne"/>
            </w:pPr>
            <w:r>
              <w:tab/>
              <w:t>***</w:t>
            </w:r>
            <w:r>
              <w:tab/>
              <w:t>Procedura di approvazione</w:t>
            </w:r>
          </w:p>
          <w:p w:rsidR="00447EB4" w:rsidRPr="00C119BA" w:rsidRDefault="00447EB4" w:rsidP="00275D31">
            <w:pPr>
              <w:pStyle w:val="Lgendesigne"/>
            </w:pPr>
            <w:r>
              <w:tab/>
              <w:t>***I</w:t>
            </w:r>
            <w:r>
              <w:tab/>
              <w:t>Procedura legislativa ordinaria (prima lettura)</w:t>
            </w:r>
          </w:p>
          <w:p w:rsidR="00447EB4" w:rsidRPr="00C119BA" w:rsidRDefault="00447EB4" w:rsidP="00275D31">
            <w:pPr>
              <w:pStyle w:val="Lgendesigne"/>
            </w:pPr>
            <w:r>
              <w:tab/>
              <w:t>***II</w:t>
            </w:r>
            <w:r>
              <w:tab/>
              <w:t>Procedura legislativa ordinaria (seconda lettura)</w:t>
            </w:r>
          </w:p>
          <w:p w:rsidR="00447EB4" w:rsidRPr="00C119BA" w:rsidRDefault="00447EB4" w:rsidP="00275D31">
            <w:pPr>
              <w:pStyle w:val="Lgendesigne"/>
            </w:pPr>
            <w:r>
              <w:tab/>
              <w:t>***III</w:t>
            </w:r>
            <w:r>
              <w:tab/>
              <w:t>Procedura legislativa ordinaria (terza lettura)</w:t>
            </w:r>
          </w:p>
          <w:p w:rsidR="00447EB4" w:rsidRPr="00447EB4" w:rsidRDefault="00447EB4" w:rsidP="00275D31">
            <w:pPr>
              <w:pStyle w:val="Lgendestandard"/>
            </w:pPr>
          </w:p>
          <w:p w:rsidR="00447EB4" w:rsidRPr="00447EB4" w:rsidRDefault="00447EB4" w:rsidP="00275D31">
            <w:pPr>
              <w:pStyle w:val="Lgendestandard"/>
            </w:pPr>
            <w:r>
              <w:t>(La procedura indicata dipende dalla base giuridica proposta nel progetto di atto.)</w:t>
            </w:r>
          </w:p>
          <w:p w:rsidR="00447EB4" w:rsidRPr="00447EB4" w:rsidRDefault="00447EB4" w:rsidP="00894923"/>
        </w:tc>
      </w:tr>
    </w:tbl>
    <w:p w:rsidR="00447EB4" w:rsidRPr="00447EB4" w:rsidRDefault="00447EB4" w:rsidP="00894923"/>
    <w:p w:rsidR="00447EB4" w:rsidRPr="00447EB4" w:rsidRDefault="00447EB4" w:rsidP="00894923"/>
    <w:p w:rsidR="00447EB4" w:rsidRPr="00447EB4" w:rsidRDefault="00447EB4" w:rsidP="00894923"/>
    <w:p w:rsidR="00447EB4" w:rsidRPr="00447EB4" w:rsidRDefault="00447EB4"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447EB4">
        <w:tc>
          <w:tcPr>
            <w:tcW w:w="5811" w:type="dxa"/>
          </w:tcPr>
          <w:p w:rsidR="00447EB4" w:rsidRPr="00447EB4" w:rsidRDefault="00447EB4" w:rsidP="00894923">
            <w:pPr>
              <w:pStyle w:val="Lgendetitre"/>
            </w:pPr>
            <w:r>
              <w:t>Emendamenti a un progetto di atto</w:t>
            </w:r>
          </w:p>
        </w:tc>
      </w:tr>
      <w:tr w:rsidR="00447EB4" w:rsidTr="005E290D">
        <w:trPr>
          <w:trHeight w:val="4923"/>
        </w:trPr>
        <w:tc>
          <w:tcPr>
            <w:tcW w:w="5811" w:type="dxa"/>
          </w:tcPr>
          <w:p w:rsidR="00447EB4" w:rsidRDefault="00447EB4" w:rsidP="0073251B">
            <w:pPr>
              <w:pStyle w:val="Lgendestandard"/>
              <w:rPr>
                <w:b/>
              </w:rPr>
            </w:pPr>
            <w:r>
              <w:rPr>
                <w:b/>
              </w:rPr>
              <w:t>Emendamenti del Parlamento presentati su due colonne</w:t>
            </w:r>
          </w:p>
          <w:p w:rsidR="00447EB4" w:rsidRPr="00447EB4" w:rsidRDefault="00447EB4" w:rsidP="0073251B">
            <w:pPr>
              <w:pStyle w:val="Lgendestandard"/>
            </w:pPr>
          </w:p>
          <w:p w:rsidR="00447EB4" w:rsidRPr="00C119BA" w:rsidRDefault="00447EB4" w:rsidP="0073251B">
            <w:pPr>
              <w:pStyle w:val="Lgendestandard"/>
            </w:pPr>
            <w:r>
              <w:t xml:space="preserve">Le soppressioni sono evidenziate in </w:t>
            </w:r>
            <w:r>
              <w:rPr>
                <w:b/>
                <w:i/>
              </w:rPr>
              <w:t xml:space="preserve">corsivo grassetto </w:t>
            </w:r>
            <w:r>
              <w:t xml:space="preserve">nella colonna di sinistra. Le sostituzioni sono evidenziate in </w:t>
            </w:r>
            <w:r>
              <w:rPr>
                <w:b/>
                <w:i/>
              </w:rPr>
              <w:t xml:space="preserve">corsivo grassetto </w:t>
            </w:r>
            <w:r>
              <w:t xml:space="preserve">nelle due colonne. Il testo nuovo è evidenziato in </w:t>
            </w:r>
            <w:r>
              <w:rPr>
                <w:b/>
                <w:i/>
              </w:rPr>
              <w:t xml:space="preserve">corsivo grassetto </w:t>
            </w:r>
            <w:r>
              <w:t>nella colonna di destra.</w:t>
            </w:r>
          </w:p>
          <w:p w:rsidR="00447EB4" w:rsidRPr="00C119BA" w:rsidRDefault="00447EB4" w:rsidP="0073251B">
            <w:pPr>
              <w:pStyle w:val="Lgendestandard"/>
            </w:pPr>
          </w:p>
          <w:p w:rsidR="00447EB4" w:rsidRPr="00C119BA" w:rsidRDefault="00447EB4" w:rsidP="0073251B">
            <w:pPr>
              <w:pStyle w:val="Lgendestandard"/>
            </w:pPr>
            <w:r>
              <w:t xml:space="preserve">La prima e la seconda riga del blocco d'informazione di ogni emendamento identificano la parte di testo interessata del progetto di atto in esame. Se un emendamento verte su un atto esistente che il progetto di atto intende modificare, il blocco d'informazione comprende anche una terza e una quarta riga che identificano rispettivamente l'atto esistente e la disposizione interessata di quest'ultimo. </w:t>
            </w:r>
          </w:p>
          <w:p w:rsidR="00447EB4" w:rsidRPr="00C119BA" w:rsidRDefault="00447EB4" w:rsidP="0073251B">
            <w:pPr>
              <w:pStyle w:val="Lgendestandard"/>
            </w:pPr>
          </w:p>
          <w:p w:rsidR="00447EB4" w:rsidRDefault="00447EB4" w:rsidP="0073251B">
            <w:pPr>
              <w:pStyle w:val="Lgendestandard"/>
              <w:rPr>
                <w:b/>
              </w:rPr>
            </w:pPr>
            <w:r>
              <w:rPr>
                <w:b/>
              </w:rPr>
              <w:t>Emendamenti del Parlamento presentati in forma di testo consolidato</w:t>
            </w:r>
          </w:p>
          <w:p w:rsidR="00447EB4" w:rsidRDefault="00447EB4" w:rsidP="0073251B">
            <w:pPr>
              <w:pStyle w:val="Lgendestandard"/>
              <w:rPr>
                <w:b/>
              </w:rPr>
            </w:pPr>
          </w:p>
          <w:p w:rsidR="00447EB4" w:rsidRDefault="00447EB4" w:rsidP="0073251B">
            <w:pPr>
              <w:pStyle w:val="Lgendestandard"/>
              <w:rPr>
                <w:szCs w:val="18"/>
              </w:rPr>
            </w:pPr>
            <w:r>
              <w:t xml:space="preserve">Le parti di testo nuove sono evidenziate in </w:t>
            </w:r>
            <w:r>
              <w:rPr>
                <w:b/>
                <w:i/>
              </w:rPr>
              <w:t>corsivo grassetto</w:t>
            </w:r>
            <w:r>
              <w:t xml:space="preserve">. Le parti di testo soppresse sono indicate con il simbolo ▌ o sono barrate. Le sostituzioni sono segnalate evidenziando in </w:t>
            </w:r>
            <w:r>
              <w:rPr>
                <w:b/>
                <w:i/>
                <w:szCs w:val="18"/>
              </w:rPr>
              <w:t xml:space="preserve">corsivo grassetto </w:t>
            </w:r>
            <w:r>
              <w:t>il testo nuovo ed eliminando o barrando il testo sostituito.</w:t>
            </w:r>
          </w:p>
          <w:p w:rsidR="00447EB4" w:rsidRPr="00447EB4" w:rsidRDefault="00447EB4" w:rsidP="0073251B">
            <w:pPr>
              <w:pStyle w:val="Lgendestandard"/>
            </w:pPr>
            <w:r>
              <w:t>A titolo di eccezione, le modifiche di carattere strettamente tecnico apportate dai servizi in vista dell'elaborazione del testo finale non sono evidenziate.</w:t>
            </w:r>
          </w:p>
          <w:p w:rsidR="00447EB4" w:rsidRPr="00447EB4" w:rsidRDefault="00447EB4" w:rsidP="0069092A">
            <w:pPr>
              <w:pStyle w:val="Lgendestandard"/>
            </w:pPr>
          </w:p>
        </w:tc>
      </w:tr>
    </w:tbl>
    <w:p w:rsidR="00447EB4" w:rsidRPr="00447EB4" w:rsidRDefault="00447EB4" w:rsidP="00894923"/>
    <w:p w:rsidR="00ED0821" w:rsidRPr="00447EB4" w:rsidRDefault="00ED0821" w:rsidP="00053B97">
      <w:pPr>
        <w:widowControl/>
        <w:tabs>
          <w:tab w:val="center" w:pos="4677"/>
        </w:tabs>
      </w:pPr>
    </w:p>
    <w:p w:rsidR="00ED0821" w:rsidRPr="00583E97" w:rsidRDefault="00ED0821">
      <w:pPr>
        <w:pStyle w:val="TOCHeading"/>
      </w:pPr>
      <w:r>
        <w:br w:type="page"/>
      </w:r>
      <w:r>
        <w:lastRenderedPageBreak/>
        <w:t>INDICE</w:t>
      </w:r>
    </w:p>
    <w:p w:rsidR="00ED0821" w:rsidRPr="00583E97" w:rsidRDefault="00583E97">
      <w:pPr>
        <w:pStyle w:val="TOCPage"/>
      </w:pPr>
      <w:r>
        <w:t>Pagina</w:t>
      </w:r>
    </w:p>
    <w:p w:rsidR="0086183E" w:rsidRDefault="00053B97">
      <w:pPr>
        <w:pStyle w:val="TOC1"/>
        <w:tabs>
          <w:tab w:val="right" w:leader="dot" w:pos="9060"/>
        </w:tabs>
        <w:rPr>
          <w:rFonts w:asciiTheme="minorHAnsi" w:eastAsiaTheme="minorEastAsia" w:hAnsiTheme="minorHAnsi" w:cstheme="minorBidi"/>
          <w:noProof/>
          <w:sz w:val="22"/>
          <w:szCs w:val="22"/>
          <w:lang w:val="en-GB"/>
        </w:rPr>
      </w:pPr>
      <w:r w:rsidRPr="00583E97">
        <w:rPr>
          <w:b/>
        </w:rPr>
        <w:fldChar w:fldCharType="begin"/>
      </w:r>
      <w:r w:rsidRPr="00583E97">
        <w:rPr>
          <w:b/>
        </w:rPr>
        <w:instrText xml:space="preserve"> TOC \t "PageHeading</w:instrText>
      </w:r>
      <w:r w:rsidR="0086183E">
        <w:rPr>
          <w:b/>
        </w:rPr>
        <w:instrText>;</w:instrText>
      </w:r>
      <w:r w:rsidRPr="00583E97">
        <w:rPr>
          <w:b/>
        </w:rPr>
        <w:instrText xml:space="preserve">1" </w:instrText>
      </w:r>
      <w:r w:rsidRPr="00583E97">
        <w:rPr>
          <w:b/>
        </w:rPr>
        <w:fldChar w:fldCharType="separate"/>
      </w:r>
      <w:r w:rsidR="0086183E">
        <w:rPr>
          <w:noProof/>
        </w:rPr>
        <w:t>PROGETTO DI RISOLUZIONE LEGISLATIVA DEL PARLAMENTO EUROPEO</w:t>
      </w:r>
      <w:r w:rsidR="0086183E">
        <w:rPr>
          <w:noProof/>
        </w:rPr>
        <w:tab/>
      </w:r>
      <w:r w:rsidR="0086183E">
        <w:rPr>
          <w:noProof/>
        </w:rPr>
        <w:fldChar w:fldCharType="begin"/>
      </w:r>
      <w:r w:rsidR="0086183E">
        <w:rPr>
          <w:noProof/>
        </w:rPr>
        <w:instrText xml:space="preserve"> PAGEREF _Toc72213150 \h </w:instrText>
      </w:r>
      <w:r w:rsidR="0086183E">
        <w:rPr>
          <w:noProof/>
        </w:rPr>
      </w:r>
      <w:r w:rsidR="0086183E">
        <w:rPr>
          <w:noProof/>
        </w:rPr>
        <w:fldChar w:fldCharType="separate"/>
      </w:r>
      <w:r w:rsidR="0086183E">
        <w:rPr>
          <w:noProof/>
        </w:rPr>
        <w:t>5</w:t>
      </w:r>
      <w:r w:rsidR="0086183E">
        <w:rPr>
          <w:noProof/>
        </w:rPr>
        <w:fldChar w:fldCharType="end"/>
      </w:r>
    </w:p>
    <w:p w:rsidR="0086183E" w:rsidRDefault="0086183E">
      <w:pPr>
        <w:pStyle w:val="TOC1"/>
        <w:tabs>
          <w:tab w:val="right" w:leader="dot" w:pos="9060"/>
        </w:tabs>
        <w:rPr>
          <w:rFonts w:asciiTheme="minorHAnsi" w:eastAsiaTheme="minorEastAsia" w:hAnsiTheme="minorHAnsi" w:cstheme="minorBidi"/>
          <w:noProof/>
          <w:sz w:val="22"/>
          <w:szCs w:val="22"/>
          <w:lang w:val="en-GB"/>
        </w:rPr>
      </w:pPr>
      <w:r>
        <w:rPr>
          <w:noProof/>
        </w:rPr>
        <w:t>MOTIVAZIONE</w:t>
      </w:r>
      <w:r>
        <w:rPr>
          <w:noProof/>
        </w:rPr>
        <w:tab/>
      </w:r>
      <w:r>
        <w:rPr>
          <w:noProof/>
        </w:rPr>
        <w:fldChar w:fldCharType="begin"/>
      </w:r>
      <w:r>
        <w:rPr>
          <w:noProof/>
        </w:rPr>
        <w:instrText xml:space="preserve"> PAGEREF _Toc72213151 \h </w:instrText>
      </w:r>
      <w:r>
        <w:rPr>
          <w:noProof/>
        </w:rPr>
      </w:r>
      <w:r>
        <w:rPr>
          <w:noProof/>
        </w:rPr>
        <w:fldChar w:fldCharType="separate"/>
      </w:r>
      <w:r>
        <w:rPr>
          <w:noProof/>
        </w:rPr>
        <w:t>6</w:t>
      </w:r>
      <w:r>
        <w:rPr>
          <w:noProof/>
        </w:rPr>
        <w:fldChar w:fldCharType="end"/>
      </w:r>
    </w:p>
    <w:p w:rsidR="001A06D8" w:rsidRPr="00583E97" w:rsidRDefault="00053B97" w:rsidP="008E4B14">
      <w:r w:rsidRPr="00583E97">
        <w:rPr>
          <w:b/>
        </w:rPr>
        <w:fldChar w:fldCharType="end"/>
      </w:r>
    </w:p>
    <w:p w:rsidR="00ED0821" w:rsidRPr="00583E97" w:rsidRDefault="00ED0821">
      <w:pPr>
        <w:pStyle w:val="PageHeading"/>
      </w:pPr>
      <w:r>
        <w:br w:type="page"/>
      </w:r>
      <w:r>
        <w:lastRenderedPageBreak/>
        <w:br w:type="page"/>
      </w:r>
      <w:bookmarkStart w:id="1" w:name="_Toc72213150"/>
      <w:r>
        <w:lastRenderedPageBreak/>
        <w:t>PROGETTO DI RISOLUZIONE LEGISLATIVA DEL PARLAMENTO EUROPEO</w:t>
      </w:r>
      <w:bookmarkEnd w:id="1"/>
    </w:p>
    <w:p w:rsidR="00ED0821" w:rsidRPr="00583E97" w:rsidRDefault="00583E97">
      <w:pPr>
        <w:pStyle w:val="NormalBold"/>
      </w:pPr>
      <w:r>
        <w:t>sulla proposta di regolamento del Parlamento europeo e del Consiglio che istituisce un programma di documentazione delle catture di tonno rosso (Thunnus thynnus) e abroga il regolamento (UE) n. 640/2010</w:t>
      </w:r>
    </w:p>
    <w:p w:rsidR="00ED0821" w:rsidRPr="00583E97" w:rsidRDefault="00447EB4">
      <w:pPr>
        <w:pStyle w:val="NormalBold12a"/>
      </w:pPr>
      <w:r>
        <w:t>(COM(2020)0670 – C9-0336/2020 – 2020/0302(COD))</w:t>
      </w:r>
    </w:p>
    <w:p w:rsidR="00ED0821" w:rsidRPr="00583E97" w:rsidRDefault="00583E97" w:rsidP="00837978">
      <w:pPr>
        <w:pStyle w:val="NormalBold"/>
      </w:pPr>
      <w:r>
        <w:t>(Procedura legislativa ordinaria: prima lettura)</w:t>
      </w:r>
    </w:p>
    <w:p w:rsidR="00ED0821" w:rsidRPr="00583E97" w:rsidRDefault="00583E97">
      <w:pPr>
        <w:pStyle w:val="EPComma"/>
      </w:pPr>
      <w:r>
        <w:rPr>
          <w:i/>
        </w:rPr>
        <w:t>Il Parlamento europeo</w:t>
      </w:r>
      <w:r>
        <w:t>,</w:t>
      </w:r>
    </w:p>
    <w:p w:rsidR="00ED0821" w:rsidRPr="00583E97" w:rsidRDefault="00ED0821">
      <w:pPr>
        <w:pStyle w:val="NormalHanging12a"/>
      </w:pPr>
      <w:r>
        <w:t>–</w:t>
      </w:r>
      <w:r>
        <w:tab/>
        <w:t>vista la proposta della Commissione al Parlamento europeo e al Consiglio (COM(2020)0670),</w:t>
      </w:r>
    </w:p>
    <w:p w:rsidR="00ED0821" w:rsidRPr="00583E97" w:rsidRDefault="00ED0821">
      <w:pPr>
        <w:pStyle w:val="NormalHanging12a"/>
      </w:pPr>
      <w:r>
        <w:t>–</w:t>
      </w:r>
      <w:r>
        <w:tab/>
        <w:t>visti l'articolo 294, paragrafo 2, e l'articolo 43, paragrafo 2, del trattato sul funzionamento dell'Unione europea, a norma dei quali la proposta gli è stata presentata dalla Commissione (C9-0336/2020),</w:t>
      </w:r>
    </w:p>
    <w:p w:rsidR="00ED0609" w:rsidRPr="00583E97" w:rsidRDefault="00ED0609" w:rsidP="00ED0609">
      <w:pPr>
        <w:pStyle w:val="NormalHanging12a"/>
      </w:pPr>
      <w:r>
        <w:t>–</w:t>
      </w:r>
      <w:r>
        <w:tab/>
        <w:t>visto l'articolo 294, paragrafo 3, del trattato sul funzionamento dell'Unione europea,</w:t>
      </w:r>
    </w:p>
    <w:p w:rsidR="00447EB4" w:rsidRDefault="00447EB4" w:rsidP="008663F8">
      <w:pPr>
        <w:pStyle w:val="NormalHanging12a"/>
      </w:pPr>
      <w:r>
        <w:t>–</w:t>
      </w:r>
      <w:r>
        <w:tab/>
        <w:t>visto il parere del Comitato economico e sociale europeo del 27 gennaio 2021</w:t>
      </w:r>
      <w:r>
        <w:rPr>
          <w:rStyle w:val="FootnoteReference"/>
        </w:rPr>
        <w:footnoteReference w:id="1"/>
      </w:r>
      <w:r>
        <w:t>,</w:t>
      </w:r>
    </w:p>
    <w:p w:rsidR="00ED0821" w:rsidRPr="00583E97" w:rsidRDefault="00ED0821">
      <w:pPr>
        <w:pStyle w:val="NormalHanging12a"/>
      </w:pPr>
      <w:r>
        <w:t>–</w:t>
      </w:r>
      <w:r>
        <w:tab/>
        <w:t>visto l'articolo 59 del suo regolamento,</w:t>
      </w:r>
    </w:p>
    <w:p w:rsidR="00DF6C13" w:rsidRPr="00583E97" w:rsidRDefault="00DF6C13" w:rsidP="00DF6C13">
      <w:pPr>
        <w:pStyle w:val="NormalHanging12a"/>
      </w:pPr>
      <w:r>
        <w:t>–</w:t>
      </w:r>
      <w:r>
        <w:tab/>
        <w:t>vista la relazione della commissione per la pesca (A9-0000/2021),</w:t>
      </w:r>
    </w:p>
    <w:p w:rsidR="00ED0821" w:rsidRPr="00583E97" w:rsidRDefault="00ED0821">
      <w:pPr>
        <w:pStyle w:val="NormalHanging12a"/>
      </w:pPr>
      <w:r>
        <w:t>1.</w:t>
      </w:r>
      <w:r>
        <w:tab/>
        <w:t>adotta la sua posizione in prima lettura facendo propria la proposta della Commissione;</w:t>
      </w:r>
    </w:p>
    <w:p w:rsidR="00ED0821" w:rsidRPr="00583E97" w:rsidRDefault="00ED0821">
      <w:pPr>
        <w:pStyle w:val="NormalHanging12a"/>
      </w:pPr>
      <w:r>
        <w:t>2.</w:t>
      </w:r>
      <w:r>
        <w:tab/>
        <w:t>chiede alla Commissione di presentargli nuovamente la proposta qualora la sostituisca, la modifichi sostanzialmente o intenda modificarla sostanzialmente;</w:t>
      </w:r>
    </w:p>
    <w:p w:rsidR="00ED0821" w:rsidRPr="00583E97" w:rsidRDefault="00ED0821">
      <w:pPr>
        <w:pStyle w:val="NormalHanging12a"/>
      </w:pPr>
      <w:r>
        <w:t>3.</w:t>
      </w:r>
      <w:r>
        <w:tab/>
        <w:t>incarica il suo Presidente di trasmettere la posizione del Parlamento al Consiglio e alla Commissione nonché ai parlamenti nazionali.</w:t>
      </w:r>
    </w:p>
    <w:p w:rsidR="00044AFE" w:rsidRDefault="00044AFE">
      <w:pPr>
        <w:widowControl/>
      </w:pPr>
      <w:r>
        <w:br w:type="page"/>
      </w:r>
    </w:p>
    <w:p w:rsidR="00044AFE" w:rsidRPr="00044AFE" w:rsidRDefault="00044AFE" w:rsidP="00044AFE">
      <w:pPr>
        <w:pStyle w:val="PageHeading"/>
      </w:pPr>
      <w:bookmarkStart w:id="2" w:name="_Toc70598234"/>
      <w:bookmarkStart w:id="3" w:name="_Toc72213151"/>
      <w:r>
        <w:lastRenderedPageBreak/>
        <w:t>MOTIVAZIONE</w:t>
      </w:r>
      <w:bookmarkEnd w:id="2"/>
      <w:bookmarkEnd w:id="3"/>
    </w:p>
    <w:p w:rsidR="00044AFE" w:rsidRPr="00044AFE" w:rsidRDefault="00044AFE" w:rsidP="00044AFE">
      <w:pPr>
        <w:rPr>
          <w:b/>
          <w:bCs/>
        </w:rPr>
      </w:pPr>
      <w:r>
        <w:rPr>
          <w:b/>
          <w:bCs/>
        </w:rPr>
        <w:t>Contesto della proposta</w:t>
      </w:r>
    </w:p>
    <w:p w:rsidR="00044AFE" w:rsidRPr="00044AFE" w:rsidRDefault="00044AFE" w:rsidP="00044AFE">
      <w:pPr>
        <w:rPr>
          <w:b/>
          <w:bCs/>
          <w:sz w:val="22"/>
          <w:lang w:val="en-GB"/>
        </w:rPr>
      </w:pPr>
    </w:p>
    <w:p w:rsidR="00044AFE" w:rsidRPr="00044AFE" w:rsidRDefault="00044AFE" w:rsidP="00044AFE">
      <w:r>
        <w:t xml:space="preserve">L'Unione europea è parte contraente della Convenzione internazionale per la conservazione dei tonnidi dell'Atlantico ("la convenzione ICCAT") dal 1997. </w:t>
      </w:r>
    </w:p>
    <w:p w:rsidR="00044AFE" w:rsidRPr="00044AFE" w:rsidRDefault="00044AFE" w:rsidP="00044AFE">
      <w:pPr>
        <w:rPr>
          <w:lang w:val="en-GB"/>
        </w:rPr>
      </w:pPr>
    </w:p>
    <w:p w:rsidR="00044AFE" w:rsidRPr="00044AFE" w:rsidRDefault="00044AFE" w:rsidP="00044AFE">
      <w:r>
        <w:t xml:space="preserve">La convenzione ICCAT istituisce un quadro di cooperazione regionale per la conservazione e la gestione dei tonnidi e di specie affini nell'Oceano Atlantico e nei mari adiacenti mediante la creazione di una Commissione internazionale per la conservazione dei tonnidi dell'Atlantico (ICCAT). </w:t>
      </w:r>
    </w:p>
    <w:p w:rsidR="00044AFE" w:rsidRPr="00044AFE" w:rsidRDefault="00044AFE" w:rsidP="00044AFE">
      <w:pPr>
        <w:rPr>
          <w:lang w:val="en-GB"/>
        </w:rPr>
      </w:pPr>
    </w:p>
    <w:p w:rsidR="00044AFE" w:rsidRPr="00044AFE" w:rsidRDefault="00044AFE" w:rsidP="00044AFE">
      <w:r>
        <w:t xml:space="preserve">L'ICCAT ha la facoltà di adottare raccomandazioni vincolanti per la conservazione e la gestione delle risorse alieutiche nel suo ambito di competenza. Si tratta di atti essenzialmente rivolti alle parti contraenti dell'ICCAT, come l'Unione, ma che contengono obblighi anche per gli operatori privati (ad esempio per i comandanti delle navi). </w:t>
      </w:r>
    </w:p>
    <w:p w:rsidR="00044AFE" w:rsidRPr="00044AFE" w:rsidRDefault="00044AFE" w:rsidP="00044AFE">
      <w:pPr>
        <w:rPr>
          <w:lang w:val="en-GB"/>
        </w:rPr>
      </w:pPr>
    </w:p>
    <w:p w:rsidR="00044AFE" w:rsidRPr="00044AFE" w:rsidRDefault="00044AFE" w:rsidP="00044AFE">
      <w:pPr>
        <w:rPr>
          <w:b/>
          <w:bCs/>
        </w:rPr>
      </w:pPr>
      <w:r>
        <w:rPr>
          <w:b/>
          <w:bCs/>
        </w:rPr>
        <w:t>Contenuto della proposta</w:t>
      </w:r>
    </w:p>
    <w:p w:rsidR="00044AFE" w:rsidRPr="00044AFE" w:rsidRDefault="00044AFE" w:rsidP="00044AFE">
      <w:pPr>
        <w:rPr>
          <w:lang w:val="en-GB"/>
        </w:rPr>
      </w:pPr>
    </w:p>
    <w:p w:rsidR="00044AFE" w:rsidRPr="00044AFE" w:rsidRDefault="00044AFE" w:rsidP="00044AFE">
      <w:r>
        <w:t xml:space="preserve">La presente proposta [COM(2020)0670] fissa le norme per un programma dell'Unione riguardante la documentazione delle catture di tonno rosso allo scopo di attuare le misure di conservazione e di gestione adottate dalla Commissione internazionale per la conservazione dei tonnidi dell'Atlantico, nel quadro del programma di documentazione delle catture di tonno rosso. L'obiettivo di quest'ultimo è quello di individuare l'origine di tutto il tonno rosso catturato. </w:t>
      </w:r>
    </w:p>
    <w:p w:rsidR="00044AFE" w:rsidRPr="00044AFE" w:rsidRDefault="00044AFE" w:rsidP="00044AFE">
      <w:pPr>
        <w:rPr>
          <w:lang w:val="en-GB"/>
        </w:rPr>
      </w:pPr>
    </w:p>
    <w:p w:rsidR="00044AFE" w:rsidRPr="00044AFE" w:rsidRDefault="00044AFE" w:rsidP="00044AFE">
      <w:r>
        <w:t>Un programma di documentazione delle catture dell'Unione è di fatto già in vigore a norma del regolamento (UE) n. 640/2010. Nella proposta attualmente in esame, intesa ad abrogare il regolamento (UE) n. 640/2010, la registrazione e la convalida delle catture e di tonno rosso e delle successive operazioni commerciali sono effettuate mediante un sistema elettronico di documentazione delle catture di tonno rosso (eBCD), che è operativo dal 2017 e che gli Stati membri e gli operatori già utilizzano. La proposta prevede che il sistema elettronico possa essere sostituito, in via eccezionale, da documenti cartacei (documento di cattura del tonno rosso, BCD (Bluefin Tuna Catch Document)) equivalenti ai requisiti del sistema elettronico.</w:t>
      </w:r>
    </w:p>
    <w:p w:rsidR="00044AFE" w:rsidRPr="00044AFE" w:rsidRDefault="00044AFE" w:rsidP="00044AFE">
      <w:pPr>
        <w:rPr>
          <w:lang w:val="en-GB"/>
        </w:rPr>
      </w:pPr>
    </w:p>
    <w:p w:rsidR="00044AFE" w:rsidRPr="00044AFE" w:rsidRDefault="00044AFE" w:rsidP="00044AFE">
      <w:r>
        <w:t>La proposta stabilisce inoltre disposizioni generali sull'uso del documento di cattura e del certificato di riesportazione del tonno rosso e definisce norme per la registrazione e la convalida delle catture di tonno rosso e delle successive operazioni commerciali. Sono stabilite norme specifiche per il pesce marcato. Include altresì disposizioni per la verifica prima della convalida, la trasmissione dei dati degli utenti eBCD e la relazione annuale all'ICCAT., Infine, propone un ampio ricorso agli atti delegati per modificare l'atto di base in futuro (articolo 14).</w:t>
      </w:r>
    </w:p>
    <w:p w:rsidR="00044AFE" w:rsidRPr="00044AFE" w:rsidRDefault="00044AFE" w:rsidP="00044AFE">
      <w:pPr>
        <w:rPr>
          <w:lang w:val="en-GB"/>
        </w:rPr>
      </w:pPr>
    </w:p>
    <w:p w:rsidR="00044AFE" w:rsidRPr="00044AFE" w:rsidRDefault="00044AFE" w:rsidP="00044AFE">
      <w:pPr>
        <w:rPr>
          <w:lang w:val="en-GB"/>
        </w:rPr>
      </w:pPr>
    </w:p>
    <w:p w:rsidR="00044AFE" w:rsidRPr="00044AFE" w:rsidRDefault="00044AFE" w:rsidP="00044AFE">
      <w:pPr>
        <w:rPr>
          <w:b/>
        </w:rPr>
      </w:pPr>
      <w:r>
        <w:rPr>
          <w:b/>
        </w:rPr>
        <w:t>Parere del relatore</w:t>
      </w:r>
    </w:p>
    <w:p w:rsidR="00044AFE" w:rsidRPr="00044AFE" w:rsidRDefault="00044AFE" w:rsidP="00044AFE">
      <w:pPr>
        <w:rPr>
          <w:lang w:val="en-GB"/>
        </w:rPr>
      </w:pPr>
    </w:p>
    <w:p w:rsidR="00044AFE" w:rsidRPr="00044AFE" w:rsidRDefault="00044AFE" w:rsidP="00044AFE">
      <w:pPr>
        <w:spacing w:after="240"/>
      </w:pPr>
      <w:r>
        <w:t xml:space="preserve">Il relatore accoglie con favore il fatto che la Commissione abbia intrapreso un processo di recepimento rigoroso delle raccomandazioni dell'ICCAT, creando così condizioni di parità </w:t>
      </w:r>
      <w:r>
        <w:lastRenderedPageBreak/>
        <w:t xml:space="preserve">per tutti gli operatori. Garantire le stesse condizioni per tutti, promuovendo al contempo gli elevati standard di sostenibilità dell'UE tra le flotte straniere attraverso l'azione dell'UE in seno alle organizzazioni regionali di gestione della pesca (ORGP) e di altri consessi internazionali, è fondamentale per i nostri operatori e per il miglioramento della governance internazionale degli oceani. </w:t>
      </w:r>
    </w:p>
    <w:p w:rsidR="00044AFE" w:rsidRPr="00044AFE" w:rsidRDefault="00044AFE" w:rsidP="00044AFE">
      <w:r>
        <w:t xml:space="preserve">Il relatore considera importante, nei confronti degli operatori, del pubblico e dei nostri paesi partner, che la Commissione proponga un rapido recepimento delle raccomandazioni delle ORGP, al fine di evitare ritardi nell'attuazione di talune disposizioni. Non è logico che le raccomandazioni dell'ICCAT risalenti al 2018 e che fissano i termini per il 2020 siano adottate nel 2021. </w:t>
      </w:r>
    </w:p>
    <w:p w:rsidR="00044AFE" w:rsidRPr="00044AFE" w:rsidRDefault="00044AFE" w:rsidP="00044AFE">
      <w:pPr>
        <w:rPr>
          <w:lang w:val="en-GB"/>
        </w:rPr>
      </w:pPr>
    </w:p>
    <w:p w:rsidR="00044AFE" w:rsidRPr="00044AFE" w:rsidRDefault="00044AFE" w:rsidP="00044AFE">
      <w:r>
        <w:t>In tale ottica, e dato che il presente fascicolo comporta un processo di recepimento altamente tecnico privo di contenuto politico sostanziale, il relatore ha deciso di non presentare emendamenti alla proposta della Commissione.</w:t>
      </w:r>
    </w:p>
    <w:p w:rsidR="002A1CE3" w:rsidRPr="00044AFE" w:rsidRDefault="002A1CE3" w:rsidP="002A1CE3">
      <w:pPr>
        <w:rPr>
          <w:lang w:val="en-GB"/>
        </w:rPr>
      </w:pPr>
    </w:p>
    <w:sectPr w:rsidR="002A1CE3" w:rsidRPr="00044AFE" w:rsidSect="00F31E31">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3E97" w:rsidRPr="00583E97" w:rsidRDefault="00583E97">
      <w:r w:rsidRPr="00583E97">
        <w:separator/>
      </w:r>
    </w:p>
  </w:endnote>
  <w:endnote w:type="continuationSeparator" w:id="0">
    <w:p w:rsidR="00583E97" w:rsidRPr="00583E97" w:rsidRDefault="00583E97">
      <w:r w:rsidRPr="00583E9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A66" w:rsidRPr="0086183E" w:rsidRDefault="00302A66" w:rsidP="00D1777C">
    <w:pPr>
      <w:pStyle w:val="EPFooter"/>
      <w:rPr>
        <w:lang w:val="fr-FR"/>
      </w:rPr>
    </w:pPr>
    <w:r w:rsidRPr="0086183E">
      <w:rPr>
        <w:lang w:val="fr-FR"/>
      </w:rPr>
      <w:t>PE</w:t>
    </w:r>
    <w:r w:rsidRPr="0086183E">
      <w:rPr>
        <w:rStyle w:val="HideTWBExt"/>
        <w:noProof w:val="0"/>
        <w:lang w:val="fr-FR"/>
      </w:rPr>
      <w:t>&lt;NoPE&gt;</w:t>
    </w:r>
    <w:r w:rsidR="00447EB4" w:rsidRPr="0086183E">
      <w:rPr>
        <w:lang w:val="fr-FR"/>
      </w:rPr>
      <w:t>692.613</w:t>
    </w:r>
    <w:r w:rsidRPr="0086183E">
      <w:rPr>
        <w:rStyle w:val="HideTWBExt"/>
        <w:noProof w:val="0"/>
        <w:lang w:val="fr-FR"/>
      </w:rPr>
      <w:t>&lt;/NoPE&gt;&lt;Version&gt;</w:t>
    </w:r>
    <w:r w:rsidR="00583E97" w:rsidRPr="0086183E">
      <w:rPr>
        <w:lang w:val="fr-FR"/>
      </w:rPr>
      <w:t>v</w:t>
    </w:r>
    <w:r w:rsidR="00447EB4" w:rsidRPr="0086183E">
      <w:rPr>
        <w:lang w:val="fr-FR"/>
      </w:rPr>
      <w:t>01-00</w:t>
    </w:r>
    <w:r w:rsidRPr="0086183E">
      <w:rPr>
        <w:rStyle w:val="HideTWBExt"/>
        <w:noProof w:val="0"/>
        <w:lang w:val="fr-FR"/>
      </w:rPr>
      <w:t>&lt;/Version&gt;</w:t>
    </w:r>
    <w:r w:rsidRPr="0086183E">
      <w:rPr>
        <w:lang w:val="fr-FR"/>
      </w:rPr>
      <w:tab/>
    </w:r>
    <w:r w:rsidR="00913414" w:rsidRPr="00583E97">
      <w:fldChar w:fldCharType="begin"/>
    </w:r>
    <w:r w:rsidR="00913414" w:rsidRPr="0086183E">
      <w:rPr>
        <w:lang w:val="fr-FR"/>
      </w:rPr>
      <w:instrText xml:space="preserve"> PAGE </w:instrText>
    </w:r>
    <w:r w:rsidR="00913414" w:rsidRPr="00583E97">
      <w:fldChar w:fldCharType="separate"/>
    </w:r>
    <w:r w:rsidR="0086183E">
      <w:rPr>
        <w:noProof/>
        <w:lang w:val="fr-FR"/>
      </w:rPr>
      <w:t>2</w:t>
    </w:r>
    <w:r w:rsidR="00913414" w:rsidRPr="00583E97">
      <w:fldChar w:fldCharType="end"/>
    </w:r>
    <w:r w:rsidR="00913414" w:rsidRPr="0086183E">
      <w:rPr>
        <w:lang w:val="fr-FR"/>
      </w:rPr>
      <w:t>/</w:t>
    </w:r>
    <w:r w:rsidR="00913414" w:rsidRPr="00583E97">
      <w:rPr>
        <w:rStyle w:val="PageNumber"/>
      </w:rPr>
      <w:fldChar w:fldCharType="begin"/>
    </w:r>
    <w:r w:rsidR="00913414" w:rsidRPr="0086183E">
      <w:rPr>
        <w:rStyle w:val="PageNumber"/>
        <w:lang w:val="fr-FR"/>
      </w:rPr>
      <w:instrText xml:space="preserve"> NUMPAGES </w:instrText>
    </w:r>
    <w:r w:rsidR="00913414" w:rsidRPr="00583E97">
      <w:rPr>
        <w:rStyle w:val="PageNumber"/>
      </w:rPr>
      <w:fldChar w:fldCharType="separate"/>
    </w:r>
    <w:r w:rsidR="0086183E">
      <w:rPr>
        <w:rStyle w:val="PageNumber"/>
        <w:noProof/>
        <w:lang w:val="fr-FR"/>
      </w:rPr>
      <w:t>7</w:t>
    </w:r>
    <w:r w:rsidR="00913414" w:rsidRPr="00583E97">
      <w:rPr>
        <w:rStyle w:val="PageNumber"/>
      </w:rPr>
      <w:fldChar w:fldCharType="end"/>
    </w:r>
    <w:r w:rsidRPr="0086183E">
      <w:rPr>
        <w:lang w:val="fr-FR"/>
      </w:rPr>
      <w:tab/>
    </w:r>
    <w:r w:rsidRPr="0086183E">
      <w:rPr>
        <w:rStyle w:val="HideTWBExt"/>
        <w:noProof w:val="0"/>
        <w:lang w:val="fr-FR"/>
      </w:rPr>
      <w:t>&lt;PathFdR&gt;</w:t>
    </w:r>
    <w:r w:rsidR="00447EB4" w:rsidRPr="0086183E">
      <w:rPr>
        <w:lang w:val="fr-FR"/>
      </w:rPr>
      <w:t>PR\1230271IT.docx</w:t>
    </w:r>
    <w:r w:rsidRPr="0086183E">
      <w:rPr>
        <w:rStyle w:val="HideTWBExt"/>
        <w:noProof w:val="0"/>
        <w:lang w:val="fr-FR"/>
      </w:rPr>
      <w:t>&lt;/PathFdR&gt;</w:t>
    </w:r>
  </w:p>
  <w:p w:rsidR="00302A66" w:rsidRPr="00583E97" w:rsidRDefault="0086183E">
    <w:pPr>
      <w:pStyle w:val="EPFooter2"/>
    </w:pPr>
    <w:r>
      <w:fldChar w:fldCharType="begin"/>
    </w:r>
    <w:r>
      <w:instrText xml:space="preserve"> DOCPROPERTY "&lt;Extension&gt;" </w:instrText>
    </w:r>
    <w:r>
      <w:fldChar w:fldCharType="separate"/>
    </w:r>
    <w:r>
      <w:t>IT</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A66" w:rsidRPr="00583E97" w:rsidRDefault="00302A66" w:rsidP="00D1777C">
    <w:pPr>
      <w:pStyle w:val="EPFooter"/>
    </w:pPr>
    <w:r w:rsidRPr="00583E97">
      <w:rPr>
        <w:rStyle w:val="HideTWBExt"/>
        <w:noProof w:val="0"/>
      </w:rPr>
      <w:t>&lt;PathFdR&gt;</w:t>
    </w:r>
    <w:r w:rsidR="00447EB4" w:rsidRPr="00447EB4">
      <w:t>PR\1230271IT.docx</w:t>
    </w:r>
    <w:r w:rsidRPr="00583E97">
      <w:rPr>
        <w:rStyle w:val="HideTWBExt"/>
        <w:noProof w:val="0"/>
      </w:rPr>
      <w:t>&lt;/PathFdR&gt;</w:t>
    </w:r>
    <w:r w:rsidRPr="00583E97">
      <w:tab/>
    </w:r>
    <w:r w:rsidR="00913414" w:rsidRPr="00583E97">
      <w:fldChar w:fldCharType="begin"/>
    </w:r>
    <w:r w:rsidR="00913414" w:rsidRPr="00583E97">
      <w:instrText xml:space="preserve"> PAGE </w:instrText>
    </w:r>
    <w:r w:rsidR="00913414" w:rsidRPr="00583E97">
      <w:fldChar w:fldCharType="separate"/>
    </w:r>
    <w:r w:rsidR="0086183E">
      <w:rPr>
        <w:noProof/>
      </w:rPr>
      <w:t>7</w:t>
    </w:r>
    <w:r w:rsidR="00913414" w:rsidRPr="00583E97">
      <w:fldChar w:fldCharType="end"/>
    </w:r>
    <w:r w:rsidR="00913414" w:rsidRPr="00583E97">
      <w:t>/</w:t>
    </w:r>
    <w:r w:rsidR="00913414" w:rsidRPr="00583E97">
      <w:rPr>
        <w:rStyle w:val="PageNumber"/>
      </w:rPr>
      <w:fldChar w:fldCharType="begin"/>
    </w:r>
    <w:r w:rsidR="00913414" w:rsidRPr="00583E97">
      <w:rPr>
        <w:rStyle w:val="PageNumber"/>
      </w:rPr>
      <w:instrText xml:space="preserve"> NUMPAGES </w:instrText>
    </w:r>
    <w:r w:rsidR="00913414" w:rsidRPr="00583E97">
      <w:rPr>
        <w:rStyle w:val="PageNumber"/>
      </w:rPr>
      <w:fldChar w:fldCharType="separate"/>
    </w:r>
    <w:r w:rsidR="0086183E">
      <w:rPr>
        <w:rStyle w:val="PageNumber"/>
        <w:noProof/>
      </w:rPr>
      <w:t>7</w:t>
    </w:r>
    <w:r w:rsidR="00913414" w:rsidRPr="00583E97">
      <w:rPr>
        <w:rStyle w:val="PageNumber"/>
      </w:rPr>
      <w:fldChar w:fldCharType="end"/>
    </w:r>
    <w:r w:rsidRPr="00583E97">
      <w:tab/>
      <w:t>PE</w:t>
    </w:r>
    <w:r w:rsidRPr="00583E97">
      <w:rPr>
        <w:rStyle w:val="HideTWBExt"/>
        <w:noProof w:val="0"/>
      </w:rPr>
      <w:t>&lt;NoPE&gt;</w:t>
    </w:r>
    <w:r w:rsidR="00447EB4" w:rsidRPr="00447EB4">
      <w:t>692.613</w:t>
    </w:r>
    <w:r w:rsidRPr="00583E97">
      <w:rPr>
        <w:rStyle w:val="HideTWBExt"/>
        <w:noProof w:val="0"/>
      </w:rPr>
      <w:t>&lt;/NoPE&gt;&lt;Version&gt;</w:t>
    </w:r>
    <w:r w:rsidR="00583E97" w:rsidRPr="00583E97">
      <w:t>v</w:t>
    </w:r>
    <w:r w:rsidR="00447EB4" w:rsidRPr="00447EB4">
      <w:t>01-00</w:t>
    </w:r>
    <w:r w:rsidRPr="00583E97">
      <w:rPr>
        <w:rStyle w:val="HideTWBExt"/>
        <w:noProof w:val="0"/>
      </w:rPr>
      <w:t>&lt;/Version&gt;</w:t>
    </w:r>
  </w:p>
  <w:p w:rsidR="00302A66" w:rsidRPr="00583E97" w:rsidRDefault="00913414">
    <w:pPr>
      <w:pStyle w:val="EPFooter2"/>
    </w:pPr>
    <w:r w:rsidRPr="00583E97">
      <w:tab/>
    </w:r>
    <w:r w:rsidR="00302A66" w:rsidRPr="00583E97">
      <w:tab/>
    </w:r>
    <w:r w:rsidR="0086183E">
      <w:fldChar w:fldCharType="begin"/>
    </w:r>
    <w:r w:rsidR="0086183E">
      <w:instrText xml:space="preserve"> DOCPROPERTY "&lt;Extension&gt;" </w:instrText>
    </w:r>
    <w:r w:rsidR="0086183E">
      <w:fldChar w:fldCharType="separate"/>
    </w:r>
    <w:r w:rsidR="0086183E">
      <w:t>IT</w:t>
    </w:r>
    <w:r w:rsidR="0086183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A66" w:rsidRPr="00583E97" w:rsidRDefault="00302A66" w:rsidP="00D1777C">
    <w:pPr>
      <w:pStyle w:val="EPFooter"/>
    </w:pPr>
    <w:r w:rsidRPr="00583E97">
      <w:rPr>
        <w:rStyle w:val="HideTWBExt"/>
        <w:noProof w:val="0"/>
      </w:rPr>
      <w:t>&lt;PathFdR&gt;</w:t>
    </w:r>
    <w:r w:rsidR="00447EB4" w:rsidRPr="00447EB4">
      <w:t>PR\1230271IT.docx</w:t>
    </w:r>
    <w:r w:rsidRPr="00583E97">
      <w:rPr>
        <w:rStyle w:val="HideTWBExt"/>
        <w:noProof w:val="0"/>
      </w:rPr>
      <w:t>&lt;/PathFdR&gt;</w:t>
    </w:r>
    <w:r w:rsidRPr="00583E97">
      <w:tab/>
    </w:r>
    <w:r w:rsidRPr="00583E97">
      <w:tab/>
      <w:t>PE</w:t>
    </w:r>
    <w:r w:rsidRPr="00583E97">
      <w:rPr>
        <w:rStyle w:val="HideTWBExt"/>
        <w:noProof w:val="0"/>
      </w:rPr>
      <w:t>&lt;NoPE&gt;</w:t>
    </w:r>
    <w:r w:rsidR="00447EB4" w:rsidRPr="00447EB4">
      <w:t>692.613</w:t>
    </w:r>
    <w:r w:rsidRPr="00583E97">
      <w:rPr>
        <w:rStyle w:val="HideTWBExt"/>
        <w:noProof w:val="0"/>
      </w:rPr>
      <w:t>&lt;/NoPE&gt;&lt;Version&gt;</w:t>
    </w:r>
    <w:r w:rsidR="00583E97" w:rsidRPr="00583E97">
      <w:t>v</w:t>
    </w:r>
    <w:r w:rsidR="00447EB4" w:rsidRPr="00447EB4">
      <w:t>01-00</w:t>
    </w:r>
    <w:r w:rsidRPr="00583E97">
      <w:rPr>
        <w:rStyle w:val="HideTWBExt"/>
        <w:noProof w:val="0"/>
      </w:rPr>
      <w:t>&lt;/Version&gt;</w:t>
    </w:r>
  </w:p>
  <w:p w:rsidR="00302A66" w:rsidRPr="00583E97" w:rsidRDefault="0086183E" w:rsidP="00C71A3C">
    <w:pPr>
      <w:pStyle w:val="EPFooter2"/>
      <w:tabs>
        <w:tab w:val="clear" w:pos="4535"/>
        <w:tab w:val="center" w:pos="4536"/>
      </w:tabs>
    </w:pPr>
    <w:r>
      <w:fldChar w:fldCharType="begin"/>
    </w:r>
    <w:r>
      <w:instrText xml:space="preserve"> DOCPROPERTY "&lt;Extension&gt;" </w:instrText>
    </w:r>
    <w:r>
      <w:fldChar w:fldCharType="separate"/>
    </w:r>
    <w:r>
      <w:t>IT</w:t>
    </w:r>
    <w:r>
      <w:fldChar w:fldCharType="end"/>
    </w:r>
    <w:r w:rsidR="00302A66" w:rsidRPr="00583E97">
      <w:tab/>
    </w:r>
    <w:r w:rsidR="00447EB4">
      <w:rPr>
        <w:b w:val="0"/>
        <w:i/>
        <w:color w:val="C0C0C0"/>
        <w:sz w:val="22"/>
        <w:szCs w:val="22"/>
      </w:rPr>
      <w:t>Unita nella diversità</w:t>
    </w:r>
    <w:r w:rsidR="00302A66" w:rsidRPr="00583E97">
      <w:tab/>
    </w:r>
    <w:r>
      <w:fldChar w:fldCharType="begin"/>
    </w:r>
    <w:r>
      <w:instrText xml:space="preserve"> DOCPROPERTY "&lt;Extension&gt;" </w:instrText>
    </w:r>
    <w:r>
      <w:fldChar w:fldCharType="separate"/>
    </w:r>
    <w:r>
      <w:t>IT</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3E97" w:rsidRPr="00583E97" w:rsidRDefault="00583E97">
      <w:r w:rsidRPr="00583E97">
        <w:separator/>
      </w:r>
    </w:p>
  </w:footnote>
  <w:footnote w:type="continuationSeparator" w:id="0">
    <w:p w:rsidR="00583E97" w:rsidRPr="00583E97" w:rsidRDefault="00583E97">
      <w:r w:rsidRPr="00583E97">
        <w:continuationSeparator/>
      </w:r>
    </w:p>
  </w:footnote>
  <w:footnote w:id="1">
    <w:p w:rsidR="00447EB4" w:rsidRDefault="00447EB4">
      <w:pPr>
        <w:pStyle w:val="FootnoteText"/>
      </w:pPr>
      <w:r>
        <w:rPr>
          <w:rStyle w:val="FootnoteReference"/>
        </w:rPr>
        <w:footnoteRef/>
      </w:r>
      <w:r>
        <w:t xml:space="preserve"> Non ancora pubblicato nella Gazzetta ufficiale.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EB4" w:rsidRDefault="00447E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EB4" w:rsidRDefault="00447E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EB4" w:rsidRDefault="00447E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1"/>
    <w:docVar w:name="COMKEY" w:val="PECH"/>
    <w:docVar w:name="DOCMNU" w:val=" 1"/>
    <w:docVar w:name="INSTITUTIONSMNU" w:val=" 1"/>
    <w:docVar w:name="JURI1MNU" w:val=" 2"/>
    <w:docVar w:name="JURI2MNU" w:val=" 2"/>
    <w:docVar w:name="LastEditedSection" w:val=" 1"/>
    <w:docVar w:name="PARLIAMENTSMNU" w:val=" 2"/>
    <w:docVar w:name="strDocTypeID" w:val="PR_COD_1app"/>
    <w:docVar w:name="strSubDir" w:val="1230"/>
    <w:docVar w:name="TXTLANGUE" w:val="IT"/>
    <w:docVar w:name="TXTLANGUEMIN" w:val="it"/>
    <w:docVar w:name="TXTNRC" w:val="0336/2020"/>
    <w:docVar w:name="TXTNRCOD" w:val="2020/0302"/>
    <w:docVar w:name="TXTNRCOM" w:val="(2020)0670"/>
    <w:docVar w:name="TXTNRPE" w:val="692.613"/>
    <w:docVar w:name="TXTPEorAP" w:val="PE"/>
    <w:docVar w:name="TXTROUTE" w:val="PR\1230271IT.docx"/>
    <w:docVar w:name="TXTTITLE" w:val="che istituisce un programma di documentazione delle catture di tonno rosso (Thunnus thynnus) e abroga il regolamento (UE) n. 640/2010"/>
    <w:docVar w:name="TXTVERSION" w:val="01-00"/>
  </w:docVars>
  <w:rsids>
    <w:rsidRoot w:val="00583E97"/>
    <w:rsid w:val="00044AFE"/>
    <w:rsid w:val="00053B97"/>
    <w:rsid w:val="000B5585"/>
    <w:rsid w:val="000C5EDC"/>
    <w:rsid w:val="00104AEE"/>
    <w:rsid w:val="00164B9B"/>
    <w:rsid w:val="00182506"/>
    <w:rsid w:val="001907B9"/>
    <w:rsid w:val="001A06D8"/>
    <w:rsid w:val="001D3524"/>
    <w:rsid w:val="00260FAA"/>
    <w:rsid w:val="002A1CE3"/>
    <w:rsid w:val="002B272A"/>
    <w:rsid w:val="002B4F9E"/>
    <w:rsid w:val="002C3187"/>
    <w:rsid w:val="00302A66"/>
    <w:rsid w:val="0031764E"/>
    <w:rsid w:val="003A53CE"/>
    <w:rsid w:val="003C5583"/>
    <w:rsid w:val="004078CB"/>
    <w:rsid w:val="0041661E"/>
    <w:rsid w:val="00433573"/>
    <w:rsid w:val="00447EB4"/>
    <w:rsid w:val="00490742"/>
    <w:rsid w:val="00490D5F"/>
    <w:rsid w:val="004D7B3B"/>
    <w:rsid w:val="004F67E3"/>
    <w:rsid w:val="00543B7B"/>
    <w:rsid w:val="005571A0"/>
    <w:rsid w:val="005663F7"/>
    <w:rsid w:val="00583E97"/>
    <w:rsid w:val="0065285A"/>
    <w:rsid w:val="007908B5"/>
    <w:rsid w:val="007D611D"/>
    <w:rsid w:val="00814B44"/>
    <w:rsid w:val="00837978"/>
    <w:rsid w:val="0086183E"/>
    <w:rsid w:val="008663F8"/>
    <w:rsid w:val="008A07E3"/>
    <w:rsid w:val="008B26BF"/>
    <w:rsid w:val="008B5034"/>
    <w:rsid w:val="008E22DF"/>
    <w:rsid w:val="008E4B14"/>
    <w:rsid w:val="00913414"/>
    <w:rsid w:val="00972ED6"/>
    <w:rsid w:val="00A02CEA"/>
    <w:rsid w:val="00A40C66"/>
    <w:rsid w:val="00A43E6A"/>
    <w:rsid w:val="00A62C81"/>
    <w:rsid w:val="00AD26AD"/>
    <w:rsid w:val="00AE4E74"/>
    <w:rsid w:val="00AF7573"/>
    <w:rsid w:val="00B37926"/>
    <w:rsid w:val="00B52B6C"/>
    <w:rsid w:val="00BA5740"/>
    <w:rsid w:val="00BD28D4"/>
    <w:rsid w:val="00BE1457"/>
    <w:rsid w:val="00BE4EC7"/>
    <w:rsid w:val="00BF6269"/>
    <w:rsid w:val="00C54859"/>
    <w:rsid w:val="00C71A3C"/>
    <w:rsid w:val="00C82EBC"/>
    <w:rsid w:val="00D1777C"/>
    <w:rsid w:val="00D919CF"/>
    <w:rsid w:val="00DC3DED"/>
    <w:rsid w:val="00DF6C13"/>
    <w:rsid w:val="00E24902"/>
    <w:rsid w:val="00ED0609"/>
    <w:rsid w:val="00ED0821"/>
    <w:rsid w:val="00F0202A"/>
    <w:rsid w:val="00F31E31"/>
    <w:rsid w:val="00FC479A"/>
    <w:rsid w:val="00FE3BE9"/>
    <w:rsid w:val="00FF2A53"/>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2FB73DF-DD02-4A65-B8BD-D01705224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583"/>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37978"/>
    <w:pPr>
      <w:spacing w:before="480" w:after="240"/>
    </w:pPr>
  </w:style>
  <w:style w:type="paragraph" w:styleId="TOC1">
    <w:name w:val="toc 1"/>
    <w:basedOn w:val="Normal"/>
    <w:next w:val="Normal"/>
    <w:autoRedefine/>
    <w:uiPriority w:val="39"/>
    <w:rsid w:val="008E4B14"/>
    <w:pPr>
      <w:spacing w:after="240"/>
    </w:pPr>
  </w:style>
  <w:style w:type="paragraph" w:styleId="TOCHeading">
    <w:name w:val="TOC Heading"/>
    <w:basedOn w:val="Normal"/>
    <w:next w:val="TOCPage"/>
    <w:qFormat/>
    <w:rsid w:val="00FF2A53"/>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053B97"/>
    <w:pPr>
      <w:spacing w:before="80" w:after="80"/>
    </w:pPr>
    <w:rPr>
      <w:rFonts w:ascii="Arial Narrow" w:hAnsi="Arial Narrow" w:cs="Arial"/>
      <w:b/>
      <w:sz w:val="32"/>
      <w:szCs w:val="22"/>
    </w:rPr>
  </w:style>
  <w:style w:type="paragraph" w:customStyle="1" w:styleId="CoverNormal24a">
    <w:name w:val="CoverNormal24a"/>
    <w:basedOn w:val="Normal"/>
    <w:rsid w:val="00D1777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5285A"/>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D1777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64B9B"/>
    <w:pPr>
      <w:tabs>
        <w:tab w:val="center" w:pos="4513"/>
        <w:tab w:val="right" w:pos="9026"/>
      </w:tabs>
    </w:pPr>
  </w:style>
  <w:style w:type="table" w:styleId="TableGrid">
    <w:name w:val="Table Grid"/>
    <w:basedOn w:val="TableNormal"/>
    <w:rsid w:val="00C71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1A3C"/>
    <w:pPr>
      <w:jc w:val="center"/>
    </w:pPr>
    <w:rPr>
      <w:rFonts w:ascii="Arial" w:hAnsi="Arial" w:cs="Arial"/>
      <w:i/>
      <w:sz w:val="22"/>
      <w:szCs w:val="22"/>
    </w:rPr>
  </w:style>
  <w:style w:type="paragraph" w:customStyle="1" w:styleId="LineTop">
    <w:name w:val="LineTop"/>
    <w:basedOn w:val="Normal"/>
    <w:next w:val="Normal"/>
    <w:rsid w:val="00C71A3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1A3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053B97"/>
    <w:pPr>
      <w:spacing w:after="80"/>
    </w:pPr>
    <w:rPr>
      <w:rFonts w:ascii="Arial" w:hAnsi="Arial" w:cs="Arial"/>
      <w:sz w:val="20"/>
      <w:szCs w:val="22"/>
    </w:rPr>
  </w:style>
  <w:style w:type="paragraph" w:customStyle="1" w:styleId="EPLogo">
    <w:name w:val="EPLogo"/>
    <w:basedOn w:val="Normal"/>
    <w:qFormat/>
    <w:rsid w:val="00053B97"/>
    <w:pPr>
      <w:jc w:val="right"/>
    </w:pPr>
  </w:style>
  <w:style w:type="paragraph" w:customStyle="1" w:styleId="EPFooter">
    <w:name w:val="EPFooter"/>
    <w:basedOn w:val="Normal"/>
    <w:rsid w:val="00D1777C"/>
    <w:pPr>
      <w:tabs>
        <w:tab w:val="center" w:pos="4535"/>
        <w:tab w:val="right" w:pos="9071"/>
      </w:tabs>
      <w:spacing w:before="240" w:after="240"/>
    </w:pPr>
    <w:rPr>
      <w:sz w:val="22"/>
    </w:rPr>
  </w:style>
  <w:style w:type="character" w:styleId="PageNumber">
    <w:name w:val="page number"/>
    <w:basedOn w:val="DefaultParagraphFont"/>
    <w:semiHidden/>
    <w:rsid w:val="00913414"/>
  </w:style>
  <w:style w:type="character" w:customStyle="1" w:styleId="HeaderChar">
    <w:name w:val="Header Char"/>
    <w:basedOn w:val="DefaultParagraphFont"/>
    <w:link w:val="Header"/>
    <w:semiHidden/>
    <w:rsid w:val="00164B9B"/>
    <w:rPr>
      <w:sz w:val="24"/>
    </w:rPr>
  </w:style>
  <w:style w:type="paragraph" w:customStyle="1" w:styleId="Lgendesigne">
    <w:name w:val="Légende signe"/>
    <w:basedOn w:val="Normal"/>
    <w:rsid w:val="00447EB4"/>
    <w:pPr>
      <w:tabs>
        <w:tab w:val="right" w:pos="454"/>
        <w:tab w:val="left" w:pos="737"/>
      </w:tabs>
      <w:ind w:left="737" w:hanging="737"/>
    </w:pPr>
    <w:rPr>
      <w:snapToGrid w:val="0"/>
      <w:sz w:val="18"/>
      <w:lang w:eastAsia="en-US"/>
    </w:rPr>
  </w:style>
  <w:style w:type="paragraph" w:customStyle="1" w:styleId="Lgendetitre">
    <w:name w:val="Légende titre"/>
    <w:basedOn w:val="Normal"/>
    <w:rsid w:val="00447EB4"/>
    <w:pPr>
      <w:spacing w:before="240" w:after="240"/>
    </w:pPr>
    <w:rPr>
      <w:b/>
      <w:i/>
      <w:snapToGrid w:val="0"/>
      <w:lang w:eastAsia="en-US"/>
    </w:rPr>
  </w:style>
  <w:style w:type="paragraph" w:customStyle="1" w:styleId="Lgendestandard">
    <w:name w:val="Légende standard"/>
    <w:basedOn w:val="Normal"/>
    <w:rsid w:val="00447EB4"/>
    <w:rPr>
      <w:sz w:val="18"/>
    </w:rPr>
  </w:style>
  <w:style w:type="paragraph" w:styleId="FootnoteText">
    <w:name w:val="footnote text"/>
    <w:basedOn w:val="Normal"/>
    <w:link w:val="FootnoteTextChar"/>
    <w:rsid w:val="00447EB4"/>
    <w:rPr>
      <w:sz w:val="20"/>
    </w:rPr>
  </w:style>
  <w:style w:type="character" w:customStyle="1" w:styleId="FootnoteTextChar">
    <w:name w:val="Footnote Text Char"/>
    <w:basedOn w:val="DefaultParagraphFont"/>
    <w:link w:val="FootnoteText"/>
    <w:rsid w:val="00447EB4"/>
    <w:rPr>
      <w:lang w:val="it-IT"/>
    </w:rPr>
  </w:style>
  <w:style w:type="character" w:styleId="FootnoteReference">
    <w:name w:val="footnote reference"/>
    <w:basedOn w:val="DefaultParagraphFont"/>
    <w:rsid w:val="00447EB4"/>
    <w:rPr>
      <w:vertAlign w:val="superscript"/>
    </w:rPr>
  </w:style>
  <w:style w:type="paragraph" w:styleId="Footer">
    <w:name w:val="footer"/>
    <w:basedOn w:val="Normal"/>
    <w:link w:val="FooterChar"/>
    <w:semiHidden/>
    <w:rsid w:val="00447EB4"/>
    <w:pPr>
      <w:tabs>
        <w:tab w:val="center" w:pos="4513"/>
        <w:tab w:val="right" w:pos="9026"/>
      </w:tabs>
    </w:pPr>
  </w:style>
  <w:style w:type="character" w:customStyle="1" w:styleId="FooterChar">
    <w:name w:val="Footer Char"/>
    <w:basedOn w:val="DefaultParagraphFont"/>
    <w:link w:val="Footer"/>
    <w:semiHidden/>
    <w:rsid w:val="00447EB4"/>
    <w:rPr>
      <w:sz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F46F5-CC6E-4389-A4E6-502C5C4FD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1086</Words>
  <Characters>6618</Characters>
  <Application>Microsoft Office Word</Application>
  <DocSecurity>0</DocSecurity>
  <Lines>161</Lines>
  <Paragraphs>70</Paragraphs>
  <ScaleCrop>false</ScaleCrop>
  <HeadingPairs>
    <vt:vector size="2" baseType="variant">
      <vt:variant>
        <vt:lpstr>Title</vt:lpstr>
      </vt:variant>
      <vt:variant>
        <vt:i4>1</vt:i4>
      </vt:variant>
    </vt:vector>
  </HeadingPairs>
  <TitlesOfParts>
    <vt:vector size="1" baseType="lpstr">
      <vt:lpstr>PR_COD_1app</vt:lpstr>
    </vt:vector>
  </TitlesOfParts>
  <Company/>
  <LinksUpToDate>false</LinksUpToDate>
  <CharactersWithSpaces>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PR_COD_1app</dc:title>
  <dc:subject/>
  <dc:creator>LATERZA Angela</dc:creator>
  <cp:keywords/>
  <dc:description/>
  <cp:lastModifiedBy>SPADETTO Carla</cp:lastModifiedBy>
  <cp:revision>2</cp:revision>
  <cp:lastPrinted>2004-11-04T10:10:00Z</cp:lastPrinted>
  <dcterms:created xsi:type="dcterms:W3CDTF">2021-05-18T04:52:00Z</dcterms:created>
  <dcterms:modified xsi:type="dcterms:W3CDTF">2021-05-18T04:52:00Z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9.9.1 Build [20200705]</vt:lpwstr>
  </property>
  <property fmtid="{D5CDD505-2E9C-101B-9397-08002B2CF9AE}" pid="3" name="LastEdited with">
    <vt:lpwstr>9.9.1 Build [20200705]</vt:lpwstr>
  </property>
  <property fmtid="{D5CDD505-2E9C-101B-9397-08002B2CF9AE}" pid="4" name="&lt;FdR&gt;">
    <vt:lpwstr>1230271</vt:lpwstr>
  </property>
  <property fmtid="{D5CDD505-2E9C-101B-9397-08002B2CF9AE}" pid="5" name="&lt;Type&gt;">
    <vt:lpwstr>PR</vt:lpwstr>
  </property>
  <property fmtid="{D5CDD505-2E9C-101B-9397-08002B2CF9AE}" pid="6" name="&lt;ModelCod&gt;">
    <vt:lpwstr>\\eiciBRUpr1\pdocep$\DocEP\DOCS\General\PR\PR_Leg\COD\COD_1st\PR_COD_1app.dotx(17/04/2020 19:27:09)</vt:lpwstr>
  </property>
  <property fmtid="{D5CDD505-2E9C-101B-9397-08002B2CF9AE}" pid="7" name="&lt;ModelTra&gt;">
    <vt:lpwstr>\\eiciBRUpr1\pdocep$\DocEP\TRANSFIL\IT\PR_COD_1app.IT(07/09/2020 19:07:01)</vt:lpwstr>
  </property>
  <property fmtid="{D5CDD505-2E9C-101B-9397-08002B2CF9AE}" pid="8" name="&lt;Model&gt;">
    <vt:lpwstr>PR_COD_1app</vt:lpwstr>
  </property>
  <property fmtid="{D5CDD505-2E9C-101B-9397-08002B2CF9AE}" pid="9" name="FooterPath">
    <vt:lpwstr>PR\1230271IT.docx</vt:lpwstr>
  </property>
  <property fmtid="{D5CDD505-2E9C-101B-9397-08002B2CF9AE}" pid="10" name="PE number">
    <vt:lpwstr>692.613</vt:lpwstr>
  </property>
  <property fmtid="{D5CDD505-2E9C-101B-9397-08002B2CF9AE}" pid="11" name="Bookout">
    <vt:lpwstr>OK - 2021/05/18 06:52</vt:lpwstr>
  </property>
  <property fmtid="{D5CDD505-2E9C-101B-9397-08002B2CF9AE}" pid="12" name="SDLStudio">
    <vt:lpwstr/>
  </property>
  <property fmtid="{D5CDD505-2E9C-101B-9397-08002B2CF9AE}" pid="13" name="&lt;Extension&gt;">
    <vt:lpwstr>IT</vt:lpwstr>
  </property>
</Properties>
</file>