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21112" w:rsidRPr="00520FCA" w:rsidTr="00905B76">
        <w:trPr>
          <w:trHeight w:hRule="exact" w:val="1418"/>
        </w:trPr>
        <w:tc>
          <w:tcPr>
            <w:tcW w:w="6804" w:type="dxa"/>
            <w:shd w:val="clear" w:color="auto" w:fill="auto"/>
            <w:vAlign w:val="center"/>
          </w:tcPr>
          <w:p w:rsidR="00E21112" w:rsidRPr="00520FCA" w:rsidRDefault="00E21112" w:rsidP="00905B76">
            <w:pPr>
              <w:pStyle w:val="EPName"/>
            </w:pPr>
            <w:r>
              <w:t>Europos Parlamentas</w:t>
            </w:r>
          </w:p>
          <w:p w:rsidR="00E21112" w:rsidRPr="00520FCA" w:rsidRDefault="00E21112" w:rsidP="00905B76">
            <w:pPr>
              <w:pStyle w:val="EPTerm"/>
            </w:pPr>
            <w:r>
              <w:t>2019-2024</w:t>
            </w:r>
          </w:p>
        </w:tc>
        <w:tc>
          <w:tcPr>
            <w:tcW w:w="2268" w:type="dxa"/>
            <w:shd w:val="clear" w:color="auto" w:fill="auto"/>
          </w:tcPr>
          <w:p w:rsidR="00E21112" w:rsidRPr="00520FCA" w:rsidRDefault="00E21112" w:rsidP="00905B76">
            <w:pPr>
              <w:pStyle w:val="EPLogo"/>
            </w:pPr>
            <w:r w:rsidRPr="00520FCA">
              <w:rPr>
                <w:noProof/>
                <w:lang w:val="en-GB"/>
              </w:rPr>
              <w:drawing>
                <wp:inline distT="0" distB="0" distL="0" distR="0" wp14:anchorId="78992A94" wp14:editId="270358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E21112" w:rsidRPr="00520FCA" w:rsidRDefault="00E21112" w:rsidP="00E21112">
      <w:pPr>
        <w:pStyle w:val="LineTop"/>
      </w:pPr>
    </w:p>
    <w:p w:rsidR="00E21112" w:rsidRPr="00520FCA" w:rsidRDefault="00E21112" w:rsidP="00E21112">
      <w:pPr>
        <w:pStyle w:val="EPBody"/>
      </w:pPr>
      <w:r>
        <w:rPr>
          <w:rStyle w:val="HideTWBExt"/>
        </w:rPr>
        <w:t>&lt;</w:t>
      </w:r>
      <w:r>
        <w:rPr>
          <w:rStyle w:val="HideTWBExt"/>
          <w:i w:val="0"/>
        </w:rPr>
        <w:t>Commission</w:t>
      </w:r>
      <w:r>
        <w:rPr>
          <w:rStyle w:val="HideTWBExt"/>
        </w:rPr>
        <w:t>&gt;</w:t>
      </w:r>
      <w:r>
        <w:rPr>
          <w:rStyle w:val="HideTWBInt"/>
        </w:rPr>
        <w:t>{PECH}</w:t>
      </w:r>
      <w:r>
        <w:t>Žuvininkystės komitetas</w:t>
      </w:r>
      <w:r>
        <w:rPr>
          <w:rStyle w:val="HideTWBExt"/>
        </w:rPr>
        <w:t>&lt;/</w:t>
      </w:r>
      <w:r>
        <w:rPr>
          <w:rStyle w:val="HideTWBExt"/>
          <w:i w:val="0"/>
        </w:rPr>
        <w:t>Commission</w:t>
      </w:r>
      <w:r>
        <w:rPr>
          <w:rStyle w:val="HideTWBExt"/>
        </w:rPr>
        <w:t>&gt;</w:t>
      </w:r>
    </w:p>
    <w:p w:rsidR="00E21112" w:rsidRPr="00520FCA" w:rsidRDefault="00E21112" w:rsidP="00E21112">
      <w:pPr>
        <w:pStyle w:val="LineBottom"/>
      </w:pPr>
    </w:p>
    <w:p w:rsidR="00E21112" w:rsidRPr="00520FCA" w:rsidRDefault="00E21112" w:rsidP="00E21112">
      <w:pPr>
        <w:pStyle w:val="CoverReference"/>
      </w:pPr>
      <w:r>
        <w:rPr>
          <w:rStyle w:val="HideTWBExt"/>
          <w:b w:val="0"/>
        </w:rPr>
        <w:t>&lt;RefProc&gt;</w:t>
      </w:r>
      <w:r>
        <w:t>2020/0302</w:t>
      </w:r>
      <w:r>
        <w:rPr>
          <w:rStyle w:val="HideTWBExt"/>
          <w:b w:val="0"/>
        </w:rPr>
        <w:t>&lt;/RefProc&gt;&lt;RefTypeProc&gt;</w:t>
      </w:r>
      <w:r>
        <w:t>(COD)</w:t>
      </w:r>
      <w:r>
        <w:rPr>
          <w:rStyle w:val="HideTWBExt"/>
          <w:b w:val="0"/>
        </w:rPr>
        <w:t>&lt;/RefTypeProc&gt;</w:t>
      </w:r>
    </w:p>
    <w:p w:rsidR="00E21112" w:rsidRPr="00520FCA" w:rsidRDefault="00E21112" w:rsidP="00E21112">
      <w:pPr>
        <w:pStyle w:val="CoverDate"/>
      </w:pPr>
      <w:r>
        <w:rPr>
          <w:rStyle w:val="HideTWBExt"/>
        </w:rPr>
        <w:t>&lt;Date&gt;</w:t>
      </w:r>
      <w:r>
        <w:rPr>
          <w:rStyle w:val="HideTWBInt"/>
        </w:rPr>
        <w:t>{29/04/2021}</w:t>
      </w:r>
      <w:r>
        <w:t>29.4.2021</w:t>
      </w:r>
      <w:r>
        <w:rPr>
          <w:rStyle w:val="HideTWBExt"/>
        </w:rPr>
        <w:t>&lt;/Date&gt;</w:t>
      </w:r>
    </w:p>
    <w:p w:rsidR="00E21112" w:rsidRPr="00520FCA" w:rsidRDefault="00E21112" w:rsidP="00E21112">
      <w:pPr>
        <w:pStyle w:val="CoverDocType"/>
      </w:pPr>
      <w:r>
        <w:rPr>
          <w:rStyle w:val="HideTWBExt"/>
          <w:b w:val="0"/>
        </w:rPr>
        <w:t>&lt;RefProcLect&gt;</w:t>
      </w:r>
      <w:r>
        <w:t>***I</w:t>
      </w:r>
      <w:r>
        <w:rPr>
          <w:rStyle w:val="HideTWBExt"/>
          <w:b w:val="0"/>
        </w:rPr>
        <w:t>&lt;/RefProcLect&gt;</w:t>
      </w:r>
    </w:p>
    <w:p w:rsidR="00E21112" w:rsidRPr="00520FCA" w:rsidRDefault="00E21112" w:rsidP="00E21112">
      <w:pPr>
        <w:pStyle w:val="CoverDocType24a"/>
      </w:pPr>
      <w:r>
        <w:rPr>
          <w:rStyle w:val="HideTWBExt"/>
          <w:b w:val="0"/>
        </w:rPr>
        <w:t>&lt;TitreType&gt;</w:t>
      </w:r>
      <w:r>
        <w:t>PRANEŠIMO PROJEKTAS</w:t>
      </w:r>
      <w:r>
        <w:rPr>
          <w:rStyle w:val="HideTWBExt"/>
          <w:b w:val="0"/>
        </w:rPr>
        <w:t>&lt;/TitreType&gt;</w:t>
      </w:r>
    </w:p>
    <w:p w:rsidR="00E21112" w:rsidRPr="00520FCA" w:rsidRDefault="00E21112" w:rsidP="00E21112">
      <w:pPr>
        <w:pStyle w:val="CoverNormal"/>
      </w:pPr>
      <w:r>
        <w:rPr>
          <w:rStyle w:val="HideTWBExt"/>
        </w:rPr>
        <w:t>&lt;Titre&gt;</w:t>
      </w:r>
      <w:r>
        <w:t>dėl pasiūlymo dėl Europos Parlamento ir Tarybos reglamento, kuriuo nustatoma paprastųjų tunų (</w:t>
      </w:r>
      <w:r>
        <w:rPr>
          <w:i/>
        </w:rPr>
        <w:t>Thunnus thynnus</w:t>
      </w:r>
      <w:r>
        <w:t>) laimikio dokumentavimo programa ir panaikinamas Reglamentas (EB) Nr. 640/2010</w:t>
      </w:r>
      <w:r>
        <w:rPr>
          <w:rStyle w:val="HideTWBExt"/>
        </w:rPr>
        <w:t>&lt;/Titre&gt;</w:t>
      </w:r>
    </w:p>
    <w:p w:rsidR="00E21112" w:rsidRPr="00520FCA" w:rsidRDefault="00E21112" w:rsidP="00E21112">
      <w:pPr>
        <w:pStyle w:val="CoverNormal24a"/>
      </w:pPr>
      <w:r>
        <w:rPr>
          <w:rStyle w:val="HideTWBExt"/>
        </w:rPr>
        <w:t>&lt;DocRef&gt;</w:t>
      </w:r>
      <w:r>
        <w:t>(COM(2020)0670 – C9-0336/2020 – 2020/0302(COD))</w:t>
      </w:r>
      <w:r>
        <w:rPr>
          <w:rStyle w:val="HideTWBExt"/>
        </w:rPr>
        <w:t>&lt;/DocRef&gt;</w:t>
      </w:r>
    </w:p>
    <w:p w:rsidR="00E21112" w:rsidRPr="00520FCA" w:rsidRDefault="00E21112" w:rsidP="00E21112">
      <w:pPr>
        <w:pStyle w:val="CoverNormal24a"/>
      </w:pPr>
      <w:r>
        <w:rPr>
          <w:rStyle w:val="HideTWBExt"/>
        </w:rPr>
        <w:t>&lt;Commission&gt;</w:t>
      </w:r>
      <w:r>
        <w:rPr>
          <w:rStyle w:val="HideTWBInt"/>
        </w:rPr>
        <w:t>{PECH}</w:t>
      </w:r>
      <w:r>
        <w:t>Žuvininkystės komitetas</w:t>
      </w:r>
      <w:r>
        <w:rPr>
          <w:rStyle w:val="HideTWBExt"/>
        </w:rPr>
        <w:t>&lt;/Commission&gt;</w:t>
      </w:r>
    </w:p>
    <w:p w:rsidR="00E21112" w:rsidRPr="00520FCA" w:rsidRDefault="00E21112" w:rsidP="00E21112">
      <w:pPr>
        <w:pStyle w:val="CoverNormal24a"/>
      </w:pPr>
      <w:r>
        <w:t xml:space="preserve">Pranešėjas: </w:t>
      </w:r>
      <w:r>
        <w:rPr>
          <w:rStyle w:val="HideTWBExt"/>
        </w:rPr>
        <w:t>&lt;Depute&gt;</w:t>
      </w:r>
      <w:r>
        <w:t>Gabriel Mato</w:t>
      </w:r>
      <w:r>
        <w:rPr>
          <w:rStyle w:val="HideTWBExt"/>
        </w:rPr>
        <w:t>&lt;/Depute&gt;</w:t>
      </w:r>
    </w:p>
    <w:p w:rsidR="00E21112" w:rsidRPr="00520FCA" w:rsidRDefault="00E21112" w:rsidP="00E21112">
      <w:pPr>
        <w:pStyle w:val="CoverNormal"/>
      </w:pPr>
      <w:r>
        <w:t>(Supaprastinta procedūra. Darbo tvarkos taisyklių 52 straipsnio 1 dalis)</w:t>
      </w:r>
    </w:p>
    <w:p w:rsidR="00E21112" w:rsidRPr="00520FCA" w:rsidRDefault="00E21112" w:rsidP="00E21112">
      <w:r>
        <w:br w:type="page"/>
      </w:r>
      <w:fldSimple w:instr=" TITLE  \* MERGEFORMAT ">
        <w:r w:rsidR="00D00964">
          <w:t>PR_COD_1app</w:t>
        </w:r>
      </w:fldSimple>
    </w:p>
    <w:p w:rsidR="00E21112" w:rsidRPr="00520FCA" w:rsidRDefault="00E21112" w:rsidP="00E21112"/>
    <w:p w:rsidR="00E21112" w:rsidRPr="00520FCA" w:rsidRDefault="00E21112" w:rsidP="00E21112"/>
    <w:p w:rsidR="00BC1999" w:rsidRPr="00520FCA" w:rsidRDefault="00BC1999" w:rsidP="00BC1999">
      <w:pPr>
        <w:tabs>
          <w:tab w:val="left" w:pos="5100"/>
        </w:tabs>
      </w:pPr>
      <w:r>
        <w:tab/>
      </w: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C1999" w:rsidRPr="00DE3901" w:rsidTr="0056435B">
        <w:tc>
          <w:tcPr>
            <w:tcW w:w="5811" w:type="dxa"/>
            <w:tcBorders>
              <w:top w:val="single" w:sz="4" w:space="0" w:color="auto"/>
            </w:tcBorders>
          </w:tcPr>
          <w:p w:rsidR="00BC1999" w:rsidRPr="00DE3901" w:rsidRDefault="00BC1999" w:rsidP="0056435B">
            <w:pPr>
              <w:pStyle w:val="Lgendetitre"/>
              <w:rPr>
                <w:bCs/>
                <w:iCs/>
              </w:rPr>
            </w:pPr>
            <w:r>
              <w:t>Procedūrų sutartiniai ženklai</w:t>
            </w:r>
          </w:p>
        </w:tc>
      </w:tr>
      <w:tr w:rsidR="00BC1999" w:rsidRPr="00456E5C" w:rsidTr="0056435B">
        <w:trPr>
          <w:cantSplit/>
          <w:trHeight w:val="1949"/>
        </w:trPr>
        <w:tc>
          <w:tcPr>
            <w:tcW w:w="5811" w:type="dxa"/>
            <w:tcBorders>
              <w:bottom w:val="single" w:sz="4" w:space="0" w:color="auto"/>
            </w:tcBorders>
          </w:tcPr>
          <w:p w:rsidR="00BC1999" w:rsidRPr="00DE3901" w:rsidRDefault="00BC1999" w:rsidP="0056435B">
            <w:pPr>
              <w:pStyle w:val="Lgendesigne"/>
              <w:rPr>
                <w:szCs w:val="24"/>
              </w:rPr>
            </w:pPr>
            <w:r>
              <w:tab/>
              <w:t>*</w:t>
            </w:r>
            <w:r>
              <w:tab/>
              <w:t>Konsultavimosi procedūra</w:t>
            </w:r>
          </w:p>
          <w:p w:rsidR="00BC1999" w:rsidRPr="00DE3901" w:rsidRDefault="00BC1999" w:rsidP="0056435B">
            <w:pPr>
              <w:pStyle w:val="Lgendesigne"/>
              <w:rPr>
                <w:szCs w:val="24"/>
              </w:rPr>
            </w:pPr>
            <w:r>
              <w:tab/>
              <w:t>***</w:t>
            </w:r>
            <w:r>
              <w:tab/>
              <w:t>Pritarimo procedūra</w:t>
            </w:r>
          </w:p>
          <w:p w:rsidR="00BC1999" w:rsidRPr="00DE3901" w:rsidRDefault="00BC1999" w:rsidP="0056435B">
            <w:pPr>
              <w:pStyle w:val="Lgendesigne"/>
              <w:rPr>
                <w:szCs w:val="24"/>
              </w:rPr>
            </w:pPr>
            <w:r>
              <w:tab/>
              <w:t>***I</w:t>
            </w:r>
            <w:r>
              <w:tab/>
              <w:t>Įprasta teisėkūros procedūra (pirmasis svarstymas)</w:t>
            </w:r>
          </w:p>
          <w:p w:rsidR="00BC1999" w:rsidRPr="00DE3901" w:rsidRDefault="00BC1999" w:rsidP="0056435B">
            <w:pPr>
              <w:pStyle w:val="Lgendesigne"/>
              <w:rPr>
                <w:szCs w:val="24"/>
              </w:rPr>
            </w:pPr>
            <w:r>
              <w:tab/>
              <w:t>***II</w:t>
            </w:r>
            <w:r>
              <w:tab/>
              <w:t>Įprasta teisėkūros procedūra (antrasis svarstymas)</w:t>
            </w:r>
          </w:p>
          <w:p w:rsidR="00BC1999" w:rsidRPr="00DE3901" w:rsidRDefault="00BC1999" w:rsidP="0056435B">
            <w:pPr>
              <w:pStyle w:val="Lgendesigne"/>
              <w:rPr>
                <w:szCs w:val="24"/>
              </w:rPr>
            </w:pPr>
            <w:r>
              <w:tab/>
              <w:t>***III</w:t>
            </w:r>
            <w:r>
              <w:tab/>
              <w:t>Įprasta teisėkūros procedūra (trečiasis svarstymas)</w:t>
            </w:r>
            <w:r>
              <w:br/>
            </w:r>
          </w:p>
          <w:p w:rsidR="00BC1999" w:rsidRPr="00DE3901" w:rsidRDefault="00BC1999" w:rsidP="0056435B">
            <w:pPr>
              <w:pStyle w:val="Lgendestandard"/>
              <w:rPr>
                <w:szCs w:val="24"/>
              </w:rPr>
            </w:pPr>
            <w:r>
              <w:t>(Procedūra pasirenkama atsižvelgiant į teisės akto projekte pasiūlytą teisinį pagrindą.)</w:t>
            </w:r>
          </w:p>
          <w:p w:rsidR="00BC1999" w:rsidRPr="00DE3901" w:rsidRDefault="00BC1999" w:rsidP="0056435B">
            <w:pPr>
              <w:pStyle w:val="Lgendestandard"/>
              <w:rPr>
                <w:szCs w:val="24"/>
              </w:rPr>
            </w:pPr>
          </w:p>
        </w:tc>
      </w:tr>
    </w:tbl>
    <w:p w:rsidR="00E21112" w:rsidRPr="00520FCA" w:rsidRDefault="00E21112" w:rsidP="00BC1999">
      <w:pPr>
        <w:tabs>
          <w:tab w:val="left" w:pos="5100"/>
        </w:tabs>
      </w:pPr>
    </w:p>
    <w:p w:rsidR="00E21112" w:rsidRPr="00520FCA" w:rsidRDefault="00E21112" w:rsidP="00E21112"/>
    <w:p w:rsidR="00E21112" w:rsidRPr="00520FCA" w:rsidRDefault="00E21112" w:rsidP="00E21112"/>
    <w:p w:rsidR="00E21112" w:rsidRPr="00520FCA" w:rsidRDefault="00E21112" w:rsidP="00E21112"/>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BC1999" w:rsidRPr="00DE3901" w:rsidTr="0056435B">
        <w:tc>
          <w:tcPr>
            <w:tcW w:w="5811" w:type="dxa"/>
            <w:tcBorders>
              <w:top w:val="single" w:sz="4" w:space="0" w:color="auto"/>
            </w:tcBorders>
          </w:tcPr>
          <w:p w:rsidR="00BC1999" w:rsidRPr="00DE3901" w:rsidRDefault="00BC1999" w:rsidP="0056435B">
            <w:pPr>
              <w:pStyle w:val="Lgendetitre"/>
              <w:rPr>
                <w:bCs/>
                <w:iCs/>
              </w:rPr>
            </w:pPr>
            <w:r>
              <w:t>Teisės akto projekto pakeitimai</w:t>
            </w:r>
          </w:p>
        </w:tc>
      </w:tr>
      <w:tr w:rsidR="00BC1999" w:rsidRPr="00456E5C" w:rsidTr="0056435B">
        <w:tc>
          <w:tcPr>
            <w:tcW w:w="5811" w:type="dxa"/>
            <w:tcBorders>
              <w:bottom w:val="single" w:sz="4" w:space="0" w:color="auto"/>
            </w:tcBorders>
          </w:tcPr>
          <w:p w:rsidR="00BC1999" w:rsidRPr="00DE3901" w:rsidRDefault="00BC1999" w:rsidP="0056435B">
            <w:pPr>
              <w:pStyle w:val="Lgendestandard"/>
              <w:rPr>
                <w:szCs w:val="24"/>
              </w:rPr>
            </w:pPr>
          </w:p>
          <w:p w:rsidR="00BC1999" w:rsidRPr="00DE3901" w:rsidRDefault="00BC1999" w:rsidP="0056435B">
            <w:pPr>
              <w:pStyle w:val="Lgendestandard"/>
              <w:rPr>
                <w:szCs w:val="24"/>
              </w:rPr>
            </w:pPr>
            <w:r>
              <w:rPr>
                <w:b/>
                <w:szCs w:val="24"/>
              </w:rPr>
              <w:t>Parlamento pakeitimai, išdėstomi dviejuose stulpeliuose</w:t>
            </w:r>
          </w:p>
          <w:p w:rsidR="00BC1999" w:rsidRPr="00DE3901" w:rsidRDefault="00BC1999" w:rsidP="0056435B">
            <w:pPr>
              <w:pStyle w:val="Lgendestandard"/>
              <w:rPr>
                <w:szCs w:val="24"/>
              </w:rPr>
            </w:pPr>
          </w:p>
          <w:p w:rsidR="00BC1999" w:rsidRPr="00DE3901" w:rsidRDefault="00BC1999" w:rsidP="0056435B">
            <w:pPr>
              <w:pStyle w:val="Lgendestandard"/>
              <w:rPr>
                <w:szCs w:val="24"/>
              </w:rPr>
            </w:pPr>
            <w:r>
              <w:t xml:space="preserve">Išbrauktos teksto dalys žymimos </w:t>
            </w:r>
            <w:r>
              <w:rPr>
                <w:rFonts w:ascii="Times New Roman Bold" w:hAnsi="Times New Roman Bold"/>
                <w:b/>
                <w:i/>
                <w:szCs w:val="24"/>
              </w:rPr>
              <w:t>pusjuodžiu kursyvu</w:t>
            </w:r>
            <w:r>
              <w:t xml:space="preserve"> kairiajame stulpelyje. Pakeitimai žymimi </w:t>
            </w:r>
            <w:r>
              <w:rPr>
                <w:rFonts w:ascii="Times New Roman Bold" w:hAnsi="Times New Roman Bold"/>
                <w:b/>
                <w:i/>
                <w:szCs w:val="24"/>
              </w:rPr>
              <w:t>pusjuodžiu kursyvu</w:t>
            </w:r>
            <w:r>
              <w:t xml:space="preserve"> abiejuose stulpeliuose. Naujas tekstas žymimas </w:t>
            </w:r>
            <w:r>
              <w:rPr>
                <w:rFonts w:ascii="Times New Roman Bold" w:hAnsi="Times New Roman Bold"/>
                <w:b/>
                <w:i/>
                <w:szCs w:val="24"/>
              </w:rPr>
              <w:t>pusjuodžiu kursyvu</w:t>
            </w:r>
            <w:r>
              <w:t xml:space="preserve"> dešiniajame stulpelyje.</w:t>
            </w:r>
          </w:p>
          <w:p w:rsidR="00BC1999" w:rsidRPr="00DE3901" w:rsidRDefault="00BC1999" w:rsidP="0056435B">
            <w:pPr>
              <w:pStyle w:val="Lgendestandard"/>
              <w:rPr>
                <w:szCs w:val="24"/>
              </w:rPr>
            </w:pPr>
          </w:p>
          <w:p w:rsidR="00BC1999" w:rsidRPr="00DE3901" w:rsidRDefault="00BC1999" w:rsidP="0056435B">
            <w:pPr>
              <w:pStyle w:val="Lgendestandard"/>
              <w:rPr>
                <w:szCs w:val="24"/>
              </w:rPr>
            </w:pPr>
            <w:r>
              <w:t>Kiekvieno pakeitimo antraštės pirmoje ir antroje eilutėse nurodoma atitinkama svarstomo teisės akto projekto dalis. Jei pakeitimas susijęs su esamu teisės aktu, kurį siekiama pakeisti teisės akto projektu, antraštėje pridedamos trečia ir ketvirta eilutės, kuriose atitinkamai nurodomas esamas teisės aktas ir keičiama šio teisės akto dalis.</w:t>
            </w:r>
          </w:p>
          <w:p w:rsidR="00BC1999" w:rsidRPr="00DE3901" w:rsidRDefault="00BC1999" w:rsidP="0056435B">
            <w:pPr>
              <w:pStyle w:val="Lgendestandard"/>
              <w:rPr>
                <w:szCs w:val="24"/>
              </w:rPr>
            </w:pPr>
          </w:p>
          <w:p w:rsidR="00BC1999" w:rsidRPr="00DE3901" w:rsidRDefault="00BC1999" w:rsidP="0056435B">
            <w:pPr>
              <w:pStyle w:val="Lgendestandard"/>
              <w:rPr>
                <w:b/>
                <w:szCs w:val="24"/>
              </w:rPr>
            </w:pPr>
            <w:r>
              <w:rPr>
                <w:b/>
                <w:szCs w:val="24"/>
              </w:rPr>
              <w:t>Parlamento pakeitimai, pateikiami konsoliduoto teksto forma</w:t>
            </w:r>
          </w:p>
          <w:p w:rsidR="00BC1999" w:rsidRPr="00DE3901" w:rsidRDefault="00BC1999" w:rsidP="0056435B">
            <w:pPr>
              <w:pStyle w:val="Lgendestandard"/>
              <w:rPr>
                <w:szCs w:val="24"/>
              </w:rPr>
            </w:pPr>
          </w:p>
          <w:p w:rsidR="00BC1999" w:rsidRPr="00DE3901" w:rsidRDefault="00BC1999" w:rsidP="0056435B">
            <w:pPr>
              <w:pStyle w:val="Lgendestandard"/>
              <w:rPr>
                <w:szCs w:val="24"/>
              </w:rPr>
            </w:pPr>
            <w:r>
              <w:t xml:space="preserve">Naujos teksto dalys žymimos </w:t>
            </w:r>
            <w:r>
              <w:rPr>
                <w:rFonts w:ascii="Times New Roman Bold" w:hAnsi="Times New Roman Bold"/>
                <w:b/>
                <w:i/>
                <w:szCs w:val="24"/>
              </w:rPr>
              <w:t>pusjuodžiu kursyvu</w:t>
            </w:r>
            <w:r>
              <w:t xml:space="preserve">. Išbrauktos teksto dalys nurodomos simboliu „▌“ arba perbraukiamos. Pakeistos teksto dalys nurodomos naują tekstą pažymint </w:t>
            </w:r>
            <w:r>
              <w:rPr>
                <w:rFonts w:ascii="Times New Roman Bold" w:hAnsi="Times New Roman Bold"/>
                <w:b/>
                <w:i/>
                <w:szCs w:val="24"/>
              </w:rPr>
              <w:t>pusjuodžiu kursyvu</w:t>
            </w:r>
            <w:r>
              <w:t>, o ankstesnį nereikalingą tekstą išbraukiant arba perbraukiant.</w:t>
            </w:r>
          </w:p>
          <w:p w:rsidR="00BC1999" w:rsidRPr="00DE3901" w:rsidRDefault="00BC1999" w:rsidP="0056435B">
            <w:pPr>
              <w:pStyle w:val="Lgendestandard"/>
              <w:rPr>
                <w:szCs w:val="24"/>
              </w:rPr>
            </w:pPr>
            <w:r>
              <w:t>Nežymimi tik grynai techninio pobūdžio pakeitimai, kuriuos daro tarnybos, siekdamos parengti galutinį tekstą.</w:t>
            </w:r>
          </w:p>
          <w:p w:rsidR="00BC1999" w:rsidRPr="00DE3901" w:rsidRDefault="00BC1999" w:rsidP="0056435B">
            <w:pPr>
              <w:pStyle w:val="Lgendestandard"/>
              <w:rPr>
                <w:szCs w:val="24"/>
              </w:rPr>
            </w:pPr>
          </w:p>
        </w:tc>
      </w:tr>
    </w:tbl>
    <w:p w:rsidR="00E21112" w:rsidRPr="00520FCA" w:rsidRDefault="00E21112" w:rsidP="00E21112"/>
    <w:p w:rsidR="00E21112" w:rsidRPr="00520FCA" w:rsidRDefault="00E21112" w:rsidP="00E21112">
      <w:pPr>
        <w:widowControl/>
        <w:tabs>
          <w:tab w:val="center" w:pos="4677"/>
        </w:tabs>
      </w:pPr>
    </w:p>
    <w:p w:rsidR="00E21112" w:rsidRPr="00520FCA" w:rsidRDefault="00E21112" w:rsidP="00E21112">
      <w:pPr>
        <w:pStyle w:val="TOCHeading"/>
      </w:pPr>
      <w:r>
        <w:br w:type="page"/>
      </w:r>
      <w:r>
        <w:lastRenderedPageBreak/>
        <w:t>TURINYS</w:t>
      </w:r>
    </w:p>
    <w:p w:rsidR="00E21112" w:rsidRPr="00520FCA" w:rsidRDefault="00E21112" w:rsidP="00E21112">
      <w:pPr>
        <w:pStyle w:val="TOCPage"/>
      </w:pPr>
      <w:r>
        <w:t>Psl.</w:t>
      </w:r>
    </w:p>
    <w:p w:rsidR="00D00964" w:rsidRDefault="00E21112">
      <w:pPr>
        <w:pStyle w:val="TOC1"/>
        <w:tabs>
          <w:tab w:val="right" w:leader="dot" w:pos="9060"/>
        </w:tabs>
        <w:rPr>
          <w:rFonts w:asciiTheme="minorHAnsi" w:eastAsiaTheme="minorEastAsia" w:hAnsiTheme="minorHAnsi" w:cstheme="minorBidi"/>
          <w:noProof/>
          <w:sz w:val="22"/>
          <w:szCs w:val="22"/>
          <w:lang w:val="en-GB"/>
        </w:rPr>
      </w:pPr>
      <w:r w:rsidRPr="00520FCA">
        <w:rPr>
          <w:b/>
        </w:rPr>
        <w:fldChar w:fldCharType="begin"/>
      </w:r>
      <w:r w:rsidRPr="00520FCA">
        <w:rPr>
          <w:b/>
        </w:rPr>
        <w:instrText xml:space="preserve"> TOC \t "PageHeading;1" </w:instrText>
      </w:r>
      <w:r w:rsidRPr="00520FCA">
        <w:rPr>
          <w:b/>
        </w:rPr>
        <w:fldChar w:fldCharType="separate"/>
      </w:r>
      <w:r w:rsidR="00D00964">
        <w:rPr>
          <w:noProof/>
        </w:rPr>
        <w:t>EUROPOS PARLAMENTO TEISĖKŪROS REZOLIUCIJOS PROJEKTAS</w:t>
      </w:r>
      <w:r w:rsidR="00D00964">
        <w:rPr>
          <w:noProof/>
        </w:rPr>
        <w:tab/>
      </w:r>
      <w:r w:rsidR="00D00964">
        <w:rPr>
          <w:noProof/>
        </w:rPr>
        <w:fldChar w:fldCharType="begin"/>
      </w:r>
      <w:r w:rsidR="00D00964">
        <w:rPr>
          <w:noProof/>
        </w:rPr>
        <w:instrText xml:space="preserve"> PAGEREF _Toc72225833 \h </w:instrText>
      </w:r>
      <w:r w:rsidR="00D00964">
        <w:rPr>
          <w:noProof/>
        </w:rPr>
      </w:r>
      <w:r w:rsidR="00D00964">
        <w:rPr>
          <w:noProof/>
        </w:rPr>
        <w:fldChar w:fldCharType="separate"/>
      </w:r>
      <w:r w:rsidR="00D00964">
        <w:rPr>
          <w:noProof/>
        </w:rPr>
        <w:t>5</w:t>
      </w:r>
      <w:r w:rsidR="00D00964">
        <w:rPr>
          <w:noProof/>
        </w:rPr>
        <w:fldChar w:fldCharType="end"/>
      </w:r>
    </w:p>
    <w:p w:rsidR="00D00964" w:rsidRDefault="00D00964">
      <w:pPr>
        <w:pStyle w:val="TOC1"/>
        <w:tabs>
          <w:tab w:val="right" w:leader="dot" w:pos="9060"/>
        </w:tabs>
        <w:rPr>
          <w:rFonts w:asciiTheme="minorHAnsi" w:eastAsiaTheme="minorEastAsia" w:hAnsiTheme="minorHAnsi" w:cstheme="minorBidi"/>
          <w:noProof/>
          <w:sz w:val="22"/>
          <w:szCs w:val="22"/>
          <w:lang w:val="en-GB"/>
        </w:rPr>
      </w:pPr>
      <w:r>
        <w:rPr>
          <w:noProof/>
        </w:rPr>
        <w:t>AIŠKINAMOJI DALIS</w:t>
      </w:r>
      <w:r>
        <w:rPr>
          <w:noProof/>
        </w:rPr>
        <w:tab/>
      </w:r>
      <w:r>
        <w:rPr>
          <w:noProof/>
        </w:rPr>
        <w:fldChar w:fldCharType="begin"/>
      </w:r>
      <w:r>
        <w:rPr>
          <w:noProof/>
        </w:rPr>
        <w:instrText xml:space="preserve"> PAGEREF _Toc72225834 \h </w:instrText>
      </w:r>
      <w:r>
        <w:rPr>
          <w:noProof/>
        </w:rPr>
      </w:r>
      <w:r>
        <w:rPr>
          <w:noProof/>
        </w:rPr>
        <w:fldChar w:fldCharType="separate"/>
      </w:r>
      <w:r>
        <w:rPr>
          <w:noProof/>
        </w:rPr>
        <w:t>6</w:t>
      </w:r>
      <w:r>
        <w:rPr>
          <w:noProof/>
        </w:rPr>
        <w:fldChar w:fldCharType="end"/>
      </w:r>
    </w:p>
    <w:p w:rsidR="00E21112" w:rsidRPr="00520FCA" w:rsidRDefault="00E21112" w:rsidP="00E21112">
      <w:r w:rsidRPr="00520FCA">
        <w:rPr>
          <w:b/>
        </w:rPr>
        <w:fldChar w:fldCharType="end"/>
      </w:r>
    </w:p>
    <w:p w:rsidR="00E21112" w:rsidRPr="00520FCA" w:rsidRDefault="00E21112" w:rsidP="00E21112">
      <w:pPr>
        <w:pStyle w:val="PageHeading"/>
      </w:pPr>
      <w:bookmarkStart w:id="0" w:name="_GoBack"/>
      <w:bookmarkEnd w:id="0"/>
      <w:r>
        <w:br w:type="page"/>
      </w:r>
      <w:r>
        <w:br w:type="page"/>
      </w:r>
      <w:bookmarkStart w:id="1" w:name="_Toc72225833"/>
      <w:r>
        <w:t>EUROPOS PARLAMENTO TEISĖKŪROS REZOLIUCIJOS PROJEKTAS</w:t>
      </w:r>
      <w:bookmarkEnd w:id="1"/>
    </w:p>
    <w:p w:rsidR="00E21112" w:rsidRPr="00520FCA" w:rsidRDefault="00E21112" w:rsidP="00E21112">
      <w:pPr>
        <w:pStyle w:val="NormalBold"/>
      </w:pPr>
      <w:r>
        <w:t>dėl pasiūlymo dėl Europos Parlamento ir Tarybos reglamento, kuriuo nustatoma paprastųjų tunų (</w:t>
      </w:r>
      <w:r>
        <w:rPr>
          <w:i/>
        </w:rPr>
        <w:t>Thunnus thynnus</w:t>
      </w:r>
      <w:r>
        <w:t>) laimikio dokumentavimo programa ir panaikinamas Reglamentas (EB) Nr. 640/2010</w:t>
      </w:r>
    </w:p>
    <w:p w:rsidR="00E21112" w:rsidRPr="00520FCA" w:rsidRDefault="00E21112" w:rsidP="00E21112">
      <w:pPr>
        <w:pStyle w:val="NormalBold12a"/>
      </w:pPr>
      <w:r>
        <w:t>(COM(2020)0670 – C9-0336/2020 – 2020/0302(COD))</w:t>
      </w:r>
    </w:p>
    <w:p w:rsidR="00E21112" w:rsidRPr="00520FCA" w:rsidRDefault="00E21112" w:rsidP="00E21112">
      <w:pPr>
        <w:pStyle w:val="NormalBold"/>
      </w:pPr>
      <w:r>
        <w:t>(Įprasta teisėkūros procedūra: pirmasis svarstymas)</w:t>
      </w:r>
    </w:p>
    <w:p w:rsidR="00E21112" w:rsidRPr="00520FCA" w:rsidRDefault="00E21112" w:rsidP="00E21112">
      <w:pPr>
        <w:pStyle w:val="EPComma"/>
      </w:pPr>
      <w:r>
        <w:rPr>
          <w:i/>
        </w:rPr>
        <w:t>Europos Parlamentas</w:t>
      </w:r>
      <w:r>
        <w:t>,</w:t>
      </w:r>
    </w:p>
    <w:p w:rsidR="00E21112" w:rsidRPr="00520FCA" w:rsidRDefault="00E21112" w:rsidP="00E21112">
      <w:pPr>
        <w:pStyle w:val="NormalHanging12a"/>
      </w:pPr>
      <w:r>
        <w:t>–</w:t>
      </w:r>
      <w:r>
        <w:tab/>
        <w:t>atsižvelgdamas į Komisijos pasiūlymą Europos Parlamentui ir Tarybai (COM(2020)0670),</w:t>
      </w:r>
    </w:p>
    <w:p w:rsidR="00E21112" w:rsidRPr="00520FCA" w:rsidRDefault="00E21112" w:rsidP="00E21112">
      <w:pPr>
        <w:pStyle w:val="NormalHanging12a"/>
      </w:pPr>
      <w:r>
        <w:t>–</w:t>
      </w:r>
      <w:r>
        <w:tab/>
        <w:t>atsižvelgdamas į Sutarties dėl Europos Sąjungos veikimo 294 straipsnio 2 dalį ir 43 straipsnio 2 dalį, pagal kurias Komisija pateikė pasiūlymą Parlamentui (C9-0336/2020),</w:t>
      </w:r>
    </w:p>
    <w:p w:rsidR="00E21112" w:rsidRPr="00520FCA" w:rsidRDefault="00E21112" w:rsidP="00E21112">
      <w:pPr>
        <w:pStyle w:val="NormalHanging12a"/>
      </w:pPr>
      <w:r>
        <w:t>–</w:t>
      </w:r>
      <w:r>
        <w:tab/>
        <w:t>atsižvelgdamas į Sutarties dėl Europos Sąjungos veikimo 294 straipsnio 3 dalį,</w:t>
      </w:r>
    </w:p>
    <w:p w:rsidR="00E1461E" w:rsidRPr="00520FCA" w:rsidRDefault="00E1461E" w:rsidP="00E1461E">
      <w:pPr>
        <w:pStyle w:val="NormalHanging12a"/>
      </w:pPr>
      <w:r>
        <w:t>–</w:t>
      </w:r>
      <w:r>
        <w:tab/>
        <w:t>atsižvelgdamas į 2021 m. sausio 27 d. Europos ekonomikos ir socialinių reikalų komiteto nuomonę</w:t>
      </w:r>
      <w:r w:rsidR="00314486" w:rsidRPr="00520FCA">
        <w:rPr>
          <w:rStyle w:val="FootnoteReference"/>
        </w:rPr>
        <w:footnoteReference w:id="1"/>
      </w:r>
      <w:r>
        <w:t>,</w:t>
      </w:r>
    </w:p>
    <w:p w:rsidR="00E21112" w:rsidRPr="00520FCA" w:rsidRDefault="00E21112" w:rsidP="00E21112">
      <w:pPr>
        <w:pStyle w:val="NormalHanging12a"/>
      </w:pPr>
      <w:r>
        <w:t>–</w:t>
      </w:r>
      <w:r>
        <w:tab/>
        <w:t>atsižvelgdamas į Darbo tvarkos taisyklių 59 straipsnį,</w:t>
      </w:r>
    </w:p>
    <w:p w:rsidR="00E21112" w:rsidRPr="00520FCA" w:rsidRDefault="00E21112" w:rsidP="00E21112">
      <w:pPr>
        <w:pStyle w:val="NormalHanging12a"/>
      </w:pPr>
      <w:r>
        <w:t>–</w:t>
      </w:r>
      <w:r>
        <w:tab/>
        <w:t>atsižvelgdamas į Žuvininkystės komiteto pranešimą (A9-0000/2021),</w:t>
      </w:r>
    </w:p>
    <w:p w:rsidR="00E21112" w:rsidRPr="00520FCA" w:rsidRDefault="00E21112" w:rsidP="00E21112">
      <w:pPr>
        <w:pStyle w:val="NormalHanging12a"/>
      </w:pPr>
      <w:r>
        <w:t>1.</w:t>
      </w:r>
      <w:r>
        <w:tab/>
        <w:t>priima per pirmąjį svarstymą savo poziciją, perimdamas Komisijos pasiūlymą;</w:t>
      </w:r>
    </w:p>
    <w:p w:rsidR="00E21112" w:rsidRPr="00520FCA" w:rsidRDefault="00E21112" w:rsidP="00E21112">
      <w:pPr>
        <w:pStyle w:val="NormalHanging12a"/>
      </w:pPr>
      <w:r>
        <w:t>2.</w:t>
      </w:r>
      <w:r>
        <w:tab/>
        <w:t>ragina Komisiją dar kartą perduoti klausimą svarstyti Parlamentui, jei ji savo pasiūlymą pakeičia nauju tekstu, jį keičia iš esmės arba ketina jį keisti iš esmės;</w:t>
      </w:r>
    </w:p>
    <w:p w:rsidR="00E21112" w:rsidRPr="00520FCA" w:rsidRDefault="00E21112" w:rsidP="00E21112">
      <w:pPr>
        <w:pStyle w:val="NormalHanging12a"/>
      </w:pPr>
      <w:r>
        <w:t>3.</w:t>
      </w:r>
      <w:r>
        <w:tab/>
        <w:t>paveda Pirmininkui Parlamento poziciją perduoti Tarybai, Komisijai ir nacionaliniams parlamentams.</w:t>
      </w:r>
    </w:p>
    <w:p w:rsidR="00E21112" w:rsidRPr="00520FCA" w:rsidRDefault="00E21112" w:rsidP="00E21112">
      <w:pPr>
        <w:widowControl/>
      </w:pPr>
      <w:r>
        <w:br w:type="page"/>
      </w:r>
    </w:p>
    <w:p w:rsidR="00E21112" w:rsidRPr="00520FCA" w:rsidRDefault="00E21112" w:rsidP="00E21112">
      <w:pPr>
        <w:pStyle w:val="PageHeading"/>
      </w:pPr>
      <w:bookmarkStart w:id="2" w:name="_Toc72225834"/>
      <w:r>
        <w:t>AIŠKINAMOJI DALIS</w:t>
      </w:r>
      <w:bookmarkEnd w:id="2"/>
    </w:p>
    <w:p w:rsidR="00E21112" w:rsidRPr="00520FCA" w:rsidRDefault="00E21112" w:rsidP="00E21112">
      <w:pPr>
        <w:rPr>
          <w:b/>
          <w:bCs/>
        </w:rPr>
      </w:pPr>
      <w:r>
        <w:rPr>
          <w:b/>
          <w:bCs/>
        </w:rPr>
        <w:t>Pasiūlymo bendrosios aplinkybės</w:t>
      </w:r>
    </w:p>
    <w:p w:rsidR="00E21112" w:rsidRPr="00520FCA" w:rsidRDefault="00E21112" w:rsidP="00E21112">
      <w:pPr>
        <w:rPr>
          <w:b/>
          <w:bCs/>
          <w:sz w:val="22"/>
        </w:rPr>
      </w:pPr>
    </w:p>
    <w:p w:rsidR="00E21112" w:rsidRPr="00520FCA" w:rsidRDefault="00E21112" w:rsidP="00E21112">
      <w:r>
        <w:t xml:space="preserve">Europos Sąjunga nuo 1997 m. yra Tarptautinės konvencijos dėl Atlanto tunų apsaugos (toliau – ICCAT konvencija) susitariančioji šalis. </w:t>
      </w:r>
    </w:p>
    <w:p w:rsidR="00E21112" w:rsidRPr="00520FCA" w:rsidRDefault="00E21112" w:rsidP="00E21112"/>
    <w:p w:rsidR="00E21112" w:rsidRPr="00520FCA" w:rsidRDefault="00E21112" w:rsidP="00E21112">
      <w:r>
        <w:t xml:space="preserve">ICCAT konvencija nustatoma regioninio bendradarbiavimo, kuriuo siekiama išsaugoti ir valdyti tunų ir tunams giminingų rūšių žuvų išteklius Atlanto vandenyne ir gretimose jūrose, sistema, tuo tikslu įsteigiant Tarptautinę Atlanto tunų apsaugos komisiją (toliau – ICCAT). </w:t>
      </w:r>
    </w:p>
    <w:p w:rsidR="00E21112" w:rsidRPr="00520FCA" w:rsidRDefault="00E21112" w:rsidP="00E21112"/>
    <w:p w:rsidR="00E21112" w:rsidRPr="00520FCA" w:rsidRDefault="00E21112" w:rsidP="00E21112">
      <w:r>
        <w:t xml:space="preserve">ICCAT turi įgaliojimus priimti privalomąsias rekomendacijas jos kompetencijai priklausančių žvejybos išteklių išsaugojimo ir valdymo srityje. Šie aktai iš esmės yra skirti ICCAT susitariančiosioms šalims, pvz., Sąjungai, tačiau jais taip pat nustatomi įpareigojimai privačiojo sektoriaus ekonominės veiklos vykdytojams (pvz., laivų kapitonams). </w:t>
      </w:r>
    </w:p>
    <w:p w:rsidR="00E21112" w:rsidRPr="00520FCA" w:rsidRDefault="00E21112" w:rsidP="00E21112"/>
    <w:p w:rsidR="00E21112" w:rsidRPr="00520FCA" w:rsidRDefault="00E21112" w:rsidP="00E21112">
      <w:pPr>
        <w:rPr>
          <w:b/>
          <w:bCs/>
        </w:rPr>
      </w:pPr>
      <w:r>
        <w:rPr>
          <w:b/>
          <w:bCs/>
        </w:rPr>
        <w:t>Pasiūlymo turinys</w:t>
      </w:r>
    </w:p>
    <w:p w:rsidR="00E21112" w:rsidRPr="00520FCA" w:rsidRDefault="00E21112" w:rsidP="00E21112"/>
    <w:p w:rsidR="00E21112" w:rsidRPr="00520FCA" w:rsidRDefault="00E21112" w:rsidP="00E21112">
      <w:r>
        <w:t xml:space="preserve">Šiame pasiūlyme [COM(2020)670] nustatomos Sąjungos paprastųjų tunų laimikio dokumentavimo programos taisyklės, siekiant įgyvendinti ICCAT priimtas išteklių išsaugojimo ir valdymo priemones pagal ICCAT paprastųjų tunų laimikio dokumentavimo sistemą. Šios sistemos tikslas – nustatyti visų paprastųjų tunų kilmę. </w:t>
      </w:r>
    </w:p>
    <w:p w:rsidR="00E21112" w:rsidRPr="00520FCA" w:rsidRDefault="00E21112" w:rsidP="00E21112"/>
    <w:p w:rsidR="00E21112" w:rsidRPr="00520FCA" w:rsidRDefault="00E21112" w:rsidP="00E21112">
      <w:r>
        <w:t>Sąjungos laimikio dokumentavimo programa iš tiesų jau vykdoma pagal Reglamentą (ES) Nr. 640/2010. Šiuo metu svarstomame pasiūlyme, kuriuo ketinama panaikinti Reglamentą (ES) Nr. 640/2010, paprastųjų tunų laimikis ir tolesni prekybos jais sandoriai registruojami ir tvirtinami elektroninėje paprastųjų tunų laimikio dokumentavimo sistemoje (eBCD), kuri veikia nuo 2017 m. ir kuria valstybės narės ir veiklos vykdytojai jau naudojasi. Pasiūlyme nustatoma, kad išimtiniais atvejais elektronine sistema galima nesinaudoti ir pateikti elektroninės sistemos reikalavimus atitinkančius popierinius dokumentus (paprastųjų tunų laimikio dokumentą (BCD)).</w:t>
      </w:r>
    </w:p>
    <w:p w:rsidR="00E21112" w:rsidRPr="00520FCA" w:rsidRDefault="00E21112" w:rsidP="00E21112"/>
    <w:p w:rsidR="00E21112" w:rsidRPr="00520FCA" w:rsidRDefault="00E21112" w:rsidP="00E21112">
      <w:r>
        <w:t>Be to, pasiūlyme nustatomos bendrosios paprastųjų tunų laimikio dokumentų ir reeksporto sertifikatų naudojimo nuostatos ir paprastųjų tunų laimikio bei vėlesnių prekybos sandorių registravimo ir tvirtinimo taisyklės. Nustatomos įsagais ženklinamoms žuvims skirtos specialios taisyklės. Taip pat pateikiamos nuostatos dėl tikrinimo prieš patvirtinimą, eBCD naudotojų duomenų perdavimo ir metinių ataskaitų teikimo ICCAT. Siūloma plačiai naudoti deleguotuosius aktus siekiant ateityje modifikuoti pagrindinį teisės aktą (14 straipsnis).</w:t>
      </w:r>
    </w:p>
    <w:p w:rsidR="00E21112" w:rsidRPr="00520FCA" w:rsidRDefault="00E21112" w:rsidP="00E21112"/>
    <w:p w:rsidR="00E21112" w:rsidRPr="00520FCA" w:rsidRDefault="00E21112" w:rsidP="00E21112"/>
    <w:p w:rsidR="00E21112" w:rsidRPr="00520FCA" w:rsidRDefault="00E21112" w:rsidP="00E21112">
      <w:pPr>
        <w:rPr>
          <w:b/>
        </w:rPr>
      </w:pPr>
      <w:r>
        <w:rPr>
          <w:b/>
        </w:rPr>
        <w:t>Pranešėjo nuomonė</w:t>
      </w:r>
    </w:p>
    <w:p w:rsidR="00E21112" w:rsidRPr="00520FCA" w:rsidRDefault="00E21112" w:rsidP="00E21112"/>
    <w:p w:rsidR="00E21112" w:rsidRPr="00520FCA" w:rsidRDefault="00E21112" w:rsidP="00E21112">
      <w:pPr>
        <w:spacing w:after="240"/>
      </w:pPr>
      <w:r>
        <w:t xml:space="preserve">Pranešėjas palankiai vertina tai, kad Komisija tiksliai perkelia ICCAT rekomendacijas į Sąjungos teisę ir taip sudaro vienodas sąlygas visiems veiklos vykdytojams. Siekiant atsižvelgti į mūsų ekonominės veiklos vykdytojus ir gerinti tarptautinį vandenynų valdymą, labai svarbu užtikrinti vienodas sąlygas visiems, drauge ES veiksmais regioninėse žvejybos valdymo organizacijose (RŽVO) ir kituose tarptautiniuose forumuose skatinant, kad užsienio laivynai taikytų aukštus ES darnumo standartus. </w:t>
      </w:r>
    </w:p>
    <w:p w:rsidR="00E21112" w:rsidRPr="00520FCA" w:rsidRDefault="00E21112" w:rsidP="00E21112">
      <w:r>
        <w:t xml:space="preserve">Pranešėjas mano, jog svarbu, kad Komisija, atsižvelgdama į veiklos vykdytojus, visuomenę ir mūsų valstybes partneres, sparčiai siūlytų RŽVO rekomendacijas perkelti į Sąjungos teisę, siekiant išvengti vėlavimo įgyvendinti tam tikras nuostatas. Nelogiška, kai 2018 m. ICCAT rekomendacijos, kuriose nustatyti 2020 m. terminai, priimamos 2021 m. </w:t>
      </w:r>
    </w:p>
    <w:p w:rsidR="00E21112" w:rsidRPr="00520FCA" w:rsidRDefault="00E21112" w:rsidP="00E21112"/>
    <w:p w:rsidR="002A1CE3" w:rsidRPr="00520FCA" w:rsidRDefault="00E21112" w:rsidP="00E21112">
      <w:r>
        <w:t>Turėdamas tai mintyje ir atsižvelgdamas į tai, kad šį dokumentą sudaro labai techninio pobūdžio perkėlimo į Sąjungos teisę nuostatos be esminio politinio turinio, pranešėjas nusprendė neteikti jokių Komisijos pasiūlymo pakeitimų.</w:t>
      </w:r>
    </w:p>
    <w:sectPr w:rsidR="002A1CE3" w:rsidRPr="00520FCA" w:rsidSect="00803FA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A25" w:rsidRPr="00520FCA" w:rsidRDefault="00AD6A25">
      <w:r w:rsidRPr="00520FCA">
        <w:separator/>
      </w:r>
    </w:p>
  </w:endnote>
  <w:endnote w:type="continuationSeparator" w:id="0">
    <w:p w:rsidR="00AD6A25" w:rsidRPr="00520FCA" w:rsidRDefault="00AD6A25">
      <w:r w:rsidRPr="00520F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FAD" w:rsidRPr="00520FCA" w:rsidRDefault="00803FAD" w:rsidP="00803FAD">
    <w:pPr>
      <w:pStyle w:val="EPFooter"/>
    </w:pPr>
    <w:r w:rsidRPr="00520FCA">
      <w:t>PE</w:t>
    </w:r>
    <w:r w:rsidRPr="00520FCA">
      <w:rPr>
        <w:rStyle w:val="HideTWBExt"/>
        <w:noProof w:val="0"/>
      </w:rPr>
      <w:t>&lt;NoPE&gt;</w:t>
    </w:r>
    <w:r w:rsidRPr="00520FCA">
      <w:t>692.613</w:t>
    </w:r>
    <w:r w:rsidRPr="00520FCA">
      <w:rPr>
        <w:rStyle w:val="HideTWBExt"/>
        <w:noProof w:val="0"/>
      </w:rPr>
      <w:t>&lt;/NoPE&gt;&lt;Version&gt;</w:t>
    </w:r>
    <w:r w:rsidRPr="00520FCA">
      <w:t>v01-00</w:t>
    </w:r>
    <w:r w:rsidRPr="00520FCA">
      <w:rPr>
        <w:rStyle w:val="HideTWBExt"/>
        <w:noProof w:val="0"/>
      </w:rPr>
      <w:t>&lt;/Version&gt;</w:t>
    </w:r>
    <w:r w:rsidRPr="00520FCA">
      <w:tab/>
    </w:r>
    <w:r w:rsidRPr="00520FCA">
      <w:fldChar w:fldCharType="begin"/>
    </w:r>
    <w:r w:rsidRPr="00520FCA">
      <w:instrText xml:space="preserve"> PAGE  \* MERGEFORMAT </w:instrText>
    </w:r>
    <w:r w:rsidRPr="00520FCA">
      <w:fldChar w:fldCharType="separate"/>
    </w:r>
    <w:r w:rsidR="00D00964">
      <w:rPr>
        <w:noProof/>
      </w:rPr>
      <w:t>2</w:t>
    </w:r>
    <w:r w:rsidRPr="00520FCA">
      <w:fldChar w:fldCharType="end"/>
    </w:r>
    <w:r w:rsidRPr="00520FCA">
      <w:t>/</w:t>
    </w:r>
    <w:fldSimple w:instr=" NUMPAGES  \* MERGEFORMAT ">
      <w:r w:rsidR="00D00964">
        <w:rPr>
          <w:noProof/>
        </w:rPr>
        <w:t>7</w:t>
      </w:r>
    </w:fldSimple>
    <w:r w:rsidRPr="00520FCA">
      <w:tab/>
    </w:r>
    <w:r w:rsidRPr="00520FCA">
      <w:rPr>
        <w:rStyle w:val="HideTWBExt"/>
        <w:noProof w:val="0"/>
      </w:rPr>
      <w:t>&lt;PathFdR&gt;</w:t>
    </w:r>
    <w:r w:rsidRPr="00520FCA">
      <w:t>PR\1230271LT.docx</w:t>
    </w:r>
    <w:r w:rsidRPr="00520FCA">
      <w:rPr>
        <w:rStyle w:val="HideTWBExt"/>
        <w:noProof w:val="0"/>
      </w:rPr>
      <w:t>&lt;/PathFdR&gt;</w:t>
    </w:r>
  </w:p>
  <w:p w:rsidR="00302A66" w:rsidRPr="00520FCA" w:rsidRDefault="00803FAD" w:rsidP="00803FAD">
    <w:pPr>
      <w:pStyle w:val="EPFooter2"/>
    </w:pPr>
    <w:r w:rsidRPr="00520FCA">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FAD" w:rsidRPr="00520FCA" w:rsidRDefault="00803FAD" w:rsidP="00803FAD">
    <w:pPr>
      <w:pStyle w:val="EPFooter"/>
    </w:pPr>
    <w:r w:rsidRPr="00520FCA">
      <w:rPr>
        <w:rStyle w:val="HideTWBExt"/>
        <w:noProof w:val="0"/>
      </w:rPr>
      <w:t>&lt;PathFdR&gt;</w:t>
    </w:r>
    <w:r w:rsidRPr="00520FCA">
      <w:t>PR\1230271LT.docx</w:t>
    </w:r>
    <w:r w:rsidRPr="00520FCA">
      <w:rPr>
        <w:rStyle w:val="HideTWBExt"/>
        <w:noProof w:val="0"/>
      </w:rPr>
      <w:t>&lt;/PathFdR&gt;</w:t>
    </w:r>
    <w:r w:rsidRPr="00520FCA">
      <w:tab/>
    </w:r>
    <w:r w:rsidRPr="00520FCA">
      <w:fldChar w:fldCharType="begin"/>
    </w:r>
    <w:r w:rsidRPr="00520FCA">
      <w:instrText xml:space="preserve"> PAGE  \* MERGEFORMAT </w:instrText>
    </w:r>
    <w:r w:rsidRPr="00520FCA">
      <w:fldChar w:fldCharType="separate"/>
    </w:r>
    <w:r w:rsidR="00D00964">
      <w:rPr>
        <w:noProof/>
      </w:rPr>
      <w:t>3</w:t>
    </w:r>
    <w:r w:rsidRPr="00520FCA">
      <w:fldChar w:fldCharType="end"/>
    </w:r>
    <w:r w:rsidRPr="00520FCA">
      <w:t>/</w:t>
    </w:r>
    <w:fldSimple w:instr=" NUMPAGES  \* MERGEFORMAT ">
      <w:r w:rsidR="00D00964">
        <w:rPr>
          <w:noProof/>
        </w:rPr>
        <w:t>7</w:t>
      </w:r>
    </w:fldSimple>
    <w:r w:rsidRPr="00520FCA">
      <w:tab/>
      <w:t>PE</w:t>
    </w:r>
    <w:r w:rsidRPr="00520FCA">
      <w:rPr>
        <w:rStyle w:val="HideTWBExt"/>
        <w:noProof w:val="0"/>
      </w:rPr>
      <w:t>&lt;NoPE&gt;</w:t>
    </w:r>
    <w:r w:rsidRPr="00520FCA">
      <w:t>692.613</w:t>
    </w:r>
    <w:r w:rsidRPr="00520FCA">
      <w:rPr>
        <w:rStyle w:val="HideTWBExt"/>
        <w:noProof w:val="0"/>
      </w:rPr>
      <w:t>&lt;/NoPE&gt;&lt;Version&gt;</w:t>
    </w:r>
    <w:r w:rsidRPr="00520FCA">
      <w:t>v01-00</w:t>
    </w:r>
    <w:r w:rsidRPr="00520FCA">
      <w:rPr>
        <w:rStyle w:val="HideTWBExt"/>
        <w:noProof w:val="0"/>
      </w:rPr>
      <w:t>&lt;/Version&gt;</w:t>
    </w:r>
  </w:p>
  <w:p w:rsidR="00302A66" w:rsidRPr="00520FCA" w:rsidRDefault="00803FAD" w:rsidP="00803FAD">
    <w:pPr>
      <w:pStyle w:val="EPFooter2"/>
    </w:pPr>
    <w:r w:rsidRPr="00520FCA">
      <w:tab/>
    </w:r>
    <w:r w:rsidRPr="00520FCA">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FAD" w:rsidRPr="00520FCA" w:rsidRDefault="00803FAD" w:rsidP="00803FAD">
    <w:pPr>
      <w:pStyle w:val="EPFooter"/>
    </w:pPr>
    <w:r w:rsidRPr="00520FCA">
      <w:rPr>
        <w:rStyle w:val="HideTWBExt"/>
        <w:noProof w:val="0"/>
      </w:rPr>
      <w:t>&lt;PathFdR&gt;</w:t>
    </w:r>
    <w:r w:rsidRPr="00520FCA">
      <w:t>PR\1230271LT.docx</w:t>
    </w:r>
    <w:r w:rsidRPr="00520FCA">
      <w:rPr>
        <w:rStyle w:val="HideTWBExt"/>
        <w:noProof w:val="0"/>
      </w:rPr>
      <w:t>&lt;/PathFdR&gt;</w:t>
    </w:r>
    <w:r w:rsidRPr="00520FCA">
      <w:tab/>
    </w:r>
    <w:r w:rsidRPr="00520FCA">
      <w:tab/>
      <w:t>PE</w:t>
    </w:r>
    <w:r w:rsidRPr="00520FCA">
      <w:rPr>
        <w:rStyle w:val="HideTWBExt"/>
        <w:noProof w:val="0"/>
      </w:rPr>
      <w:t>&lt;NoPE&gt;</w:t>
    </w:r>
    <w:r w:rsidRPr="00520FCA">
      <w:t>692.613</w:t>
    </w:r>
    <w:r w:rsidRPr="00520FCA">
      <w:rPr>
        <w:rStyle w:val="HideTWBExt"/>
        <w:noProof w:val="0"/>
      </w:rPr>
      <w:t>&lt;/NoPE&gt;&lt;Version&gt;</w:t>
    </w:r>
    <w:r w:rsidRPr="00520FCA">
      <w:t>v01-00</w:t>
    </w:r>
    <w:r w:rsidRPr="00520FCA">
      <w:rPr>
        <w:rStyle w:val="HideTWBExt"/>
        <w:noProof w:val="0"/>
      </w:rPr>
      <w:t>&lt;/Version&gt;</w:t>
    </w:r>
  </w:p>
  <w:p w:rsidR="00302A66" w:rsidRPr="00520FCA" w:rsidRDefault="00803FAD" w:rsidP="00803FAD">
    <w:pPr>
      <w:pStyle w:val="EPFooter2"/>
    </w:pPr>
    <w:r w:rsidRPr="00520FCA">
      <w:t>LT</w:t>
    </w:r>
    <w:r w:rsidRPr="00520FCA">
      <w:tab/>
    </w:r>
    <w:r w:rsidRPr="00520FCA">
      <w:rPr>
        <w:b w:val="0"/>
        <w:i/>
        <w:color w:val="C0C0C0"/>
        <w:sz w:val="22"/>
      </w:rPr>
      <w:t>Suvienijusi įvairovę</w:t>
    </w:r>
    <w:r w:rsidRPr="00520FCA">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A25" w:rsidRPr="00520FCA" w:rsidRDefault="00AD6A25">
      <w:r w:rsidRPr="00520FCA">
        <w:separator/>
      </w:r>
    </w:p>
  </w:footnote>
  <w:footnote w:type="continuationSeparator" w:id="0">
    <w:p w:rsidR="00AD6A25" w:rsidRPr="00520FCA" w:rsidRDefault="00AD6A25">
      <w:r w:rsidRPr="00520FCA">
        <w:continuationSeparator/>
      </w:r>
    </w:p>
  </w:footnote>
  <w:footnote w:id="1">
    <w:p w:rsidR="00314486" w:rsidRPr="00520FCA" w:rsidRDefault="00314486">
      <w:pPr>
        <w:pStyle w:val="FootnoteText"/>
      </w:pPr>
      <w:r>
        <w:rPr>
          <w:rStyle w:val="FootnoteReference"/>
        </w:rPr>
        <w:footnoteRef/>
      </w:r>
      <w:r>
        <w:t xml:space="preserve"> </w:t>
      </w:r>
      <w:r>
        <w:tab/>
        <w:t>Dar nepaskelbta Oficialiajame leidinyje.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1999" w:rsidRDefault="00BC19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1999" w:rsidRDefault="00BC19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1999" w:rsidRDefault="00BC19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PECH"/>
    <w:docVar w:name="CopyToNetwork" w:val="-1"/>
    <w:docVar w:name="DOCMNU" w:val=" 1"/>
    <w:docVar w:name="INSTITUTIONSMNU" w:val=" 2"/>
    <w:docVar w:name="JURI1MNU" w:val=" 2"/>
    <w:docVar w:name="JURI2MNU" w:val=" 2"/>
    <w:docVar w:name="LastEditedSection" w:val=" 1"/>
    <w:docVar w:name="PARLIAMENTSMNU" w:val=" 2"/>
    <w:docVar w:name="strSubDir" w:val="1230"/>
    <w:docVar w:name="TXTLANGUE" w:val="LT"/>
    <w:docVar w:name="TXTLANGUEMIN" w:val="lt"/>
    <w:docVar w:name="TXTNRC" w:val="0336/2020"/>
    <w:docVar w:name="TXTNRCOD" w:val="2020/0302"/>
    <w:docVar w:name="TXTNRCOM" w:val="(2020)0670"/>
    <w:docVar w:name="TXTNRPE" w:val="692.613"/>
    <w:docVar w:name="TXTPEorAP" w:val="PE"/>
    <w:docVar w:name="TXTROUTE" w:val="PR\1230271LT.docx"/>
    <w:docVar w:name="TXTTITLE" w:val="establishing a catch documentation programme for bluefin tuna (Thunnus thynnus) and repealing Regulation (EU) No 640/2010"/>
    <w:docVar w:name="TXTVERSION" w:val="01-00"/>
  </w:docVars>
  <w:rsids>
    <w:rsidRoot w:val="00AD6A25"/>
    <w:rsid w:val="00053B97"/>
    <w:rsid w:val="000B5585"/>
    <w:rsid w:val="000C3165"/>
    <w:rsid w:val="000C5EDC"/>
    <w:rsid w:val="000E3B2A"/>
    <w:rsid w:val="00104AEE"/>
    <w:rsid w:val="00164B9B"/>
    <w:rsid w:val="00182506"/>
    <w:rsid w:val="001907B9"/>
    <w:rsid w:val="001A06D8"/>
    <w:rsid w:val="001D3524"/>
    <w:rsid w:val="00260FAA"/>
    <w:rsid w:val="002A1CE3"/>
    <w:rsid w:val="002B272A"/>
    <w:rsid w:val="002C3187"/>
    <w:rsid w:val="00302A66"/>
    <w:rsid w:val="00314486"/>
    <w:rsid w:val="0031764E"/>
    <w:rsid w:val="003A53CE"/>
    <w:rsid w:val="003C5583"/>
    <w:rsid w:val="004078CB"/>
    <w:rsid w:val="0041661E"/>
    <w:rsid w:val="00433573"/>
    <w:rsid w:val="00490742"/>
    <w:rsid w:val="00490D5F"/>
    <w:rsid w:val="004B06A0"/>
    <w:rsid w:val="004B2D35"/>
    <w:rsid w:val="004D7B3B"/>
    <w:rsid w:val="004F67E3"/>
    <w:rsid w:val="00520FCA"/>
    <w:rsid w:val="00543B7B"/>
    <w:rsid w:val="005571A0"/>
    <w:rsid w:val="005663F7"/>
    <w:rsid w:val="00621F68"/>
    <w:rsid w:val="0065285A"/>
    <w:rsid w:val="007908B5"/>
    <w:rsid w:val="007D611D"/>
    <w:rsid w:val="00803FAD"/>
    <w:rsid w:val="00814B44"/>
    <w:rsid w:val="00837978"/>
    <w:rsid w:val="008663F8"/>
    <w:rsid w:val="008A07E3"/>
    <w:rsid w:val="008B26BF"/>
    <w:rsid w:val="008B5034"/>
    <w:rsid w:val="008E22DF"/>
    <w:rsid w:val="008E4B14"/>
    <w:rsid w:val="00913414"/>
    <w:rsid w:val="00972ED6"/>
    <w:rsid w:val="00A02CEA"/>
    <w:rsid w:val="00A40C66"/>
    <w:rsid w:val="00A43E6A"/>
    <w:rsid w:val="00A62C81"/>
    <w:rsid w:val="00A77E72"/>
    <w:rsid w:val="00AD26AD"/>
    <w:rsid w:val="00AD6A25"/>
    <w:rsid w:val="00AE4E74"/>
    <w:rsid w:val="00AF7573"/>
    <w:rsid w:val="00B37926"/>
    <w:rsid w:val="00B52B6C"/>
    <w:rsid w:val="00BA5740"/>
    <w:rsid w:val="00BB197B"/>
    <w:rsid w:val="00BC1999"/>
    <w:rsid w:val="00BD28D4"/>
    <w:rsid w:val="00BE1457"/>
    <w:rsid w:val="00BE4EC7"/>
    <w:rsid w:val="00BF6269"/>
    <w:rsid w:val="00C140AA"/>
    <w:rsid w:val="00C26F00"/>
    <w:rsid w:val="00C54859"/>
    <w:rsid w:val="00C61403"/>
    <w:rsid w:val="00C71A3C"/>
    <w:rsid w:val="00C82EBC"/>
    <w:rsid w:val="00D00964"/>
    <w:rsid w:val="00D1777C"/>
    <w:rsid w:val="00D919CF"/>
    <w:rsid w:val="00DC3DED"/>
    <w:rsid w:val="00DF6C13"/>
    <w:rsid w:val="00E1461E"/>
    <w:rsid w:val="00E21112"/>
    <w:rsid w:val="00E24902"/>
    <w:rsid w:val="00ED0609"/>
    <w:rsid w:val="00ED0821"/>
    <w:rsid w:val="00F0202A"/>
    <w:rsid w:val="00F31E31"/>
    <w:rsid w:val="00FC479A"/>
    <w:rsid w:val="00FD732D"/>
    <w:rsid w:val="00FF2A5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B852726-56CF-4ACB-AEFE-A972B5E9E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558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37978"/>
    <w:pPr>
      <w:spacing w:before="480" w:after="240"/>
    </w:pPr>
  </w:style>
  <w:style w:type="paragraph" w:styleId="TOC1">
    <w:name w:val="toc 1"/>
    <w:basedOn w:val="Normal"/>
    <w:next w:val="Normal"/>
    <w:autoRedefine/>
    <w:uiPriority w:val="39"/>
    <w:rsid w:val="008E4B14"/>
    <w:pPr>
      <w:spacing w:after="240"/>
    </w:pPr>
  </w:style>
  <w:style w:type="paragraph" w:styleId="TOCHeading">
    <w:name w:val="TOC Heading"/>
    <w:basedOn w:val="Normal"/>
    <w:next w:val="TOCPage"/>
    <w:qFormat/>
    <w:rsid w:val="00FF2A53"/>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53B97"/>
    <w:pPr>
      <w:spacing w:before="80" w:after="80"/>
    </w:pPr>
    <w:rPr>
      <w:rFonts w:ascii="Arial Narrow" w:hAnsi="Arial Narrow" w:cs="Arial"/>
      <w:b/>
      <w:sz w:val="32"/>
      <w:szCs w:val="22"/>
    </w:rPr>
  </w:style>
  <w:style w:type="paragraph" w:customStyle="1" w:styleId="CoverNormal24a">
    <w:name w:val="CoverNormal24a"/>
    <w:basedOn w:val="Normal"/>
    <w:rsid w:val="00D1777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5285A"/>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1777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64B9B"/>
    <w:pPr>
      <w:tabs>
        <w:tab w:val="center" w:pos="4513"/>
        <w:tab w:val="right" w:pos="9026"/>
      </w:tabs>
    </w:pPr>
  </w:style>
  <w:style w:type="table" w:styleId="TableGrid">
    <w:name w:val="Table Grid"/>
    <w:basedOn w:val="TableNormal"/>
    <w:rsid w:val="00C71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1A3C"/>
    <w:pPr>
      <w:jc w:val="center"/>
    </w:pPr>
    <w:rPr>
      <w:rFonts w:ascii="Arial" w:hAnsi="Arial" w:cs="Arial"/>
      <w:i/>
      <w:sz w:val="22"/>
      <w:szCs w:val="22"/>
    </w:rPr>
  </w:style>
  <w:style w:type="paragraph" w:customStyle="1" w:styleId="LineTop">
    <w:name w:val="LineTop"/>
    <w:basedOn w:val="Normal"/>
    <w:next w:val="Normal"/>
    <w:rsid w:val="00C71A3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1A3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53B97"/>
    <w:pPr>
      <w:spacing w:after="80"/>
    </w:pPr>
    <w:rPr>
      <w:rFonts w:ascii="Arial" w:hAnsi="Arial" w:cs="Arial"/>
      <w:sz w:val="20"/>
      <w:szCs w:val="22"/>
    </w:rPr>
  </w:style>
  <w:style w:type="paragraph" w:customStyle="1" w:styleId="EPLogo">
    <w:name w:val="EPLogo"/>
    <w:basedOn w:val="Normal"/>
    <w:qFormat/>
    <w:rsid w:val="00053B97"/>
    <w:pPr>
      <w:jc w:val="right"/>
    </w:pPr>
  </w:style>
  <w:style w:type="paragraph" w:customStyle="1" w:styleId="EPFooter">
    <w:name w:val="EPFooter"/>
    <w:basedOn w:val="Normal"/>
    <w:rsid w:val="00D1777C"/>
    <w:pPr>
      <w:tabs>
        <w:tab w:val="center" w:pos="4535"/>
        <w:tab w:val="right" w:pos="9071"/>
      </w:tabs>
      <w:spacing w:before="240" w:after="240"/>
    </w:pPr>
    <w:rPr>
      <w:color w:val="010000"/>
      <w:sz w:val="22"/>
    </w:rPr>
  </w:style>
  <w:style w:type="character" w:styleId="PageNumber">
    <w:name w:val="page number"/>
    <w:basedOn w:val="DefaultParagraphFont"/>
    <w:semiHidden/>
    <w:rsid w:val="00913414"/>
  </w:style>
  <w:style w:type="character" w:customStyle="1" w:styleId="HeaderChar">
    <w:name w:val="Header Char"/>
    <w:basedOn w:val="DefaultParagraphFont"/>
    <w:link w:val="Header"/>
    <w:semiHidden/>
    <w:rsid w:val="00164B9B"/>
    <w:rPr>
      <w:sz w:val="24"/>
    </w:rPr>
  </w:style>
  <w:style w:type="paragraph" w:customStyle="1" w:styleId="Lgendesigne">
    <w:name w:val="Légende signe"/>
    <w:basedOn w:val="Normal"/>
    <w:rsid w:val="000C3165"/>
    <w:pPr>
      <w:tabs>
        <w:tab w:val="right" w:pos="454"/>
        <w:tab w:val="left" w:pos="737"/>
      </w:tabs>
      <w:ind w:left="737" w:hanging="737"/>
    </w:pPr>
    <w:rPr>
      <w:snapToGrid w:val="0"/>
      <w:sz w:val="18"/>
      <w:lang w:eastAsia="en-US"/>
    </w:rPr>
  </w:style>
  <w:style w:type="paragraph" w:customStyle="1" w:styleId="Lgendetitre">
    <w:name w:val="Légende titre"/>
    <w:basedOn w:val="Normal"/>
    <w:rsid w:val="000C3165"/>
    <w:pPr>
      <w:spacing w:before="240" w:after="240"/>
    </w:pPr>
    <w:rPr>
      <w:b/>
      <w:i/>
      <w:snapToGrid w:val="0"/>
      <w:lang w:eastAsia="en-US"/>
    </w:rPr>
  </w:style>
  <w:style w:type="paragraph" w:customStyle="1" w:styleId="Lgendestandard">
    <w:name w:val="Légende standard"/>
    <w:basedOn w:val="Normal"/>
    <w:rsid w:val="000C3165"/>
    <w:rPr>
      <w:sz w:val="18"/>
    </w:rPr>
  </w:style>
  <w:style w:type="paragraph" w:customStyle="1" w:styleId="Normal12Hanging">
    <w:name w:val="Normal12Hanging"/>
    <w:basedOn w:val="Normal"/>
    <w:rsid w:val="000C3165"/>
    <w:pPr>
      <w:spacing w:after="240"/>
      <w:ind w:left="567" w:hanging="567"/>
    </w:pPr>
  </w:style>
  <w:style w:type="paragraph" w:styleId="Footer">
    <w:name w:val="footer"/>
    <w:basedOn w:val="Normal"/>
    <w:link w:val="FooterChar"/>
    <w:semiHidden/>
    <w:rsid w:val="000C3165"/>
    <w:pPr>
      <w:tabs>
        <w:tab w:val="center" w:pos="4513"/>
        <w:tab w:val="right" w:pos="9026"/>
      </w:tabs>
    </w:pPr>
  </w:style>
  <w:style w:type="character" w:customStyle="1" w:styleId="FooterChar">
    <w:name w:val="Footer Char"/>
    <w:basedOn w:val="DefaultParagraphFont"/>
    <w:link w:val="Footer"/>
    <w:semiHidden/>
    <w:rsid w:val="000C3165"/>
    <w:rPr>
      <w:sz w:val="24"/>
    </w:rPr>
  </w:style>
  <w:style w:type="paragraph" w:styleId="BalloonText">
    <w:name w:val="Balloon Text"/>
    <w:basedOn w:val="Normal"/>
    <w:link w:val="BalloonTextChar"/>
    <w:semiHidden/>
    <w:unhideWhenUsed/>
    <w:rsid w:val="00314486"/>
    <w:rPr>
      <w:rFonts w:ascii="Segoe UI" w:hAnsi="Segoe UI" w:cs="Segoe UI"/>
      <w:sz w:val="18"/>
      <w:szCs w:val="18"/>
    </w:rPr>
  </w:style>
  <w:style w:type="character" w:customStyle="1" w:styleId="BalloonTextChar">
    <w:name w:val="Balloon Text Char"/>
    <w:basedOn w:val="DefaultParagraphFont"/>
    <w:link w:val="BalloonText"/>
    <w:semiHidden/>
    <w:rsid w:val="00314486"/>
    <w:rPr>
      <w:rFonts w:ascii="Segoe UI" w:hAnsi="Segoe UI" w:cs="Segoe UI"/>
      <w:sz w:val="18"/>
      <w:szCs w:val="18"/>
    </w:rPr>
  </w:style>
  <w:style w:type="paragraph" w:styleId="FootnoteText">
    <w:name w:val="footnote text"/>
    <w:basedOn w:val="Normal"/>
    <w:link w:val="FootnoteTextChar"/>
    <w:rsid w:val="00314486"/>
    <w:rPr>
      <w:sz w:val="20"/>
    </w:rPr>
  </w:style>
  <w:style w:type="character" w:customStyle="1" w:styleId="FootnoteTextChar">
    <w:name w:val="Footnote Text Char"/>
    <w:basedOn w:val="DefaultParagraphFont"/>
    <w:link w:val="FootnoteText"/>
    <w:rsid w:val="00314486"/>
  </w:style>
  <w:style w:type="character" w:styleId="FootnoteReference">
    <w:name w:val="footnote reference"/>
    <w:basedOn w:val="DefaultParagraphFont"/>
    <w:rsid w:val="003144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C3A0FF-976B-4D31-AF6E-5C90A8558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837</Words>
  <Characters>6189</Characters>
  <Application>Microsoft Office Word</Application>
  <DocSecurity>0</DocSecurity>
  <Lines>158</Lines>
  <Paragraphs>69</Paragraphs>
  <ScaleCrop>false</ScaleCrop>
  <HeadingPairs>
    <vt:vector size="2" baseType="variant">
      <vt:variant>
        <vt:lpstr>Title</vt:lpstr>
      </vt:variant>
      <vt:variant>
        <vt:i4>1</vt:i4>
      </vt:variant>
    </vt:vector>
  </HeadingPairs>
  <TitlesOfParts>
    <vt:vector size="1" baseType="lpstr">
      <vt:lpstr>PR_COD_1app</vt:lpstr>
    </vt:vector>
  </TitlesOfParts>
  <Company/>
  <LinksUpToDate>false</LinksUpToDate>
  <CharactersWithSpaces>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PR_COD_1app</dc:title>
  <dc:subject/>
  <dc:creator>BARSTYTE Lina</dc:creator>
  <cp:keywords/>
  <dc:description/>
  <cp:lastModifiedBy>VAITIEKUTE Simona</cp:lastModifiedBy>
  <cp:revision>2</cp:revision>
  <cp:lastPrinted>2004-11-04T10:10:00Z</cp:lastPrinted>
  <dcterms:created xsi:type="dcterms:W3CDTF">2021-05-18T08:23:00Z</dcterms:created>
  <dcterms:modified xsi:type="dcterms:W3CDTF">2021-05-18T08:23:00Z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9.9.1 Build [20200705]</vt:lpwstr>
  </property>
  <property fmtid="{D5CDD505-2E9C-101B-9397-08002B2CF9AE}" pid="3" name="LastEdited with">
    <vt:lpwstr>9.9.1 Build [20200705]</vt:lpwstr>
  </property>
  <property fmtid="{D5CDD505-2E9C-101B-9397-08002B2CF9AE}" pid="4" name="&lt;FdR&gt;">
    <vt:lpwstr>1230271</vt:lpwstr>
  </property>
  <property fmtid="{D5CDD505-2E9C-101B-9397-08002B2CF9AE}" pid="5" name="&lt;Type&gt;">
    <vt:lpwstr>PR</vt:lpwstr>
  </property>
  <property fmtid="{D5CDD505-2E9C-101B-9397-08002B2CF9AE}" pid="6" name="&lt;ModelCod&gt;">
    <vt:lpwstr>\\eiciBRUpr1\pdocep$\DocEP\DOCS\General\PR\PR_Leg\COD\COD_1st\PR_COD_1app.dotx(17/04/2020 19:27:09)</vt:lpwstr>
  </property>
  <property fmtid="{D5CDD505-2E9C-101B-9397-08002B2CF9AE}" pid="7" name="&lt;ModelTra&gt;">
    <vt:lpwstr>\\eiciBRUpr1\pdocep$\DocEP\TRANSFIL\EN\PR_COD_1app.EN(07/09/2020 19:06:27)</vt:lpwstr>
  </property>
  <property fmtid="{D5CDD505-2E9C-101B-9397-08002B2CF9AE}" pid="8" name="&lt;Model&gt;">
    <vt:lpwstr>PR_COD_1app</vt:lpwstr>
  </property>
  <property fmtid="{D5CDD505-2E9C-101B-9397-08002B2CF9AE}" pid="9" name="FooterPath">
    <vt:lpwstr>PR\1230271LT.docx</vt:lpwstr>
  </property>
  <property fmtid="{D5CDD505-2E9C-101B-9397-08002B2CF9AE}" pid="10" name="PE number">
    <vt:lpwstr>692.613</vt:lpwstr>
  </property>
  <property fmtid="{D5CDD505-2E9C-101B-9397-08002B2CF9AE}" pid="11" name="SendToEpades">
    <vt:lpwstr>OK - 2021/04/29 11:11</vt:lpwstr>
  </property>
  <property fmtid="{D5CDD505-2E9C-101B-9397-08002B2CF9AE}" pid="12" name="Bookout">
    <vt:lpwstr>OK - 2021/05/18 10:23</vt:lpwstr>
  </property>
  <property fmtid="{D5CDD505-2E9C-101B-9397-08002B2CF9AE}" pid="13" name="SDLStudio">
    <vt:lpwstr/>
  </property>
  <property fmtid="{D5CDD505-2E9C-101B-9397-08002B2CF9AE}" pid="14" name="&lt;Extension&gt;">
    <vt:lpwstr>LT</vt:lpwstr>
  </property>
</Properties>
</file>