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7815" w:rsidRPr="00BC61C8" w:rsidTr="00905B76">
        <w:trPr>
          <w:trHeight w:hRule="exact" w:val="1418"/>
        </w:trPr>
        <w:tc>
          <w:tcPr>
            <w:tcW w:w="6804" w:type="dxa"/>
            <w:shd w:val="clear" w:color="auto" w:fill="auto"/>
            <w:vAlign w:val="center"/>
          </w:tcPr>
          <w:p w:rsidR="00E21112" w:rsidRPr="00BC61C8" w:rsidRDefault="005B559B" w:rsidP="00905B76">
            <w:pPr>
              <w:pStyle w:val="EPName"/>
            </w:pPr>
            <w:bookmarkStart w:id="0" w:name="_GoBack"/>
            <w:bookmarkEnd w:id="0"/>
            <w:r w:rsidRPr="00BC61C8">
              <w:t>Europees Parlement</w:t>
            </w:r>
          </w:p>
          <w:p w:rsidR="00E21112" w:rsidRPr="00BC61C8" w:rsidRDefault="005B559B" w:rsidP="00905B76">
            <w:pPr>
              <w:pStyle w:val="EPTerm"/>
            </w:pPr>
            <w:r w:rsidRPr="00BC61C8">
              <w:t>2019-2024</w:t>
            </w:r>
          </w:p>
        </w:tc>
        <w:tc>
          <w:tcPr>
            <w:tcW w:w="2268" w:type="dxa"/>
            <w:shd w:val="clear" w:color="auto" w:fill="auto"/>
          </w:tcPr>
          <w:p w:rsidR="00E21112" w:rsidRPr="00BC61C8" w:rsidRDefault="005B559B" w:rsidP="00905B76">
            <w:pPr>
              <w:pStyle w:val="EPLogo"/>
            </w:pPr>
            <w:r w:rsidRPr="00BC61C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8514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21112" w:rsidRPr="00BC61C8" w:rsidRDefault="00E21112" w:rsidP="00E21112">
      <w:pPr>
        <w:pStyle w:val="LineTop"/>
      </w:pPr>
    </w:p>
    <w:p w:rsidR="00E21112" w:rsidRPr="00BC61C8" w:rsidRDefault="005B559B" w:rsidP="00E21112">
      <w:pPr>
        <w:pStyle w:val="EPBody"/>
      </w:pPr>
      <w:r w:rsidRPr="00BC61C8">
        <w:rPr>
          <w:rStyle w:val="HideTWBExt"/>
          <w:noProof w:val="0"/>
        </w:rPr>
        <w:t>&lt;</w:t>
      </w:r>
      <w:r w:rsidRPr="00BC61C8">
        <w:rPr>
          <w:rStyle w:val="HideTWBExt"/>
          <w:i w:val="0"/>
          <w:noProof w:val="0"/>
        </w:rPr>
        <w:t>Commission</w:t>
      </w:r>
      <w:r w:rsidRPr="00BC61C8">
        <w:rPr>
          <w:rStyle w:val="HideTWBExt"/>
          <w:noProof w:val="0"/>
        </w:rPr>
        <w:t>&gt;</w:t>
      </w:r>
      <w:r w:rsidRPr="00BC61C8">
        <w:rPr>
          <w:rStyle w:val="HideTWBInt"/>
          <w:color w:val="auto"/>
        </w:rPr>
        <w:t>{PECH}</w:t>
      </w:r>
      <w:r w:rsidRPr="00BC61C8">
        <w:t>Commissie visserij</w:t>
      </w:r>
      <w:r w:rsidRPr="00BC61C8">
        <w:rPr>
          <w:rStyle w:val="HideTWBExt"/>
          <w:noProof w:val="0"/>
        </w:rPr>
        <w:t>&lt;/</w:t>
      </w:r>
      <w:r w:rsidRPr="00BC61C8">
        <w:rPr>
          <w:rStyle w:val="HideTWBExt"/>
          <w:i w:val="0"/>
          <w:noProof w:val="0"/>
        </w:rPr>
        <w:t>Commission</w:t>
      </w:r>
      <w:r w:rsidRPr="00BC61C8">
        <w:rPr>
          <w:rStyle w:val="HideTWBExt"/>
          <w:noProof w:val="0"/>
        </w:rPr>
        <w:t>&gt;</w:t>
      </w:r>
    </w:p>
    <w:p w:rsidR="00E21112" w:rsidRPr="00BC61C8" w:rsidRDefault="00E21112" w:rsidP="00E21112">
      <w:pPr>
        <w:pStyle w:val="LineBottom"/>
      </w:pPr>
    </w:p>
    <w:p w:rsidR="00E21112" w:rsidRPr="00BC61C8" w:rsidRDefault="005B559B" w:rsidP="00E21112">
      <w:pPr>
        <w:pStyle w:val="CoverReference"/>
      </w:pPr>
      <w:r w:rsidRPr="00BC61C8">
        <w:rPr>
          <w:rStyle w:val="HideTWBExt"/>
          <w:b w:val="0"/>
          <w:noProof w:val="0"/>
        </w:rPr>
        <w:t>&lt;RefProc&gt;</w:t>
      </w:r>
      <w:r w:rsidRPr="00BC61C8">
        <w:t>2020/0302</w:t>
      </w:r>
      <w:r w:rsidRPr="00BC61C8">
        <w:rPr>
          <w:rStyle w:val="HideTWBExt"/>
          <w:b w:val="0"/>
          <w:noProof w:val="0"/>
        </w:rPr>
        <w:t>&lt;/RefProc&gt;&lt;RefTypeProc&gt;</w:t>
      </w:r>
      <w:r w:rsidRPr="00BC61C8">
        <w:t>(COD)</w:t>
      </w:r>
      <w:r w:rsidRPr="00BC61C8">
        <w:rPr>
          <w:rStyle w:val="HideTWBExt"/>
          <w:b w:val="0"/>
          <w:noProof w:val="0"/>
        </w:rPr>
        <w:t>&lt;/RefTypeProc&gt;</w:t>
      </w:r>
    </w:p>
    <w:p w:rsidR="00E21112" w:rsidRPr="00BC61C8" w:rsidRDefault="005B559B" w:rsidP="00E21112">
      <w:pPr>
        <w:pStyle w:val="CoverDate"/>
      </w:pPr>
      <w:r w:rsidRPr="00BC61C8">
        <w:rPr>
          <w:rStyle w:val="HideTWBExt"/>
          <w:noProof w:val="0"/>
        </w:rPr>
        <w:t>&lt;Date&gt;</w:t>
      </w:r>
      <w:r w:rsidRPr="00BC61C8">
        <w:rPr>
          <w:rStyle w:val="HideTWBInt"/>
          <w:color w:val="auto"/>
        </w:rPr>
        <w:t>{29/04/2021}</w:t>
      </w:r>
      <w:r w:rsidRPr="00BC61C8">
        <w:t>29.4.2021</w:t>
      </w:r>
      <w:r w:rsidRPr="00BC61C8">
        <w:rPr>
          <w:rStyle w:val="HideTWBExt"/>
          <w:noProof w:val="0"/>
        </w:rPr>
        <w:t>&lt;/Date&gt;</w:t>
      </w:r>
    </w:p>
    <w:p w:rsidR="00E21112" w:rsidRPr="00BC61C8" w:rsidRDefault="005B559B" w:rsidP="00E21112">
      <w:pPr>
        <w:pStyle w:val="CoverDocType"/>
      </w:pPr>
      <w:r w:rsidRPr="00BC61C8">
        <w:rPr>
          <w:rStyle w:val="HideTWBExt"/>
          <w:b w:val="0"/>
          <w:noProof w:val="0"/>
        </w:rPr>
        <w:t>&lt;RefProcLect&gt;</w:t>
      </w:r>
      <w:r w:rsidRPr="00BC61C8">
        <w:t>***I</w:t>
      </w:r>
      <w:r w:rsidRPr="00BC61C8">
        <w:rPr>
          <w:rStyle w:val="HideTWBExt"/>
          <w:b w:val="0"/>
          <w:noProof w:val="0"/>
        </w:rPr>
        <w:t>&lt;/RefProcLect&gt;</w:t>
      </w:r>
    </w:p>
    <w:p w:rsidR="00E21112" w:rsidRPr="00BC61C8" w:rsidRDefault="005B559B" w:rsidP="00E21112">
      <w:pPr>
        <w:pStyle w:val="CoverDocType24a"/>
      </w:pPr>
      <w:r w:rsidRPr="00BC61C8">
        <w:rPr>
          <w:rStyle w:val="HideTWBExt"/>
          <w:b w:val="0"/>
          <w:noProof w:val="0"/>
        </w:rPr>
        <w:t>&lt;TitreType&gt;</w:t>
      </w:r>
      <w:r w:rsidRPr="00BC61C8">
        <w:t>ONTWERPVERSLAG</w:t>
      </w:r>
      <w:r w:rsidRPr="00BC61C8">
        <w:rPr>
          <w:rStyle w:val="HideTWBExt"/>
          <w:b w:val="0"/>
          <w:noProof w:val="0"/>
        </w:rPr>
        <w:t>&lt;/TitreType&gt;</w:t>
      </w:r>
    </w:p>
    <w:p w:rsidR="00E21112" w:rsidRPr="00BC61C8" w:rsidRDefault="005B559B" w:rsidP="00E21112">
      <w:pPr>
        <w:pStyle w:val="CoverNormal"/>
      </w:pPr>
      <w:r w:rsidRPr="00BC61C8">
        <w:rPr>
          <w:rStyle w:val="HideTWBExt"/>
          <w:noProof w:val="0"/>
        </w:rPr>
        <w:t>&lt;Titre&gt;</w:t>
      </w:r>
      <w:r w:rsidRPr="00BC61C8">
        <w:t>over het voorstel voor een verordening van het Europees Parlement en de Raad tot vaststelling van een vangstdocumentatieprogramma voor blauwvintonijn (Thunnus thynnus) en tot intrekking van Verordening (EU) nr. 640/2010</w:t>
      </w:r>
      <w:r w:rsidRPr="00BC61C8">
        <w:rPr>
          <w:rStyle w:val="HideTWBExt"/>
          <w:noProof w:val="0"/>
        </w:rPr>
        <w:t>&lt;/Titre&gt;</w:t>
      </w:r>
    </w:p>
    <w:p w:rsidR="00E21112" w:rsidRPr="00BC61C8" w:rsidRDefault="005B559B" w:rsidP="00E21112">
      <w:pPr>
        <w:pStyle w:val="CoverNormal24a"/>
      </w:pPr>
      <w:r w:rsidRPr="00BC61C8">
        <w:rPr>
          <w:rStyle w:val="HideTWBExt"/>
          <w:noProof w:val="0"/>
        </w:rPr>
        <w:t>&lt;DocRef&gt;</w:t>
      </w:r>
      <w:r w:rsidRPr="00BC61C8">
        <w:t>(COM(2020)0670 – C9</w:t>
      </w:r>
      <w:r w:rsidRPr="00BC61C8">
        <w:noBreakHyphen/>
        <w:t>0336/2020 – 2020/0302(COD))</w:t>
      </w:r>
      <w:r w:rsidRPr="00BC61C8">
        <w:rPr>
          <w:rStyle w:val="HideTWBExt"/>
          <w:noProof w:val="0"/>
        </w:rPr>
        <w:t>&lt;/DocRef&gt;</w:t>
      </w:r>
    </w:p>
    <w:p w:rsidR="00E21112" w:rsidRPr="00BC61C8" w:rsidRDefault="005B559B" w:rsidP="00E21112">
      <w:pPr>
        <w:pStyle w:val="CoverNormal24a"/>
      </w:pPr>
      <w:r w:rsidRPr="00BC61C8">
        <w:rPr>
          <w:rStyle w:val="HideTWBExt"/>
          <w:noProof w:val="0"/>
        </w:rPr>
        <w:t>&lt;Commission&gt;</w:t>
      </w:r>
      <w:r w:rsidRPr="00BC61C8">
        <w:rPr>
          <w:rStyle w:val="HideTWBInt"/>
          <w:color w:val="auto"/>
        </w:rPr>
        <w:t>{PECH}</w:t>
      </w:r>
      <w:r w:rsidRPr="00BC61C8">
        <w:t>Commissie visserij</w:t>
      </w:r>
      <w:r w:rsidRPr="00BC61C8">
        <w:rPr>
          <w:rStyle w:val="HideTWBExt"/>
          <w:noProof w:val="0"/>
        </w:rPr>
        <w:t>&lt;/Commission&gt;</w:t>
      </w:r>
    </w:p>
    <w:p w:rsidR="00E21112" w:rsidRPr="00BC61C8" w:rsidRDefault="005B559B" w:rsidP="00E21112">
      <w:pPr>
        <w:pStyle w:val="CoverNormal24a"/>
      </w:pPr>
      <w:r w:rsidRPr="00BC61C8">
        <w:t xml:space="preserve">Rapporteur: </w:t>
      </w:r>
      <w:r w:rsidRPr="00BC61C8">
        <w:rPr>
          <w:rStyle w:val="HideTWBExt"/>
          <w:noProof w:val="0"/>
        </w:rPr>
        <w:t>&lt;Depute&gt;</w:t>
      </w:r>
      <w:r w:rsidRPr="00BC61C8">
        <w:t>Gabriel Mato</w:t>
      </w:r>
      <w:r w:rsidRPr="00BC61C8">
        <w:rPr>
          <w:rStyle w:val="HideTWBExt"/>
          <w:noProof w:val="0"/>
        </w:rPr>
        <w:t>&lt;/Depute&gt;</w:t>
      </w:r>
    </w:p>
    <w:p w:rsidR="00E21112" w:rsidRPr="00BC61C8" w:rsidRDefault="005B559B" w:rsidP="00E21112">
      <w:pPr>
        <w:pStyle w:val="CoverNormal"/>
      </w:pPr>
      <w:r w:rsidRPr="00BC61C8">
        <w:t>(Vereenvoudigde procedure – Artikel 52, lid 1, van het Reglement)</w:t>
      </w:r>
    </w:p>
    <w:p w:rsidR="00E21112" w:rsidRPr="00BC61C8" w:rsidRDefault="005B559B" w:rsidP="00E21112">
      <w:r w:rsidRPr="00BC61C8">
        <w:br w:type="page"/>
      </w:r>
      <w:r w:rsidR="00155AE8" w:rsidRPr="00BC61C8">
        <w:lastRenderedPageBreak/>
        <w:fldChar w:fldCharType="begin"/>
      </w:r>
      <w:r w:rsidRPr="00BC61C8">
        <w:instrText xml:space="preserve"> TITLE  \* MERGEFORMAT </w:instrText>
      </w:r>
      <w:r w:rsidR="00155AE8" w:rsidRPr="00BC61C8">
        <w:fldChar w:fldCharType="separate"/>
      </w:r>
      <w:r>
        <w:t>PR_COD_1app</w:t>
      </w:r>
      <w:r w:rsidR="00155AE8" w:rsidRPr="00BC61C8">
        <w:fldChar w:fldCharType="end"/>
      </w:r>
    </w:p>
    <w:p w:rsidR="00E21112" w:rsidRPr="00BC61C8" w:rsidRDefault="00E21112" w:rsidP="00E21112"/>
    <w:p w:rsidR="00E21112" w:rsidRPr="00BC61C8" w:rsidRDefault="00E21112" w:rsidP="00E2111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C7815" w:rsidRPr="00BC61C8" w:rsidTr="00905B76">
        <w:tc>
          <w:tcPr>
            <w:tcW w:w="5811" w:type="dxa"/>
          </w:tcPr>
          <w:p w:rsidR="00E21112" w:rsidRPr="00BC61C8" w:rsidRDefault="005B559B" w:rsidP="00905B76">
            <w:pPr>
              <w:pStyle w:val="Lgendetitre"/>
            </w:pPr>
            <w:r w:rsidRPr="00BC61C8">
              <w:t>Verklaring van de gebruikte tekens</w:t>
            </w:r>
          </w:p>
        </w:tc>
      </w:tr>
      <w:tr w:rsidR="00CC7815" w:rsidRPr="00BC61C8" w:rsidTr="00905B76">
        <w:trPr>
          <w:cantSplit/>
          <w:trHeight w:val="1807"/>
        </w:trPr>
        <w:tc>
          <w:tcPr>
            <w:tcW w:w="5811" w:type="dxa"/>
            <w:tcBorders>
              <w:bottom w:val="single" w:sz="4" w:space="0" w:color="auto"/>
            </w:tcBorders>
          </w:tcPr>
          <w:p w:rsidR="00E21112" w:rsidRPr="00BC61C8" w:rsidRDefault="005B559B" w:rsidP="00905B76">
            <w:pPr>
              <w:pStyle w:val="Lgendesigne"/>
            </w:pPr>
            <w:r w:rsidRPr="00BC61C8">
              <w:tab/>
              <w:t>*</w:t>
            </w:r>
            <w:r w:rsidRPr="00BC61C8">
              <w:tab/>
              <w:t>Raadplegingsprocedure</w:t>
            </w:r>
          </w:p>
          <w:p w:rsidR="00E21112" w:rsidRPr="00BC61C8" w:rsidRDefault="005B559B" w:rsidP="00905B76">
            <w:pPr>
              <w:pStyle w:val="Lgendesigne"/>
            </w:pPr>
            <w:r w:rsidRPr="00BC61C8">
              <w:tab/>
              <w:t>***</w:t>
            </w:r>
            <w:r w:rsidRPr="00BC61C8">
              <w:tab/>
              <w:t>Goedkeuringsprocedure</w:t>
            </w:r>
          </w:p>
          <w:p w:rsidR="00E21112" w:rsidRPr="00BC61C8" w:rsidRDefault="005B559B" w:rsidP="00905B76">
            <w:pPr>
              <w:pStyle w:val="Lgendesigne"/>
            </w:pPr>
            <w:r w:rsidRPr="00BC61C8">
              <w:tab/>
              <w:t>***I</w:t>
            </w:r>
            <w:r w:rsidRPr="00BC61C8">
              <w:tab/>
              <w:t>Gewone wetgevingsprocedure (eerste lezing)</w:t>
            </w:r>
          </w:p>
          <w:p w:rsidR="00E21112" w:rsidRPr="00BC61C8" w:rsidRDefault="005B559B" w:rsidP="00905B76">
            <w:pPr>
              <w:pStyle w:val="Lgendesigne"/>
            </w:pPr>
            <w:r w:rsidRPr="00BC61C8">
              <w:tab/>
              <w:t>***II</w:t>
            </w:r>
            <w:r w:rsidRPr="00BC61C8">
              <w:tab/>
              <w:t>Gewone wetgevingsprocedure (tweede lezing)</w:t>
            </w:r>
          </w:p>
          <w:p w:rsidR="00E21112" w:rsidRPr="00BC61C8" w:rsidRDefault="005B559B" w:rsidP="00905B76">
            <w:pPr>
              <w:pStyle w:val="Lgendesigne"/>
            </w:pPr>
            <w:r w:rsidRPr="00BC61C8">
              <w:tab/>
              <w:t>***III</w:t>
            </w:r>
            <w:r w:rsidRPr="00BC61C8">
              <w:tab/>
              <w:t>Gewone wetgevingsprocedure (derde lezing)</w:t>
            </w:r>
          </w:p>
          <w:p w:rsidR="00E21112" w:rsidRPr="00BC61C8" w:rsidRDefault="00E21112" w:rsidP="00905B76">
            <w:pPr>
              <w:pStyle w:val="Lgendestandard"/>
            </w:pPr>
          </w:p>
          <w:p w:rsidR="00E21112" w:rsidRPr="00BC61C8" w:rsidRDefault="005B559B" w:rsidP="00905B76">
            <w:pPr>
              <w:pStyle w:val="Lgendestandard"/>
            </w:pPr>
            <w:r w:rsidRPr="00BC61C8">
              <w:t xml:space="preserve">(De aangeduide </w:t>
            </w:r>
            <w:r w:rsidRPr="00BC61C8">
              <w:t>procedure is gebaseerd op de in de ontwerptekst voorgestelde rechtsgrond.)</w:t>
            </w:r>
          </w:p>
          <w:p w:rsidR="00E21112" w:rsidRPr="00BC61C8" w:rsidRDefault="00E21112" w:rsidP="00905B76">
            <w:pPr>
              <w:pStyle w:val="Lgendestandard"/>
            </w:pPr>
          </w:p>
        </w:tc>
      </w:tr>
    </w:tbl>
    <w:p w:rsidR="00E21112" w:rsidRPr="00BC61C8" w:rsidRDefault="00E21112" w:rsidP="00E21112"/>
    <w:p w:rsidR="00E21112" w:rsidRPr="00BC61C8" w:rsidRDefault="00E21112" w:rsidP="00E21112"/>
    <w:p w:rsidR="00E21112" w:rsidRPr="00BC61C8" w:rsidRDefault="00E21112" w:rsidP="00E21112"/>
    <w:p w:rsidR="00E21112" w:rsidRPr="00BC61C8"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C7815" w:rsidRPr="00BC61C8" w:rsidTr="00905B76">
        <w:tc>
          <w:tcPr>
            <w:tcW w:w="5811" w:type="dxa"/>
          </w:tcPr>
          <w:p w:rsidR="00E21112" w:rsidRPr="00BC61C8" w:rsidRDefault="005B559B" w:rsidP="00905B76">
            <w:pPr>
              <w:pStyle w:val="Lgendetitre"/>
            </w:pPr>
            <w:r w:rsidRPr="00BC61C8">
              <w:t>Amendementen op een ontwerphandeling</w:t>
            </w:r>
          </w:p>
        </w:tc>
      </w:tr>
      <w:tr w:rsidR="00CC7815" w:rsidRPr="00BC61C8" w:rsidTr="00905B76">
        <w:trPr>
          <w:trHeight w:val="4496"/>
        </w:trPr>
        <w:tc>
          <w:tcPr>
            <w:tcW w:w="5811" w:type="dxa"/>
          </w:tcPr>
          <w:p w:rsidR="00E21112" w:rsidRPr="00BC61C8" w:rsidRDefault="005B559B" w:rsidP="00905B76">
            <w:pPr>
              <w:pStyle w:val="Lgendestandard"/>
              <w:rPr>
                <w:szCs w:val="24"/>
              </w:rPr>
            </w:pPr>
            <w:r w:rsidRPr="00BC61C8">
              <w:rPr>
                <w:b/>
              </w:rPr>
              <w:t>Amendementen van het Parlement in twee kolommen</w:t>
            </w:r>
          </w:p>
          <w:p w:rsidR="00E21112" w:rsidRPr="00BC61C8" w:rsidRDefault="00E21112" w:rsidP="00905B76">
            <w:pPr>
              <w:pStyle w:val="Lgendestandard"/>
              <w:rPr>
                <w:szCs w:val="24"/>
              </w:rPr>
            </w:pPr>
          </w:p>
          <w:p w:rsidR="00E21112" w:rsidRPr="00BC61C8" w:rsidRDefault="005B559B" w:rsidP="00905B76">
            <w:pPr>
              <w:pStyle w:val="Lgendestandard"/>
              <w:rPr>
                <w:szCs w:val="24"/>
              </w:rPr>
            </w:pPr>
            <w:r w:rsidRPr="00BC61C8">
              <w:t xml:space="preserve">Geschrapte tekstdelen worden in de linkerkolom in </w:t>
            </w:r>
            <w:r w:rsidRPr="00BC61C8">
              <w:rPr>
                <w:b/>
                <w:i/>
              </w:rPr>
              <w:t>vet cursief</w:t>
            </w:r>
            <w:r w:rsidRPr="00BC61C8">
              <w:t xml:space="preserve"> aangegeven. Vervangen tekstdelen worden in beide kolommen in </w:t>
            </w:r>
            <w:r w:rsidRPr="00BC61C8">
              <w:rPr>
                <w:b/>
                <w:i/>
              </w:rPr>
              <w:t>vet cursief</w:t>
            </w:r>
            <w:r w:rsidRPr="00BC61C8">
              <w:t xml:space="preserve"> aangegeven. Nieuwe tekst wordt in de rechterkolom in </w:t>
            </w:r>
            <w:r w:rsidRPr="00BC61C8">
              <w:rPr>
                <w:b/>
                <w:i/>
              </w:rPr>
              <w:t>vet cursief</w:t>
            </w:r>
            <w:r w:rsidRPr="00BC61C8">
              <w:t xml:space="preserve"> aangegeven.</w:t>
            </w:r>
          </w:p>
          <w:p w:rsidR="00E21112" w:rsidRPr="00BC61C8" w:rsidRDefault="00E21112" w:rsidP="00905B76">
            <w:pPr>
              <w:pStyle w:val="Lgendestandard"/>
              <w:rPr>
                <w:szCs w:val="24"/>
              </w:rPr>
            </w:pPr>
          </w:p>
          <w:p w:rsidR="00E21112" w:rsidRPr="00BC61C8" w:rsidRDefault="005B559B" w:rsidP="00905B76">
            <w:pPr>
              <w:pStyle w:val="Lgendestandard"/>
              <w:rPr>
                <w:szCs w:val="24"/>
              </w:rPr>
            </w:pPr>
            <w:r w:rsidRPr="00BC61C8">
              <w:t>In de eerste en tweede regel van de koptekst boven elk amendement wordt verwezen naar het tekstdeel in k</w:t>
            </w:r>
            <w:r w:rsidRPr="00BC61C8">
              <w:t>westie van de ontwerphandeling. Indien een amendement betrekking heeft op een bestaande handeling, waarop in de ontwerphandeling wijzigingen worden voorgesteld, bevat de koptekst bovendien een derde en vierde regel, die verwijzen naar de bestaande handelin</w:t>
            </w:r>
            <w:r w:rsidRPr="00BC61C8">
              <w:t>g respectievelijk naar de bepaling in kwestie.</w:t>
            </w:r>
          </w:p>
          <w:p w:rsidR="00E21112" w:rsidRPr="00BC61C8" w:rsidRDefault="00E21112" w:rsidP="00905B76">
            <w:pPr>
              <w:pStyle w:val="Lgendestandard"/>
              <w:rPr>
                <w:szCs w:val="24"/>
              </w:rPr>
            </w:pPr>
          </w:p>
          <w:p w:rsidR="00E21112" w:rsidRPr="00BC61C8" w:rsidRDefault="005B559B" w:rsidP="00905B76">
            <w:pPr>
              <w:pStyle w:val="Lgendestandard"/>
              <w:rPr>
                <w:b/>
                <w:szCs w:val="24"/>
              </w:rPr>
            </w:pPr>
            <w:r w:rsidRPr="00BC61C8">
              <w:rPr>
                <w:b/>
              </w:rPr>
              <w:t>Amendementen van het Parlement in de vorm van een geconsolideerde tekst</w:t>
            </w:r>
          </w:p>
          <w:p w:rsidR="00E21112" w:rsidRPr="00BC61C8" w:rsidRDefault="00E21112" w:rsidP="00905B76">
            <w:pPr>
              <w:pStyle w:val="Lgendestandard"/>
              <w:rPr>
                <w:szCs w:val="24"/>
              </w:rPr>
            </w:pPr>
          </w:p>
          <w:p w:rsidR="00E21112" w:rsidRPr="00BC61C8" w:rsidRDefault="005B559B" w:rsidP="00905B76">
            <w:pPr>
              <w:pStyle w:val="Lgendestandard"/>
              <w:rPr>
                <w:szCs w:val="24"/>
              </w:rPr>
            </w:pPr>
            <w:r w:rsidRPr="00BC61C8">
              <w:t xml:space="preserve">Nieuwe tekstdelen worden in </w:t>
            </w:r>
            <w:r w:rsidRPr="00BC61C8">
              <w:rPr>
                <w:b/>
                <w:i/>
              </w:rPr>
              <w:t>vet cursief</w:t>
            </w:r>
            <w:r w:rsidRPr="00BC61C8">
              <w:t xml:space="preserve"> aangegeven. Geschrapte tekstdelen worden aangegeven met het symbool ▌of worden doorgestreept. W</w:t>
            </w:r>
            <w:r w:rsidRPr="00BC61C8">
              <w:t xml:space="preserve">aar tekstdelen vervangen worden, wordt de nieuwe tekst in </w:t>
            </w:r>
            <w:r w:rsidRPr="00BC61C8">
              <w:rPr>
                <w:b/>
                <w:i/>
              </w:rPr>
              <w:t>vet cursief</w:t>
            </w:r>
            <w:r w:rsidRPr="00BC61C8">
              <w:t xml:space="preserve"> aangegeven, terwijl de vervangen tekst wordt geschrapt of doorgestreept. </w:t>
            </w:r>
          </w:p>
          <w:p w:rsidR="00E21112" w:rsidRPr="00BC61C8" w:rsidRDefault="005B559B" w:rsidP="00905B76">
            <w:pPr>
              <w:pStyle w:val="Lgendestandard"/>
            </w:pPr>
            <w:r w:rsidRPr="00BC61C8">
              <w:t>Bij wijze van uitzondering worden zuiver technische wijzigingen die de diensten aanbrengen met het oog op de ops</w:t>
            </w:r>
            <w:r w:rsidRPr="00BC61C8">
              <w:t>telling van de definitieve tekst, niet gemarkeerd.</w:t>
            </w:r>
          </w:p>
          <w:p w:rsidR="00E21112" w:rsidRPr="00BC61C8" w:rsidRDefault="00E21112" w:rsidP="00905B76">
            <w:pPr>
              <w:pStyle w:val="Lgendestandard"/>
            </w:pPr>
          </w:p>
        </w:tc>
      </w:tr>
    </w:tbl>
    <w:p w:rsidR="00E21112" w:rsidRPr="00BC61C8" w:rsidRDefault="00E21112" w:rsidP="00E21112"/>
    <w:p w:rsidR="00E21112" w:rsidRPr="00BC61C8" w:rsidRDefault="00E21112" w:rsidP="00E21112">
      <w:pPr>
        <w:widowControl/>
        <w:tabs>
          <w:tab w:val="center" w:pos="4677"/>
        </w:tabs>
      </w:pPr>
    </w:p>
    <w:p w:rsidR="00E21112" w:rsidRPr="00BC61C8" w:rsidRDefault="005B559B" w:rsidP="00E21112">
      <w:pPr>
        <w:pStyle w:val="TOCHeading"/>
      </w:pPr>
      <w:r w:rsidRPr="00BC61C8">
        <w:br w:type="page"/>
        <w:t>INHOUD</w:t>
      </w:r>
    </w:p>
    <w:p w:rsidR="00E21112" w:rsidRPr="00BC61C8" w:rsidRDefault="005B559B" w:rsidP="00E21112">
      <w:pPr>
        <w:pStyle w:val="TOCPage"/>
      </w:pPr>
      <w:r w:rsidRPr="00BC61C8">
        <w:t>Blz.</w:t>
      </w:r>
    </w:p>
    <w:p w:rsidR="005B559B" w:rsidRDefault="005B559B">
      <w:pPr>
        <w:pStyle w:val="TOC1"/>
        <w:tabs>
          <w:tab w:val="right" w:leader="dot" w:pos="9060"/>
        </w:tabs>
        <w:rPr>
          <w:rFonts w:asciiTheme="minorHAnsi" w:eastAsiaTheme="minorEastAsia" w:hAnsiTheme="minorHAnsi" w:cstheme="minorBidi"/>
          <w:noProof/>
          <w:sz w:val="22"/>
          <w:szCs w:val="22"/>
          <w:lang w:val="en-GB"/>
        </w:rPr>
      </w:pPr>
      <w:r w:rsidRPr="00BC61C8">
        <w:rPr>
          <w:b/>
        </w:rPr>
        <w:fldChar w:fldCharType="begin"/>
      </w:r>
      <w:r w:rsidRPr="00BC61C8">
        <w:rPr>
          <w:b/>
        </w:rPr>
        <w:instrText xml:space="preserve"> TOC \t "PageHeading;1" </w:instrText>
      </w:r>
      <w:r w:rsidRPr="00BC61C8">
        <w:rPr>
          <w:b/>
        </w:rPr>
        <w:fldChar w:fldCharType="separate"/>
      </w:r>
      <w:r>
        <w:rPr>
          <w:noProof/>
        </w:rPr>
        <w:t>ONTWERPWETGEVINGSRESOLUTIE VAN HET EUROPEES PARLEMENT</w:t>
      </w:r>
      <w:r>
        <w:rPr>
          <w:noProof/>
        </w:rPr>
        <w:tab/>
      </w:r>
      <w:r>
        <w:rPr>
          <w:noProof/>
        </w:rPr>
        <w:fldChar w:fldCharType="begin"/>
      </w:r>
      <w:r>
        <w:rPr>
          <w:noProof/>
        </w:rPr>
        <w:instrText xml:space="preserve"> PAGEREF _Toc72157017 \h </w:instrText>
      </w:r>
      <w:r>
        <w:rPr>
          <w:noProof/>
        </w:rPr>
      </w:r>
      <w:r>
        <w:rPr>
          <w:noProof/>
        </w:rPr>
        <w:fldChar w:fldCharType="separate"/>
      </w:r>
      <w:r>
        <w:rPr>
          <w:noProof/>
        </w:rPr>
        <w:t>5</w:t>
      </w:r>
      <w:r>
        <w:rPr>
          <w:noProof/>
        </w:rPr>
        <w:fldChar w:fldCharType="end"/>
      </w:r>
    </w:p>
    <w:p w:rsidR="005B559B" w:rsidRDefault="005B559B">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_Toc72157018 \h </w:instrText>
      </w:r>
      <w:r>
        <w:rPr>
          <w:noProof/>
        </w:rPr>
      </w:r>
      <w:r>
        <w:rPr>
          <w:noProof/>
        </w:rPr>
        <w:fldChar w:fldCharType="separate"/>
      </w:r>
      <w:r>
        <w:rPr>
          <w:noProof/>
        </w:rPr>
        <w:t>6</w:t>
      </w:r>
      <w:r>
        <w:rPr>
          <w:noProof/>
        </w:rPr>
        <w:fldChar w:fldCharType="end"/>
      </w:r>
    </w:p>
    <w:p w:rsidR="00E21112" w:rsidRPr="00BC61C8" w:rsidRDefault="005B559B" w:rsidP="00E21112">
      <w:r w:rsidRPr="00BC61C8">
        <w:rPr>
          <w:b/>
        </w:rPr>
        <w:fldChar w:fldCharType="end"/>
      </w:r>
    </w:p>
    <w:p w:rsidR="00E21112" w:rsidRPr="00BC61C8" w:rsidRDefault="005B559B" w:rsidP="00E21112">
      <w:pPr>
        <w:pStyle w:val="PageHeading"/>
      </w:pPr>
      <w:r w:rsidRPr="00BC61C8">
        <w:br w:type="page"/>
      </w:r>
      <w:r w:rsidRPr="00BC61C8">
        <w:br w:type="page"/>
      </w:r>
      <w:bookmarkStart w:id="1" w:name="_Toc72157017"/>
      <w:r w:rsidRPr="00BC61C8">
        <w:t>ONTWERPWETGEVINGSRESOLUTIE VAN HET EUROPEES PARLEMENT</w:t>
      </w:r>
      <w:bookmarkEnd w:id="1"/>
    </w:p>
    <w:p w:rsidR="00E21112" w:rsidRPr="00BC61C8" w:rsidRDefault="005B559B" w:rsidP="00E21112">
      <w:pPr>
        <w:pStyle w:val="NormalBold"/>
      </w:pPr>
      <w:r w:rsidRPr="00BC61C8">
        <w:t xml:space="preserve">over het voorstel voor een verordening van het Europees Parlement en de Raad tot vaststelling van een </w:t>
      </w:r>
      <w:r w:rsidRPr="00BC61C8">
        <w:t>vangstdocumentatieprogramma voor blauwvintonijn (Thunnus thynnus) en tot intrekking van Verordening (EU) nr. 640/2010</w:t>
      </w:r>
    </w:p>
    <w:p w:rsidR="00E21112" w:rsidRPr="00BC61C8" w:rsidRDefault="005B559B" w:rsidP="00E21112">
      <w:pPr>
        <w:pStyle w:val="NormalBold12a"/>
      </w:pPr>
      <w:r w:rsidRPr="00BC61C8">
        <w:t>(COM(2020)0670 – C9</w:t>
      </w:r>
      <w:r w:rsidRPr="00BC61C8">
        <w:noBreakHyphen/>
        <w:t>0336/2020 – 2020/0302(COD))</w:t>
      </w:r>
    </w:p>
    <w:p w:rsidR="00E21112" w:rsidRPr="00BC61C8" w:rsidRDefault="005B559B" w:rsidP="00E21112">
      <w:pPr>
        <w:pStyle w:val="NormalBold"/>
      </w:pPr>
      <w:r w:rsidRPr="00BC61C8">
        <w:t>(Gewone wetgevingsprocedure: eerste lezing)</w:t>
      </w:r>
    </w:p>
    <w:p w:rsidR="00E21112" w:rsidRPr="00BC61C8" w:rsidRDefault="005B559B" w:rsidP="00E21112">
      <w:pPr>
        <w:pStyle w:val="EPComma"/>
      </w:pPr>
      <w:r w:rsidRPr="00BC61C8">
        <w:rPr>
          <w:i/>
        </w:rPr>
        <w:t>Het Europees Parlement</w:t>
      </w:r>
      <w:r w:rsidRPr="00BC61C8">
        <w:t>,</w:t>
      </w:r>
    </w:p>
    <w:p w:rsidR="00E21112" w:rsidRPr="00BC61C8" w:rsidRDefault="005B559B" w:rsidP="00E21112">
      <w:pPr>
        <w:pStyle w:val="NormalHanging12a"/>
      </w:pPr>
      <w:r w:rsidRPr="00BC61C8">
        <w:t>–</w:t>
      </w:r>
      <w:r w:rsidRPr="00BC61C8">
        <w:tab/>
        <w:t xml:space="preserve">gezien het voorstel </w:t>
      </w:r>
      <w:r w:rsidRPr="00BC61C8">
        <w:t>van de Commissie aan het Europees Parlement en de Raad (COM(2020)0670),</w:t>
      </w:r>
    </w:p>
    <w:p w:rsidR="00E21112" w:rsidRPr="00BC61C8" w:rsidRDefault="005B559B" w:rsidP="00E21112">
      <w:pPr>
        <w:pStyle w:val="NormalHanging12a"/>
      </w:pPr>
      <w:r w:rsidRPr="00BC61C8">
        <w:t>–</w:t>
      </w:r>
      <w:r w:rsidRPr="00BC61C8">
        <w:tab/>
        <w:t>gezien artikel 294, lid 2, en artikel 43, lid 2, van het Verdrag betreffende de werking van de Europese Unie, op grond waarvan het voorstel door de Commissie bij het Parlement is ing</w:t>
      </w:r>
      <w:r w:rsidRPr="00BC61C8">
        <w:t>ediend (C9</w:t>
      </w:r>
      <w:r w:rsidRPr="00BC61C8">
        <w:noBreakHyphen/>
        <w:t>0336/2020),</w:t>
      </w:r>
    </w:p>
    <w:p w:rsidR="00E21112" w:rsidRPr="00BC61C8" w:rsidRDefault="005B559B" w:rsidP="00E21112">
      <w:pPr>
        <w:pStyle w:val="NormalHanging12a"/>
      </w:pPr>
      <w:r w:rsidRPr="00BC61C8">
        <w:t>–</w:t>
      </w:r>
      <w:r w:rsidRPr="00BC61C8">
        <w:tab/>
        <w:t>gezien artikel 294, lid 3, van het Verdrag betreffende de werking van de Europese Unie,</w:t>
      </w:r>
    </w:p>
    <w:p w:rsidR="00E1461E" w:rsidRPr="00BC61C8" w:rsidRDefault="005B559B" w:rsidP="00E1461E">
      <w:pPr>
        <w:pStyle w:val="NormalHanging12a"/>
      </w:pPr>
      <w:r w:rsidRPr="00BC61C8">
        <w:t>–</w:t>
      </w:r>
      <w:r w:rsidRPr="00BC61C8">
        <w:tab/>
        <w:t>gezien het advies van het Europees Economisch en Sociaal Comité van 27 januari 2021</w:t>
      </w:r>
      <w:r w:rsidRPr="00BC61C8">
        <w:rPr>
          <w:rStyle w:val="FootnoteReference"/>
        </w:rPr>
        <w:footnoteReference w:id="1"/>
      </w:r>
      <w:r w:rsidRPr="00BC61C8">
        <w:t>,</w:t>
      </w:r>
    </w:p>
    <w:p w:rsidR="00E21112" w:rsidRPr="00BC61C8" w:rsidRDefault="005B559B" w:rsidP="00E21112">
      <w:pPr>
        <w:pStyle w:val="NormalHanging12a"/>
      </w:pPr>
      <w:r w:rsidRPr="00BC61C8">
        <w:t>–</w:t>
      </w:r>
      <w:r w:rsidRPr="00BC61C8">
        <w:tab/>
        <w:t>gezien artikel 59 van zijn Reglement,</w:t>
      </w:r>
    </w:p>
    <w:p w:rsidR="00E21112" w:rsidRPr="00BC61C8" w:rsidRDefault="005B559B" w:rsidP="00E21112">
      <w:pPr>
        <w:pStyle w:val="NormalHanging12a"/>
      </w:pPr>
      <w:r w:rsidRPr="00BC61C8">
        <w:t>–</w:t>
      </w:r>
      <w:r w:rsidRPr="00BC61C8">
        <w:tab/>
        <w:t>gezien het ve</w:t>
      </w:r>
      <w:r w:rsidRPr="00BC61C8">
        <w:t>rslag van de Commissie visserij (A9</w:t>
      </w:r>
      <w:r w:rsidRPr="00BC61C8">
        <w:noBreakHyphen/>
        <w:t>0000/2021),</w:t>
      </w:r>
    </w:p>
    <w:p w:rsidR="00E21112" w:rsidRPr="00BC61C8" w:rsidRDefault="005B559B" w:rsidP="00E21112">
      <w:pPr>
        <w:pStyle w:val="NormalHanging12a"/>
      </w:pPr>
      <w:r w:rsidRPr="00BC61C8">
        <w:t>1.</w:t>
      </w:r>
      <w:r w:rsidRPr="00BC61C8">
        <w:tab/>
        <w:t>stelt zijn standpunt in eerste lezing vast en neemt het voorstel van de Commissie over;</w:t>
      </w:r>
    </w:p>
    <w:p w:rsidR="00E21112" w:rsidRPr="00BC61C8" w:rsidRDefault="005B559B" w:rsidP="00E21112">
      <w:pPr>
        <w:pStyle w:val="NormalHanging12a"/>
      </w:pPr>
      <w:r w:rsidRPr="00BC61C8">
        <w:t>2.</w:t>
      </w:r>
      <w:r w:rsidRPr="00BC61C8">
        <w:tab/>
        <w:t>verzoekt de Commissie om hernieuwde voorlegging aan het Parlement indien zij haar voorstel vervangt, ingrijpend wi</w:t>
      </w:r>
      <w:r w:rsidRPr="00BC61C8">
        <w:t>jzigt of voornemens is het ingrijpend te wijzigen;</w:t>
      </w:r>
    </w:p>
    <w:p w:rsidR="00E21112" w:rsidRPr="00BC61C8" w:rsidRDefault="005B559B" w:rsidP="00E21112">
      <w:pPr>
        <w:pStyle w:val="NormalHanging12a"/>
      </w:pPr>
      <w:r w:rsidRPr="00BC61C8">
        <w:t>3.</w:t>
      </w:r>
      <w:r w:rsidRPr="00BC61C8">
        <w:tab/>
        <w:t>verzoekt zijn Voorzitter het standpunt van het Parlement te doen toekomen aan de Raad en aan de Commissie alsmede aan de nationale parlementen.</w:t>
      </w:r>
    </w:p>
    <w:p w:rsidR="00E21112" w:rsidRPr="00BC61C8" w:rsidRDefault="005B559B" w:rsidP="00E21112">
      <w:pPr>
        <w:widowControl/>
      </w:pPr>
      <w:r w:rsidRPr="00BC61C8">
        <w:br w:type="page"/>
      </w:r>
    </w:p>
    <w:p w:rsidR="00E21112" w:rsidRPr="00BC61C8" w:rsidRDefault="005B559B" w:rsidP="00E21112">
      <w:pPr>
        <w:pStyle w:val="PageHeading"/>
      </w:pPr>
      <w:bookmarkStart w:id="2" w:name="_Toc72157018"/>
      <w:r w:rsidRPr="00BC61C8">
        <w:t>TOELICHTING</w:t>
      </w:r>
      <w:bookmarkEnd w:id="2"/>
    </w:p>
    <w:p w:rsidR="00E21112" w:rsidRPr="00BC61C8" w:rsidRDefault="005B559B" w:rsidP="00E21112">
      <w:pPr>
        <w:rPr>
          <w:b/>
          <w:bCs/>
        </w:rPr>
      </w:pPr>
      <w:r w:rsidRPr="00BC61C8">
        <w:rPr>
          <w:b/>
        </w:rPr>
        <w:t>Achtergrond van het voorstel</w:t>
      </w:r>
    </w:p>
    <w:p w:rsidR="00E21112" w:rsidRPr="00BC61C8" w:rsidRDefault="00E21112" w:rsidP="00E21112">
      <w:pPr>
        <w:rPr>
          <w:b/>
          <w:bCs/>
          <w:sz w:val="22"/>
        </w:rPr>
      </w:pPr>
    </w:p>
    <w:p w:rsidR="00E21112" w:rsidRPr="00BC61C8" w:rsidRDefault="005B559B" w:rsidP="00E21112">
      <w:r w:rsidRPr="00BC61C8">
        <w:t>De Europese Un</w:t>
      </w:r>
      <w:r w:rsidRPr="00BC61C8">
        <w:t xml:space="preserve">ie is sinds 1997 partij bij het Internationaal Verdrag voor de instandhouding van Atlantische tonijnen (hierna “het Iccat-verdrag” genoemd). </w:t>
      </w:r>
    </w:p>
    <w:p w:rsidR="00E21112" w:rsidRPr="00BC61C8" w:rsidRDefault="00E21112" w:rsidP="00E21112"/>
    <w:p w:rsidR="00E21112" w:rsidRPr="00BC61C8" w:rsidRDefault="005B559B" w:rsidP="00E21112">
      <w:r w:rsidRPr="00BC61C8">
        <w:t>Het Iccat-verdrag biedt een kader voor de regionale samenwerking op het gebied van de instandhouding en het behee</w:t>
      </w:r>
      <w:r w:rsidRPr="00BC61C8">
        <w:t xml:space="preserve">r van tonijnen en tonijnachtigen in de Atlantische Oceaan en aangrenzende zeeën middels de oprichting van een Internationale Commissie voor de instandhouding van Atlantische tonijnen (Iccat). </w:t>
      </w:r>
    </w:p>
    <w:p w:rsidR="00E21112" w:rsidRPr="00BC61C8" w:rsidRDefault="00E21112" w:rsidP="00E21112"/>
    <w:p w:rsidR="00E21112" w:rsidRPr="00BC61C8" w:rsidRDefault="005B559B" w:rsidP="00E21112">
      <w:r w:rsidRPr="00BC61C8">
        <w:t>De Iccat heeft het gezag om bindende aanbevelingen uit te vaar</w:t>
      </w:r>
      <w:r w:rsidRPr="00BC61C8">
        <w:t>digen voor de instandhouding en het beheer van de visserijen die onder haar bevoegdheid vallen. Deze handelingen zijn hoofdzakelijk gericht tot de bij de Iccat aangesloten partijen, waaronder de Unie, maar bevatten tevens verplichtingen voor particuliere e</w:t>
      </w:r>
      <w:r w:rsidRPr="00BC61C8">
        <w:t xml:space="preserve">xploitanten (zoals kapiteins van vaartuigen). </w:t>
      </w:r>
    </w:p>
    <w:p w:rsidR="00E21112" w:rsidRPr="00BC61C8" w:rsidRDefault="00E21112" w:rsidP="00E21112"/>
    <w:p w:rsidR="00E21112" w:rsidRPr="00BC61C8" w:rsidRDefault="005B559B" w:rsidP="00E21112">
      <w:pPr>
        <w:rPr>
          <w:b/>
          <w:bCs/>
        </w:rPr>
      </w:pPr>
      <w:r w:rsidRPr="00BC61C8">
        <w:rPr>
          <w:b/>
        </w:rPr>
        <w:t>Inhoud van het voorstel</w:t>
      </w:r>
    </w:p>
    <w:p w:rsidR="00E21112" w:rsidRPr="00BC61C8" w:rsidRDefault="00E21112" w:rsidP="00E21112"/>
    <w:p w:rsidR="00E21112" w:rsidRPr="00BC61C8" w:rsidRDefault="005B559B" w:rsidP="00E21112">
      <w:r w:rsidRPr="00BC61C8">
        <w:t>In dit voorstel (COM(2020)670) worden de regels voor een vangstdocumentatieprogramma van de Unie voor blauwvintonijn uiteengezet om uitvoering te geven aan de instandhoudings- en beheersmaatregelen die de Iccat in het kader van haar vangstdocumentatieregel</w:t>
      </w:r>
      <w:r w:rsidRPr="00BC61C8">
        <w:t xml:space="preserve">ing voor blauwvintonijn heeft vastgesteld. Deze regeling heeft tot doel de oorsprong van alle blauwvintonijn te identificeren. </w:t>
      </w:r>
    </w:p>
    <w:p w:rsidR="00E21112" w:rsidRPr="00BC61C8" w:rsidRDefault="00E21112" w:rsidP="00E21112"/>
    <w:p w:rsidR="00E21112" w:rsidRPr="00BC61C8" w:rsidRDefault="005B559B" w:rsidP="00E21112">
      <w:r w:rsidRPr="00BC61C8">
        <w:t>In het kader van Verordening (EU) nr. 640/2010 is in feite al een vangstdocumentatieprogramma van de Unie vastgesteld. In het v</w:t>
      </w:r>
      <w:r w:rsidRPr="00BC61C8">
        <w:t>oorstel dat momenteel wordt besproken en dat tot intrekking van Verordening (EU) nr. 640/2010 dient, worden de vangsten van blauwvintonijn en de daaropvolgende handelstransacties geregistreerd en gewaarmerkt via een elektronisch systeem voor vangstdocument</w:t>
      </w:r>
      <w:r w:rsidRPr="00BC61C8">
        <w:t>en voor blauwvintonijn (eBCD), dat sinds 2017 operationeel is en dat al door de lidstaten en exploitanten wordt gebruikt. Bij wijze van uitzondering mag het elektronische systeem worden vervangen door papieren documenten (het vangstdocument voor blauwvinto</w:t>
      </w:r>
      <w:r w:rsidRPr="00BC61C8">
        <w:t>nijn of BCD – “Bluefin Tuna Catch Document”) die inzake vereisten gelijkwaardig zijn aan het elektronische systeem.</w:t>
      </w:r>
    </w:p>
    <w:p w:rsidR="00E21112" w:rsidRPr="00BC61C8" w:rsidRDefault="00E21112" w:rsidP="00E21112"/>
    <w:p w:rsidR="00E21112" w:rsidRPr="00BC61C8" w:rsidRDefault="005B559B" w:rsidP="00E21112">
      <w:r w:rsidRPr="00BC61C8">
        <w:t>Het voorstel bevat algemene bepalingen inzake het gebruik van het vangstdocument en het wederuitvoercertificaat voor blauwvintonijn, alsmed</w:t>
      </w:r>
      <w:r w:rsidRPr="00BC61C8">
        <w:t>e regels inzake het registreren en waarmerken van vangsten van blauwvintonijnen en de daaropvolgende handelstransacties. Voorts worden specifieke regels voor gemerkte vissen vastgesteld. Daarnaast worden bepalingen vastgesteld inzake de verificatie vóór wa</w:t>
      </w:r>
      <w:r w:rsidRPr="00BC61C8">
        <w:t>armerking, de transmissie van gegevens van gebruikers van het eBCD en de jaarlijkse rapportage aan de Iccat. Tot slot wordt er voorgesteld uitgebreid gebruik te maken van gedelegeerde handelingen om de basishandeling in de toekomst te wijzigen (in artikel </w:t>
      </w:r>
      <w:r w:rsidRPr="00BC61C8">
        <w:t>14).</w:t>
      </w:r>
    </w:p>
    <w:p w:rsidR="00E21112" w:rsidRPr="00BC61C8" w:rsidRDefault="00E21112" w:rsidP="00E21112"/>
    <w:p w:rsidR="00E21112" w:rsidRPr="00BC61C8" w:rsidRDefault="00E21112" w:rsidP="00E21112"/>
    <w:p w:rsidR="00E21112" w:rsidRPr="00BC61C8" w:rsidRDefault="005B559B" w:rsidP="00E21112">
      <w:pPr>
        <w:rPr>
          <w:b/>
        </w:rPr>
      </w:pPr>
      <w:r w:rsidRPr="00BC61C8">
        <w:rPr>
          <w:b/>
        </w:rPr>
        <w:t>Standpunt van de rapporteur</w:t>
      </w:r>
    </w:p>
    <w:p w:rsidR="00E21112" w:rsidRPr="00BC61C8" w:rsidRDefault="00E21112" w:rsidP="00E21112"/>
    <w:p w:rsidR="00E21112" w:rsidRPr="00BC61C8" w:rsidRDefault="005B559B" w:rsidP="00E21112">
      <w:pPr>
        <w:spacing w:after="240"/>
      </w:pPr>
      <w:r w:rsidRPr="00BC61C8">
        <w:t>De rapporteur is ingenomen met het feit dat de Commissie de Iccat-aanbevelingen strikt heeft omgezet, waardoor een gelijk speelveld voor alle exploitanten tot stand is gebracht. Het waarborgen van gelijke voorwaarden voo</w:t>
      </w:r>
      <w:r w:rsidRPr="00BC61C8">
        <w:t xml:space="preserve">r iedereen, en het bevorderen van de hoge duurzaamheidsnormen van de EU voor buitenlandse vloten via EU-optreden in regionale organisaties voor visserijbeheer (ROVB’s) en andere internationale fora, is van cruciaal belang voor onze exploitanten en voor de </w:t>
      </w:r>
      <w:r w:rsidRPr="00BC61C8">
        <w:t xml:space="preserve">verbetering van de internationale oceaangovernance. </w:t>
      </w:r>
    </w:p>
    <w:p w:rsidR="00E21112" w:rsidRPr="00BC61C8" w:rsidRDefault="005B559B" w:rsidP="00E21112">
      <w:r w:rsidRPr="00BC61C8">
        <w:t xml:space="preserve">De rapporteur is van mening dat het belangrijk is dat de Commissie ten aanzien van de exploitanten, het publiek en onze partnerlanden een snelle omzetting van de aanbevelingen van de ROVB’s voorstelt om </w:t>
      </w:r>
      <w:r w:rsidRPr="00BC61C8">
        <w:t xml:space="preserve">vertragingen bij de uitvoering van sommige bepalingen te voorkomen. Het is niet logisch dat Iccat-aanbevelingen uit 2018 en termijnen voor 2020 in 2021 worden goedgekeurd. </w:t>
      </w:r>
    </w:p>
    <w:p w:rsidR="00E21112" w:rsidRPr="00BC61C8" w:rsidRDefault="00E21112" w:rsidP="00E21112"/>
    <w:p w:rsidR="002A1CE3" w:rsidRPr="00BC61C8" w:rsidRDefault="005B559B" w:rsidP="00E21112">
      <w:r w:rsidRPr="00BC61C8">
        <w:t xml:space="preserve">In dat opzicht en gezien het feit dat dit dossier een zeer technische omzetting </w:t>
      </w:r>
      <w:r w:rsidRPr="00BC61C8">
        <w:t>zonder substantiële politieke inhoud behelst, heeft de rapporteur besloten geen amendementen op het voorstel van de Commissie in te dienen.</w:t>
      </w:r>
    </w:p>
    <w:sectPr w:rsidR="002A1CE3" w:rsidRPr="00BC61C8" w:rsidSect="00BC61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C61C8" w:rsidRDefault="005B559B">
      <w:r w:rsidRPr="00BC61C8">
        <w:separator/>
      </w:r>
    </w:p>
  </w:endnote>
  <w:endnote w:type="continuationSeparator" w:id="0">
    <w:p w:rsidR="00000000" w:rsidRPr="00BC61C8" w:rsidRDefault="005B559B">
      <w:r w:rsidRPr="00BC61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1C8" w:rsidRPr="00BC61C8" w:rsidRDefault="00BC61C8" w:rsidP="00BC61C8">
    <w:pPr>
      <w:pStyle w:val="EPFooter"/>
    </w:pPr>
    <w:r w:rsidRPr="00BC61C8">
      <w:t>PE</w:t>
    </w:r>
    <w:r w:rsidRPr="00BC61C8">
      <w:rPr>
        <w:rStyle w:val="HideTWBExt"/>
        <w:noProof w:val="0"/>
      </w:rPr>
      <w:t>&lt;NoPE&gt;</w:t>
    </w:r>
    <w:r w:rsidRPr="00BC61C8">
      <w:t>692.613</w:t>
    </w:r>
    <w:r w:rsidRPr="00BC61C8">
      <w:rPr>
        <w:rStyle w:val="HideTWBExt"/>
        <w:noProof w:val="0"/>
      </w:rPr>
      <w:t>&lt;/NoPE&gt;&lt;Version&gt;</w:t>
    </w:r>
    <w:r w:rsidRPr="00BC61C8">
      <w:t>v01-00</w:t>
    </w:r>
    <w:r w:rsidRPr="00BC61C8">
      <w:rPr>
        <w:rStyle w:val="HideTWBExt"/>
        <w:noProof w:val="0"/>
      </w:rPr>
      <w:t>&lt;/Version&gt;</w:t>
    </w:r>
    <w:r w:rsidRPr="00BC61C8">
      <w:tab/>
    </w:r>
    <w:r w:rsidRPr="00BC61C8">
      <w:fldChar w:fldCharType="begin"/>
    </w:r>
    <w:r w:rsidRPr="00BC61C8">
      <w:instrText xml:space="preserve"> PAGE  \* MERGEFORMAT </w:instrText>
    </w:r>
    <w:r w:rsidRPr="00BC61C8">
      <w:fldChar w:fldCharType="separate"/>
    </w:r>
    <w:r w:rsidR="005B559B">
      <w:rPr>
        <w:noProof/>
      </w:rPr>
      <w:t>7</w:t>
    </w:r>
    <w:r w:rsidRPr="00BC61C8">
      <w:fldChar w:fldCharType="end"/>
    </w:r>
    <w:r w:rsidRPr="00BC61C8">
      <w:t>/</w:t>
    </w:r>
    <w:fldSimple w:instr=" NUMPAGES  \* MERGEFORMAT ">
      <w:r w:rsidR="005B559B">
        <w:rPr>
          <w:noProof/>
        </w:rPr>
        <w:t>7</w:t>
      </w:r>
    </w:fldSimple>
    <w:r w:rsidRPr="00BC61C8">
      <w:tab/>
    </w:r>
    <w:r w:rsidRPr="00BC61C8">
      <w:rPr>
        <w:rStyle w:val="HideTWBExt"/>
        <w:noProof w:val="0"/>
      </w:rPr>
      <w:t>&lt;PathFdR&gt;</w:t>
    </w:r>
    <w:r w:rsidRPr="00BC61C8">
      <w:t>PR\1230271NL.docx</w:t>
    </w:r>
    <w:r w:rsidRPr="00BC61C8">
      <w:rPr>
        <w:rStyle w:val="HideTWBExt"/>
        <w:noProof w:val="0"/>
      </w:rPr>
      <w:t>&lt;/PathFdR&gt;</w:t>
    </w:r>
  </w:p>
  <w:p w:rsidR="00302A66" w:rsidRPr="00BC61C8" w:rsidRDefault="00BC61C8" w:rsidP="00BC61C8">
    <w:pPr>
      <w:pStyle w:val="EPFooter2"/>
    </w:pPr>
    <w:r w:rsidRPr="00BC61C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1C8" w:rsidRPr="00BC61C8" w:rsidRDefault="00BC61C8" w:rsidP="00BC61C8">
    <w:pPr>
      <w:pStyle w:val="EPFooter"/>
    </w:pPr>
    <w:r w:rsidRPr="00BC61C8">
      <w:rPr>
        <w:rStyle w:val="HideTWBExt"/>
        <w:noProof w:val="0"/>
      </w:rPr>
      <w:t>&lt;PathFdR&gt;</w:t>
    </w:r>
    <w:r w:rsidRPr="00BC61C8">
      <w:t>PR\1230271NL.docx</w:t>
    </w:r>
    <w:r w:rsidRPr="00BC61C8">
      <w:rPr>
        <w:rStyle w:val="HideTWBExt"/>
        <w:noProof w:val="0"/>
      </w:rPr>
      <w:t>&lt;/PathFdR&gt;</w:t>
    </w:r>
    <w:r w:rsidRPr="00BC61C8">
      <w:tab/>
    </w:r>
    <w:r w:rsidRPr="00BC61C8">
      <w:fldChar w:fldCharType="begin"/>
    </w:r>
    <w:r w:rsidRPr="00BC61C8">
      <w:instrText xml:space="preserve"> PAGE  \* MERGEFORMAT </w:instrText>
    </w:r>
    <w:r w:rsidRPr="00BC61C8">
      <w:fldChar w:fldCharType="separate"/>
    </w:r>
    <w:r w:rsidR="005B559B">
      <w:rPr>
        <w:noProof/>
      </w:rPr>
      <w:t>7</w:t>
    </w:r>
    <w:r w:rsidRPr="00BC61C8">
      <w:fldChar w:fldCharType="end"/>
    </w:r>
    <w:r w:rsidRPr="00BC61C8">
      <w:t>/</w:t>
    </w:r>
    <w:fldSimple w:instr=" NUMPAGES  \* MERGEFORMAT ">
      <w:r w:rsidR="005B559B">
        <w:rPr>
          <w:noProof/>
        </w:rPr>
        <w:t>7</w:t>
      </w:r>
    </w:fldSimple>
    <w:r w:rsidRPr="00BC61C8">
      <w:tab/>
      <w:t>PE</w:t>
    </w:r>
    <w:r w:rsidRPr="00BC61C8">
      <w:rPr>
        <w:rStyle w:val="HideTWBExt"/>
        <w:noProof w:val="0"/>
      </w:rPr>
      <w:t>&lt;NoPE&gt;</w:t>
    </w:r>
    <w:r w:rsidRPr="00BC61C8">
      <w:t>692.613</w:t>
    </w:r>
    <w:r w:rsidRPr="00BC61C8">
      <w:rPr>
        <w:rStyle w:val="HideTWBExt"/>
        <w:noProof w:val="0"/>
      </w:rPr>
      <w:t>&lt;/NoPE&gt;&lt;Version&gt;</w:t>
    </w:r>
    <w:r w:rsidRPr="00BC61C8">
      <w:t>v01-00</w:t>
    </w:r>
    <w:r w:rsidRPr="00BC61C8">
      <w:rPr>
        <w:rStyle w:val="HideTWBExt"/>
        <w:noProof w:val="0"/>
      </w:rPr>
      <w:t>&lt;/Version&gt;</w:t>
    </w:r>
  </w:p>
  <w:p w:rsidR="00302A66" w:rsidRPr="00BC61C8" w:rsidRDefault="00BC61C8" w:rsidP="00BC61C8">
    <w:pPr>
      <w:pStyle w:val="EPFooter2"/>
    </w:pPr>
    <w:r w:rsidRPr="00BC61C8">
      <w:tab/>
    </w:r>
    <w:r w:rsidRPr="00BC61C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1C8" w:rsidRPr="00BC61C8" w:rsidRDefault="00BC61C8" w:rsidP="00BC61C8">
    <w:pPr>
      <w:pStyle w:val="EPFooter"/>
    </w:pPr>
    <w:r w:rsidRPr="00BC61C8">
      <w:rPr>
        <w:rStyle w:val="HideTWBExt"/>
        <w:noProof w:val="0"/>
      </w:rPr>
      <w:t>&lt;PathFdR&gt;</w:t>
    </w:r>
    <w:r w:rsidRPr="00BC61C8">
      <w:t>PR\1230271NL.docx</w:t>
    </w:r>
    <w:r w:rsidRPr="00BC61C8">
      <w:rPr>
        <w:rStyle w:val="HideTWBExt"/>
        <w:noProof w:val="0"/>
      </w:rPr>
      <w:t>&lt;/PathFdR&gt;</w:t>
    </w:r>
    <w:r w:rsidRPr="00BC61C8">
      <w:tab/>
    </w:r>
    <w:r w:rsidRPr="00BC61C8">
      <w:tab/>
      <w:t>PE</w:t>
    </w:r>
    <w:r w:rsidRPr="00BC61C8">
      <w:rPr>
        <w:rStyle w:val="HideTWBExt"/>
        <w:noProof w:val="0"/>
      </w:rPr>
      <w:t>&lt;NoPE&gt;</w:t>
    </w:r>
    <w:r w:rsidRPr="00BC61C8">
      <w:t>692.613</w:t>
    </w:r>
    <w:r w:rsidRPr="00BC61C8">
      <w:rPr>
        <w:rStyle w:val="HideTWBExt"/>
        <w:noProof w:val="0"/>
      </w:rPr>
      <w:t>&lt;/NoPE&gt;&lt;Version&gt;</w:t>
    </w:r>
    <w:r w:rsidRPr="00BC61C8">
      <w:t>v01-00</w:t>
    </w:r>
    <w:r w:rsidRPr="00BC61C8">
      <w:rPr>
        <w:rStyle w:val="HideTWBExt"/>
        <w:noProof w:val="0"/>
      </w:rPr>
      <w:t>&lt;/Version&gt;</w:t>
    </w:r>
  </w:p>
  <w:p w:rsidR="00302A66" w:rsidRPr="00BC61C8" w:rsidRDefault="00BC61C8" w:rsidP="00BC61C8">
    <w:pPr>
      <w:pStyle w:val="EPFooter2"/>
    </w:pPr>
    <w:r w:rsidRPr="00BC61C8">
      <w:t>NL</w:t>
    </w:r>
    <w:r w:rsidRPr="00BC61C8">
      <w:tab/>
    </w:r>
    <w:r w:rsidRPr="00BC61C8">
      <w:rPr>
        <w:b w:val="0"/>
        <w:i/>
        <w:color w:val="C0C0C0"/>
        <w:sz w:val="22"/>
      </w:rPr>
      <w:t>In verscheidenheid verenigd</w:t>
    </w:r>
    <w:r w:rsidRPr="00BC61C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BC61C8" w:rsidRDefault="005B559B">
      <w:r w:rsidRPr="00BC61C8">
        <w:separator/>
      </w:r>
    </w:p>
  </w:footnote>
  <w:footnote w:type="continuationSeparator" w:id="0">
    <w:p w:rsidR="00AD6A25" w:rsidRPr="00BC61C8" w:rsidRDefault="005B559B">
      <w:r w:rsidRPr="00BC61C8">
        <w:continuationSeparator/>
      </w:r>
    </w:p>
  </w:footnote>
  <w:footnote w:id="1">
    <w:p w:rsidR="00314486" w:rsidRPr="00BC61C8" w:rsidRDefault="005B559B">
      <w:pPr>
        <w:pStyle w:val="FootnoteText"/>
      </w:pPr>
      <w:r w:rsidRPr="00BC61C8">
        <w:rPr>
          <w:rStyle w:val="FootnoteReference"/>
        </w:rPr>
        <w:footnoteRef/>
      </w:r>
      <w:r w:rsidRPr="00BC61C8">
        <w:t xml:space="preserve"> </w:t>
      </w:r>
      <w:r w:rsidRPr="00BC61C8">
        <w:tab/>
        <w:t>Nog niet in het Publicatieblad verschenen.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59B" w:rsidRDefault="005B5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59B" w:rsidRDefault="005B5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59B" w:rsidRDefault="005B5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DocTypeID" w:val="PR_COD_1app"/>
    <w:docVar w:name="strSubDir" w:val="1230"/>
    <w:docVar w:name="TXTLANGUE" w:val="EN"/>
    <w:docVar w:name="TXTLANGUEMIN" w:val="en"/>
    <w:docVar w:name="TXTNRC" w:val="0336/2020"/>
    <w:docVar w:name="TXTNRCOD" w:val="2020/0302"/>
    <w:docVar w:name="TXTNRCOM" w:val="(2020)0670"/>
    <w:docVar w:name="TXTNRPE" w:val="692.613"/>
    <w:docVar w:name="TXTPEorAP" w:val="PE"/>
    <w:docVar w:name="TXTROUTE" w:val="PR\1230271EN.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104AEE"/>
    <w:rsid w:val="00155AE8"/>
    <w:rsid w:val="00164B9B"/>
    <w:rsid w:val="00182506"/>
    <w:rsid w:val="001907B9"/>
    <w:rsid w:val="001A06D8"/>
    <w:rsid w:val="001D3524"/>
    <w:rsid w:val="00260FAA"/>
    <w:rsid w:val="002A1CE3"/>
    <w:rsid w:val="002B272A"/>
    <w:rsid w:val="002C3187"/>
    <w:rsid w:val="00302A66"/>
    <w:rsid w:val="00314486"/>
    <w:rsid w:val="0031764E"/>
    <w:rsid w:val="003A53CE"/>
    <w:rsid w:val="003C5583"/>
    <w:rsid w:val="004078CB"/>
    <w:rsid w:val="0041661E"/>
    <w:rsid w:val="00433573"/>
    <w:rsid w:val="00490742"/>
    <w:rsid w:val="00490D5F"/>
    <w:rsid w:val="004B06A0"/>
    <w:rsid w:val="004D7B3B"/>
    <w:rsid w:val="004F67E3"/>
    <w:rsid w:val="00543B7B"/>
    <w:rsid w:val="005571A0"/>
    <w:rsid w:val="005663F7"/>
    <w:rsid w:val="005B559B"/>
    <w:rsid w:val="00621F68"/>
    <w:rsid w:val="0065285A"/>
    <w:rsid w:val="007908B5"/>
    <w:rsid w:val="007D611D"/>
    <w:rsid w:val="00814B44"/>
    <w:rsid w:val="00837978"/>
    <w:rsid w:val="008663F8"/>
    <w:rsid w:val="008A07E3"/>
    <w:rsid w:val="008B26BF"/>
    <w:rsid w:val="008B5034"/>
    <w:rsid w:val="008E22DF"/>
    <w:rsid w:val="008E4B14"/>
    <w:rsid w:val="00905B76"/>
    <w:rsid w:val="00913414"/>
    <w:rsid w:val="00972ED6"/>
    <w:rsid w:val="00A02CEA"/>
    <w:rsid w:val="00A40C66"/>
    <w:rsid w:val="00A43E6A"/>
    <w:rsid w:val="00A62C81"/>
    <w:rsid w:val="00AD26AD"/>
    <w:rsid w:val="00AD6A25"/>
    <w:rsid w:val="00AE4E74"/>
    <w:rsid w:val="00AF7573"/>
    <w:rsid w:val="00B37926"/>
    <w:rsid w:val="00B52B6C"/>
    <w:rsid w:val="00BA5740"/>
    <w:rsid w:val="00BB197B"/>
    <w:rsid w:val="00BC61C8"/>
    <w:rsid w:val="00BD28D4"/>
    <w:rsid w:val="00BE1457"/>
    <w:rsid w:val="00BE4EC7"/>
    <w:rsid w:val="00BF6269"/>
    <w:rsid w:val="00C140AA"/>
    <w:rsid w:val="00C54859"/>
    <w:rsid w:val="00C61403"/>
    <w:rsid w:val="00C71A3C"/>
    <w:rsid w:val="00C82EBC"/>
    <w:rsid w:val="00CC7815"/>
    <w:rsid w:val="00D1777C"/>
    <w:rsid w:val="00D919CF"/>
    <w:rsid w:val="00DC3DED"/>
    <w:rsid w:val="00DF6C13"/>
    <w:rsid w:val="00E1461E"/>
    <w:rsid w:val="00E21112"/>
    <w:rsid w:val="00E24902"/>
    <w:rsid w:val="00ED0609"/>
    <w:rsid w:val="00ED0821"/>
    <w:rsid w:val="00F0202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CFDE9-7BA4-401F-822F-08915D5E5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1066</Words>
  <Characters>6646</Characters>
  <Application>Microsoft Office Word</Application>
  <DocSecurity>0</DocSecurity>
  <Lines>166</Lines>
  <Paragraphs>70</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BARSTYTE Lina</dc:creator>
  <cp:lastModifiedBy>TINNEMANS Beatrice Herma</cp:lastModifiedBy>
  <cp:revision>2</cp:revision>
  <cp:lastPrinted>2004-11-04T10:10:00Z</cp:lastPrinted>
  <dcterms:created xsi:type="dcterms:W3CDTF">2021-05-17T13:17:00Z</dcterms:created>
  <dcterms:modified xsi:type="dcterms:W3CDTF">2021-05-17T13:17:00Z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1230271</vt:lpwstr>
  </property>
  <property fmtid="{D5CDD505-2E9C-101B-9397-08002B2CF9AE}" pid="4" name="&lt;Model&gt;">
    <vt:lpwstr>PR_COD_1app</vt:lpwstr>
  </property>
  <property fmtid="{D5CDD505-2E9C-101B-9397-08002B2CF9AE}" pid="5" name="&lt;ModelCod&gt;">
    <vt:lpwstr>\\eiciBRUpr1\pdocep$\DocEP\DOCS\General\PR\PR_Leg\COD\COD_1st\PR_COD_1app.dotx(17/04/2020 19:27:09)</vt:lpwstr>
  </property>
  <property fmtid="{D5CDD505-2E9C-101B-9397-08002B2CF9AE}" pid="6" name="&lt;ModelTra&gt;">
    <vt:lpwstr>\\eiciBRUpr1\pdocep$\DocEP\TRANSFIL\EN\PR_COD_1app.EN(07/09/2020 19:06:27)</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PR\1230271NL.docx</vt:lpwstr>
  </property>
  <property fmtid="{D5CDD505-2E9C-101B-9397-08002B2CF9AE}" pid="10" name="LastEdited with">
    <vt:lpwstr>9.9.1 Build [20200705]</vt:lpwstr>
  </property>
  <property fmtid="{D5CDD505-2E9C-101B-9397-08002B2CF9AE}" pid="11" name="PE number">
    <vt:lpwstr>692.613</vt:lpwstr>
  </property>
  <property fmtid="{D5CDD505-2E9C-101B-9397-08002B2CF9AE}" pid="12" name="SDLStudio">
    <vt:lpwstr/>
  </property>
  <property fmtid="{D5CDD505-2E9C-101B-9397-08002B2CF9AE}" pid="13" name="SendToEpades">
    <vt:lpwstr>OK - 2021/04/29 11:11</vt:lpwstr>
  </property>
  <property fmtid="{D5CDD505-2E9C-101B-9397-08002B2CF9AE}" pid="14" name="Bookout">
    <vt:lpwstr>OK - 2021/05/17 15:16</vt:lpwstr>
  </property>
</Properties>
</file>