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B5034" w:rsidRPr="00324581" w:rsidTr="00C85D0F">
        <w:trPr>
          <w:trHeight w:hRule="exact" w:val="1418"/>
        </w:trPr>
        <w:tc>
          <w:tcPr>
            <w:tcW w:w="6804" w:type="dxa"/>
            <w:shd w:val="clear" w:color="auto" w:fill="auto"/>
            <w:vAlign w:val="center"/>
          </w:tcPr>
          <w:p w:rsidR="008B5034" w:rsidRPr="00324581" w:rsidRDefault="000801A0" w:rsidP="00C85D0F">
            <w:pPr>
              <w:pStyle w:val="EPName"/>
            </w:pPr>
            <w:r>
              <w:t>Evropski parlament</w:t>
            </w:r>
          </w:p>
          <w:p w:rsidR="008B5034" w:rsidRPr="00324581" w:rsidRDefault="00324581" w:rsidP="00324581">
            <w:pPr>
              <w:pStyle w:val="EPTerm"/>
            </w:pPr>
            <w:r>
              <w:t>2019-2024</w:t>
            </w:r>
          </w:p>
        </w:tc>
        <w:tc>
          <w:tcPr>
            <w:tcW w:w="2268" w:type="dxa"/>
            <w:shd w:val="clear" w:color="auto" w:fill="auto"/>
          </w:tcPr>
          <w:p w:rsidR="008B5034" w:rsidRPr="00324581" w:rsidRDefault="008B5034" w:rsidP="00C85D0F">
            <w:pPr>
              <w:pStyle w:val="EPLogo"/>
            </w:pPr>
            <w:r w:rsidRPr="00324581">
              <w:rPr>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C71A3C" w:rsidRPr="00324581" w:rsidRDefault="00C71A3C" w:rsidP="00C71A3C">
      <w:pPr>
        <w:pStyle w:val="LineTop"/>
      </w:pPr>
    </w:p>
    <w:p w:rsidR="00C71A3C" w:rsidRPr="00324581" w:rsidRDefault="00C71A3C" w:rsidP="00C71A3C">
      <w:pPr>
        <w:pStyle w:val="EPBody"/>
      </w:pPr>
      <w:r>
        <w:rPr>
          <w:rStyle w:val="HideTWBExt"/>
          <w:noProof w:val="0"/>
        </w:rPr>
        <w:t>&lt;</w:t>
      </w:r>
      <w:r>
        <w:rPr>
          <w:rStyle w:val="HideTWBExt"/>
          <w:i w:val="0"/>
          <w:noProof w:val="0"/>
        </w:rPr>
        <w:t>Commission</w:t>
      </w:r>
      <w:r>
        <w:rPr>
          <w:rStyle w:val="HideTWBExt"/>
          <w:noProof w:val="0"/>
        </w:rPr>
        <w:t>&gt;</w:t>
      </w:r>
      <w:r>
        <w:t>Odbor za ribištvo</w:t>
      </w:r>
      <w:r>
        <w:rPr>
          <w:rStyle w:val="HideTWBExt"/>
          <w:noProof w:val="0"/>
        </w:rPr>
        <w:t>&lt;/</w:t>
      </w:r>
      <w:r>
        <w:rPr>
          <w:rStyle w:val="HideTWBExt"/>
          <w:i w:val="0"/>
          <w:noProof w:val="0"/>
        </w:rPr>
        <w:t>Commission</w:t>
      </w:r>
      <w:r>
        <w:rPr>
          <w:rStyle w:val="HideTWBExt"/>
          <w:noProof w:val="0"/>
        </w:rPr>
        <w:t>&gt;</w:t>
      </w:r>
    </w:p>
    <w:p w:rsidR="00C71A3C" w:rsidRPr="00324581" w:rsidRDefault="00C71A3C" w:rsidP="00C71A3C">
      <w:pPr>
        <w:pStyle w:val="LineBottom"/>
      </w:pPr>
    </w:p>
    <w:p w:rsidR="00ED0821" w:rsidRPr="00324581" w:rsidRDefault="00ED0821">
      <w:pPr>
        <w:pStyle w:val="CoverReference"/>
      </w:pPr>
      <w:r>
        <w:rPr>
          <w:rStyle w:val="HideTWBExt"/>
          <w:b w:val="0"/>
          <w:noProof w:val="0"/>
        </w:rPr>
        <w:t>&lt;RefProc&gt;</w:t>
      </w:r>
      <w:r>
        <w:t>2020/0302</w:t>
      </w:r>
      <w:r>
        <w:rPr>
          <w:rStyle w:val="HideTWBExt"/>
          <w:b w:val="0"/>
          <w:noProof w:val="0"/>
        </w:rPr>
        <w:t>&lt;/RefProc&gt;&lt;RefTypeProc&gt;</w:t>
      </w:r>
      <w:r>
        <w:t>(COD)</w:t>
      </w:r>
      <w:r>
        <w:rPr>
          <w:rStyle w:val="HideTWBExt"/>
          <w:b w:val="0"/>
          <w:noProof w:val="0"/>
        </w:rPr>
        <w:t>&lt;/RefTypeProc&gt;</w:t>
      </w:r>
    </w:p>
    <w:p w:rsidR="00ED0821" w:rsidRPr="00324581" w:rsidRDefault="00ED0821">
      <w:pPr>
        <w:pStyle w:val="CoverDate"/>
      </w:pPr>
      <w:r>
        <w:rPr>
          <w:rStyle w:val="HideTWBExt"/>
          <w:noProof w:val="0"/>
        </w:rPr>
        <w:t>&lt;Date&gt;</w:t>
      </w:r>
      <w:r>
        <w:rPr>
          <w:rStyle w:val="HideTWBInt"/>
        </w:rPr>
        <w:t>{29/04/2021}</w:t>
      </w:r>
      <w:r>
        <w:t>29.4.2021</w:t>
      </w:r>
      <w:r>
        <w:rPr>
          <w:rStyle w:val="HideTWBExt"/>
          <w:noProof w:val="0"/>
        </w:rPr>
        <w:t>&lt;/Date&gt;</w:t>
      </w:r>
    </w:p>
    <w:p w:rsidR="00ED0821" w:rsidRPr="00324581" w:rsidRDefault="00ED0821">
      <w:pPr>
        <w:pStyle w:val="CoverDocType"/>
      </w:pPr>
      <w:r>
        <w:rPr>
          <w:rStyle w:val="HideTWBExt"/>
          <w:b w:val="0"/>
          <w:noProof w:val="0"/>
        </w:rPr>
        <w:t>&lt;RefProcLect&gt;</w:t>
      </w:r>
      <w:r>
        <w:t>***I</w:t>
      </w:r>
      <w:r>
        <w:rPr>
          <w:rStyle w:val="HideTWBExt"/>
          <w:b w:val="0"/>
          <w:noProof w:val="0"/>
        </w:rPr>
        <w:t>&lt;/RefProcLect&gt;</w:t>
      </w:r>
    </w:p>
    <w:p w:rsidR="00ED0821" w:rsidRPr="00324581" w:rsidRDefault="00ED0821">
      <w:pPr>
        <w:pStyle w:val="CoverDocType24a"/>
      </w:pPr>
      <w:r>
        <w:rPr>
          <w:rStyle w:val="HideTWBExt"/>
          <w:b w:val="0"/>
          <w:noProof w:val="0"/>
        </w:rPr>
        <w:t>&lt;TitreType&gt;</w:t>
      </w:r>
      <w:r>
        <w:t>OSNUTEK POROČILA</w:t>
      </w:r>
      <w:r>
        <w:rPr>
          <w:rStyle w:val="HideTWBExt"/>
          <w:b w:val="0"/>
          <w:noProof w:val="0"/>
        </w:rPr>
        <w:t>&lt;/TitreType&gt;</w:t>
      </w:r>
    </w:p>
    <w:p w:rsidR="00ED0821" w:rsidRPr="00324581" w:rsidRDefault="00ED0821">
      <w:pPr>
        <w:pStyle w:val="CoverNormal"/>
      </w:pPr>
      <w:r>
        <w:rPr>
          <w:rStyle w:val="HideTWBExt"/>
          <w:noProof w:val="0"/>
        </w:rPr>
        <w:t>&lt;Titre&gt;</w:t>
      </w:r>
      <w:r>
        <w:t>o predlogu uredbe Evropskega parlamenta in Sveta</w:t>
      </w:r>
      <w:r w:rsidR="00B565A2">
        <w:t xml:space="preserve"> </w:t>
      </w:r>
      <w:r>
        <w:t>o uvedbi programa za dokumentacijo o ulovu modroplavutega tuna (Thunnus thynnus) in o razveljavitvi Uredbe Sveta (EU) št. 640/2010</w:t>
      </w:r>
      <w:r>
        <w:rPr>
          <w:rStyle w:val="HideTWBExt"/>
          <w:noProof w:val="0"/>
        </w:rPr>
        <w:t>&lt;/Titre&gt;</w:t>
      </w:r>
    </w:p>
    <w:p w:rsidR="00ED0821" w:rsidRPr="00324581" w:rsidRDefault="00ED0821">
      <w:pPr>
        <w:pStyle w:val="CoverNormal24a"/>
      </w:pPr>
      <w:r>
        <w:rPr>
          <w:rStyle w:val="HideTWBExt"/>
          <w:noProof w:val="0"/>
        </w:rPr>
        <w:t>&lt;DocRef&gt;</w:t>
      </w:r>
      <w:r>
        <w:t>(COM(2020)0670 – C9-0336/2020 – 2020/0302(COD))</w:t>
      </w:r>
      <w:r>
        <w:rPr>
          <w:rStyle w:val="HideTWBExt"/>
          <w:noProof w:val="0"/>
        </w:rPr>
        <w:t>&lt;/DocRef&gt;</w:t>
      </w:r>
    </w:p>
    <w:p w:rsidR="00ED0821" w:rsidRPr="00324581" w:rsidRDefault="00ED0821">
      <w:pPr>
        <w:pStyle w:val="CoverNormal24a"/>
      </w:pPr>
      <w:r>
        <w:rPr>
          <w:rStyle w:val="HideTWBExt"/>
          <w:noProof w:val="0"/>
        </w:rPr>
        <w:t>&lt;Commission&gt;</w:t>
      </w:r>
      <w:r>
        <w:t>Odbor za ribištvo</w:t>
      </w:r>
      <w:r>
        <w:rPr>
          <w:rStyle w:val="HideTWBExt"/>
          <w:noProof w:val="0"/>
        </w:rPr>
        <w:t>&lt;/Commission&gt;</w:t>
      </w:r>
    </w:p>
    <w:p w:rsidR="00ED0821" w:rsidRPr="00324581" w:rsidRDefault="00324581">
      <w:pPr>
        <w:pStyle w:val="CoverNormal24a"/>
      </w:pPr>
      <w:r>
        <w:t xml:space="preserve">Poročevalec: </w:t>
      </w:r>
      <w:r>
        <w:rPr>
          <w:rStyle w:val="HideTWBExt"/>
          <w:noProof w:val="0"/>
        </w:rPr>
        <w:t>&lt;Depute&gt;</w:t>
      </w:r>
      <w:r>
        <w:t>Gabriel Mato</w:t>
      </w:r>
      <w:r>
        <w:rPr>
          <w:rStyle w:val="HideTWBExt"/>
          <w:noProof w:val="0"/>
        </w:rPr>
        <w:t>&lt;/Depute&gt;</w:t>
      </w:r>
    </w:p>
    <w:p w:rsidR="00BE4EC7" w:rsidRPr="00324581" w:rsidRDefault="00324581" w:rsidP="00BE4EC7">
      <w:pPr>
        <w:pStyle w:val="CoverNormal"/>
      </w:pPr>
      <w:r>
        <w:t>(Poenostavljeni postopek – člen 52(1) Poslovnika)</w:t>
      </w:r>
    </w:p>
    <w:p w:rsidR="00324581" w:rsidRPr="00324581" w:rsidRDefault="00ED0821" w:rsidP="00894923">
      <w:r>
        <w:br w:type="page"/>
      </w:r>
      <w:fldSimple w:instr=" TITLE  \* MERGEFORMAT ">
        <w:r w:rsidR="00F912D4" w:rsidRPr="00F912D4">
          <w:rPr>
            <w:lang w:val="fr-FR"/>
          </w:rPr>
          <w:t>PR_COD_1app</w:t>
        </w:r>
      </w:fldSimple>
    </w:p>
    <w:p w:rsidR="00324581" w:rsidRPr="00324581" w:rsidRDefault="00324581" w:rsidP="00894923">
      <w:pPr>
        <w:rPr>
          <w:lang w:val="fr-FR"/>
        </w:rPr>
      </w:pPr>
    </w:p>
    <w:p w:rsidR="00324581" w:rsidRPr="00324581" w:rsidRDefault="00324581" w:rsidP="00894923">
      <w:pPr>
        <w:rPr>
          <w:lang w:val="fr-FR"/>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324581" w:rsidRPr="00324581">
        <w:tc>
          <w:tcPr>
            <w:tcW w:w="5811" w:type="dxa"/>
          </w:tcPr>
          <w:p w:rsidR="00324581" w:rsidRPr="00324581" w:rsidRDefault="00324581" w:rsidP="00894923">
            <w:pPr>
              <w:pStyle w:val="Lgendetitre"/>
            </w:pPr>
            <w:r>
              <w:t>Oznake postopkov</w:t>
            </w:r>
          </w:p>
        </w:tc>
      </w:tr>
      <w:tr w:rsidR="00324581" w:rsidRPr="00324581" w:rsidTr="00C50C36">
        <w:trPr>
          <w:cantSplit/>
          <w:trHeight w:val="1944"/>
        </w:trPr>
        <w:tc>
          <w:tcPr>
            <w:tcW w:w="5811" w:type="dxa"/>
            <w:tcBorders>
              <w:bottom w:val="single" w:sz="4" w:space="0" w:color="auto"/>
            </w:tcBorders>
          </w:tcPr>
          <w:p w:rsidR="00324581" w:rsidRPr="00324581" w:rsidRDefault="00324581" w:rsidP="00713744">
            <w:pPr>
              <w:pStyle w:val="Lgendesigne"/>
              <w:rPr>
                <w:szCs w:val="24"/>
              </w:rPr>
            </w:pPr>
            <w:r>
              <w:tab/>
              <w:t>*</w:t>
            </w:r>
            <w:r>
              <w:tab/>
              <w:t>Postopek posvetovanja</w:t>
            </w:r>
          </w:p>
          <w:p w:rsidR="00324581" w:rsidRPr="00324581" w:rsidRDefault="00324581" w:rsidP="00713744">
            <w:pPr>
              <w:pStyle w:val="Lgendesigne"/>
              <w:rPr>
                <w:szCs w:val="24"/>
              </w:rPr>
            </w:pPr>
            <w:r>
              <w:tab/>
              <w:t>***</w:t>
            </w:r>
            <w:r>
              <w:tab/>
              <w:t>Postopek odobritve</w:t>
            </w:r>
          </w:p>
          <w:p w:rsidR="00324581" w:rsidRPr="00324581" w:rsidRDefault="00324581" w:rsidP="00713744">
            <w:pPr>
              <w:pStyle w:val="Lgendesigne"/>
              <w:rPr>
                <w:szCs w:val="24"/>
              </w:rPr>
            </w:pPr>
            <w:r>
              <w:tab/>
              <w:t>***I</w:t>
            </w:r>
            <w:r>
              <w:tab/>
              <w:t>Redni zakonodajni postopek (prva obravnava)</w:t>
            </w:r>
          </w:p>
          <w:p w:rsidR="00324581" w:rsidRPr="00324581" w:rsidRDefault="00324581" w:rsidP="00713744">
            <w:pPr>
              <w:pStyle w:val="Lgendesigne"/>
              <w:rPr>
                <w:szCs w:val="24"/>
              </w:rPr>
            </w:pPr>
            <w:r>
              <w:tab/>
              <w:t>***II</w:t>
            </w:r>
            <w:r>
              <w:tab/>
              <w:t>Redni zakonodajni postopek (druga obravnava)</w:t>
            </w:r>
          </w:p>
          <w:p w:rsidR="00324581" w:rsidRPr="00324581" w:rsidRDefault="00324581" w:rsidP="00713744">
            <w:pPr>
              <w:pStyle w:val="Lgendesigne"/>
              <w:rPr>
                <w:szCs w:val="24"/>
              </w:rPr>
            </w:pPr>
            <w:r>
              <w:tab/>
              <w:t>***III</w:t>
            </w:r>
            <w:r>
              <w:tab/>
              <w:t>Redni zakonodajni postopek (tretja obravnava)</w:t>
            </w:r>
          </w:p>
          <w:p w:rsidR="00324581" w:rsidRPr="00324581" w:rsidRDefault="00324581" w:rsidP="00713744">
            <w:pPr>
              <w:pStyle w:val="Lgendestandard"/>
              <w:rPr>
                <w:lang w:val="pl-PL"/>
              </w:rPr>
            </w:pPr>
          </w:p>
          <w:p w:rsidR="00324581" w:rsidRPr="00324581" w:rsidRDefault="00324581" w:rsidP="00713744">
            <w:pPr>
              <w:pStyle w:val="Lgendestandard"/>
            </w:pPr>
            <w:r>
              <w:t>(Vrsta postopka je odvisna od pravne podlage, ki je predlagana v osnutku akta.)</w:t>
            </w:r>
          </w:p>
          <w:p w:rsidR="00324581" w:rsidRPr="00324581" w:rsidRDefault="00324581" w:rsidP="00713744">
            <w:pPr>
              <w:pStyle w:val="Lgendestandard"/>
              <w:rPr>
                <w:lang w:val="pl-PL"/>
              </w:rPr>
            </w:pPr>
          </w:p>
        </w:tc>
      </w:tr>
    </w:tbl>
    <w:p w:rsidR="00324581" w:rsidRPr="00324581" w:rsidRDefault="00324581" w:rsidP="00894923">
      <w:pPr>
        <w:rPr>
          <w:lang w:val="pl-PL"/>
        </w:rPr>
      </w:pPr>
    </w:p>
    <w:p w:rsidR="00324581" w:rsidRPr="00324581" w:rsidRDefault="00324581" w:rsidP="00894923">
      <w:pPr>
        <w:rPr>
          <w:lang w:val="pl-PL"/>
        </w:rPr>
      </w:pPr>
    </w:p>
    <w:p w:rsidR="00324581" w:rsidRPr="00324581" w:rsidRDefault="00324581" w:rsidP="00894923">
      <w:pPr>
        <w:rPr>
          <w:lang w:val="pl-PL"/>
        </w:rPr>
      </w:pPr>
    </w:p>
    <w:p w:rsidR="00324581" w:rsidRPr="00324581" w:rsidRDefault="00324581" w:rsidP="00894923">
      <w:pPr>
        <w:rPr>
          <w:lang w:val="pl-PL"/>
        </w:rPr>
      </w:pPr>
    </w:p>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324581" w:rsidRPr="00324581">
        <w:tc>
          <w:tcPr>
            <w:tcW w:w="5811" w:type="dxa"/>
          </w:tcPr>
          <w:p w:rsidR="00324581" w:rsidRPr="00324581" w:rsidRDefault="00324581" w:rsidP="00894923">
            <w:pPr>
              <w:pStyle w:val="Lgendetitre"/>
            </w:pPr>
            <w:r>
              <w:t>Predlogi sprememb k osnutku akta</w:t>
            </w:r>
          </w:p>
        </w:tc>
      </w:tr>
      <w:tr w:rsidR="00324581" w:rsidRPr="00324581" w:rsidTr="00AF21E6">
        <w:trPr>
          <w:trHeight w:val="4640"/>
        </w:trPr>
        <w:tc>
          <w:tcPr>
            <w:tcW w:w="5811" w:type="dxa"/>
          </w:tcPr>
          <w:p w:rsidR="00324581" w:rsidRPr="00324581" w:rsidRDefault="00324581" w:rsidP="0069511F">
            <w:pPr>
              <w:pStyle w:val="Lgendestandard"/>
              <w:rPr>
                <w:szCs w:val="24"/>
              </w:rPr>
            </w:pPr>
            <w:r>
              <w:rPr>
                <w:b/>
                <w:szCs w:val="24"/>
              </w:rPr>
              <w:t>Spremembe, ki jih predlaga Parlament, v dveh stolpcih</w:t>
            </w:r>
          </w:p>
          <w:p w:rsidR="00324581" w:rsidRPr="00324581" w:rsidRDefault="00324581" w:rsidP="0069511F">
            <w:pPr>
              <w:pStyle w:val="Lgendestandard"/>
              <w:rPr>
                <w:szCs w:val="24"/>
              </w:rPr>
            </w:pPr>
          </w:p>
          <w:p w:rsidR="00324581" w:rsidRPr="00324581" w:rsidRDefault="00324581" w:rsidP="0069511F">
            <w:pPr>
              <w:pStyle w:val="Lgendestandard"/>
              <w:rPr>
                <w:szCs w:val="24"/>
              </w:rPr>
            </w:pPr>
            <w:r>
              <w:t xml:space="preserve">Izbrisano besedilo je označeno s </w:t>
            </w:r>
            <w:r>
              <w:rPr>
                <w:b/>
                <w:i/>
                <w:szCs w:val="24"/>
              </w:rPr>
              <w:t xml:space="preserve">krepkim poševnim tiskom </w:t>
            </w:r>
            <w:r>
              <w:t xml:space="preserve">v levem stolpcu, zamenjano besedilo s </w:t>
            </w:r>
            <w:r>
              <w:rPr>
                <w:b/>
                <w:i/>
                <w:szCs w:val="24"/>
              </w:rPr>
              <w:t>krepkim poševnim tiskom</w:t>
            </w:r>
            <w:r>
              <w:t xml:space="preserve"> v obeh stolpcih, novo besedilo pa s </w:t>
            </w:r>
            <w:r>
              <w:rPr>
                <w:b/>
                <w:i/>
                <w:szCs w:val="24"/>
              </w:rPr>
              <w:t>krepkim poševnim tiskom</w:t>
            </w:r>
            <w:r>
              <w:t xml:space="preserve"> v desnem stolpcu.</w:t>
            </w:r>
          </w:p>
          <w:p w:rsidR="00324581" w:rsidRPr="00324581" w:rsidRDefault="00324581" w:rsidP="0069511F">
            <w:pPr>
              <w:pStyle w:val="Lgendestandard"/>
              <w:rPr>
                <w:szCs w:val="24"/>
              </w:rPr>
            </w:pPr>
          </w:p>
          <w:p w:rsidR="00324581" w:rsidRPr="00324581" w:rsidRDefault="00324581" w:rsidP="0069511F">
            <w:pPr>
              <w:pStyle w:val="Lgendestandard"/>
              <w:rPr>
                <w:szCs w:val="24"/>
              </w:rPr>
            </w:pPr>
            <w:r>
              <w:t>Prva in druga vrstica glave vsakega predloga spremembe navajata zadevni del besedila v obravnavanem osnutku akta. Če predlog spremembe zadeva obstoječi akt, ki se ga želi spremeniti z osnutkom akta, glava poleg tega vsebuje še tretjo in četrto vrstico, ki navajata obstoječi akt oziroma zadevno določbo tega akta.</w:t>
            </w:r>
          </w:p>
          <w:p w:rsidR="00324581" w:rsidRPr="00324581" w:rsidRDefault="00324581" w:rsidP="0069511F">
            <w:pPr>
              <w:pStyle w:val="Lgendestandard"/>
              <w:rPr>
                <w:szCs w:val="24"/>
              </w:rPr>
            </w:pPr>
          </w:p>
          <w:p w:rsidR="00324581" w:rsidRPr="00324581" w:rsidRDefault="00324581" w:rsidP="0069511F">
            <w:pPr>
              <w:pStyle w:val="Lgendestandard"/>
              <w:rPr>
                <w:szCs w:val="24"/>
              </w:rPr>
            </w:pPr>
            <w:r>
              <w:rPr>
                <w:b/>
                <w:szCs w:val="24"/>
              </w:rPr>
              <w:t>Spremembe, ki jih predlaga Parlament, v obliki konsolidiranega besedila</w:t>
            </w:r>
          </w:p>
          <w:p w:rsidR="00324581" w:rsidRPr="00324581" w:rsidRDefault="00324581" w:rsidP="0069511F">
            <w:pPr>
              <w:pStyle w:val="Lgendestandard"/>
              <w:rPr>
                <w:szCs w:val="24"/>
              </w:rPr>
            </w:pPr>
          </w:p>
          <w:p w:rsidR="00324581" w:rsidRPr="00324581" w:rsidRDefault="00324581" w:rsidP="0069511F">
            <w:pPr>
              <w:pStyle w:val="Lgendestandard"/>
              <w:rPr>
                <w:szCs w:val="24"/>
              </w:rPr>
            </w:pPr>
            <w:r>
              <w:t xml:space="preserve">Novo besedilo je označeno s </w:t>
            </w:r>
            <w:r>
              <w:rPr>
                <w:b/>
                <w:i/>
                <w:szCs w:val="24"/>
              </w:rPr>
              <w:t>krepkim poševnim tiskom</w:t>
            </w:r>
            <w:r>
              <w:t xml:space="preserve">. Izbrisano besedilo je označeno s simbolom ▌ali prečrtano. Zamenjano besedilo je izbrisano ali prečrtano, besedilo, ki ga nadomešča, pa je označeno s </w:t>
            </w:r>
            <w:r>
              <w:rPr>
                <w:b/>
                <w:i/>
                <w:szCs w:val="24"/>
              </w:rPr>
              <w:t>krepkim poševnim tiskom</w:t>
            </w:r>
            <w:r>
              <w:t>.</w:t>
            </w:r>
          </w:p>
          <w:p w:rsidR="00324581" w:rsidRPr="00324581" w:rsidRDefault="00324581" w:rsidP="0069511F">
            <w:pPr>
              <w:pStyle w:val="Lgendestandard"/>
            </w:pPr>
            <w:r>
              <w:t>Izjema so spremembe izključno tehnične narave, ki so jih vnesle službe z namenom priprave končnega besedila in niso označene.</w:t>
            </w:r>
          </w:p>
          <w:p w:rsidR="00324581" w:rsidRPr="00324581" w:rsidRDefault="00324581" w:rsidP="0069092A">
            <w:pPr>
              <w:pStyle w:val="Lgendestandard"/>
            </w:pPr>
          </w:p>
        </w:tc>
      </w:tr>
    </w:tbl>
    <w:p w:rsidR="00324581" w:rsidRPr="00324581" w:rsidRDefault="00324581" w:rsidP="00894923"/>
    <w:p w:rsidR="00ED0821" w:rsidRPr="00324581" w:rsidRDefault="00ED0821" w:rsidP="00053B97">
      <w:pPr>
        <w:widowControl/>
        <w:tabs>
          <w:tab w:val="center" w:pos="4677"/>
        </w:tabs>
      </w:pPr>
    </w:p>
    <w:p w:rsidR="00ED0821" w:rsidRPr="00324581" w:rsidRDefault="00ED0821">
      <w:pPr>
        <w:pStyle w:val="TOCHeading"/>
      </w:pPr>
      <w:r>
        <w:br w:type="page"/>
        <w:t>VSEBINA</w:t>
      </w:r>
    </w:p>
    <w:p w:rsidR="00ED0821" w:rsidRPr="00324581" w:rsidRDefault="000801A0">
      <w:pPr>
        <w:pStyle w:val="TOCPage"/>
      </w:pPr>
      <w:r>
        <w:t>Stran</w:t>
      </w:r>
    </w:p>
    <w:p w:rsidR="00F912D4" w:rsidRDefault="00053B97">
      <w:pPr>
        <w:pStyle w:val="TOC1"/>
        <w:tabs>
          <w:tab w:val="right" w:leader="dot" w:pos="9060"/>
        </w:tabs>
        <w:rPr>
          <w:rFonts w:asciiTheme="minorHAnsi" w:eastAsiaTheme="minorEastAsia" w:hAnsiTheme="minorHAnsi" w:cstheme="minorBidi"/>
          <w:noProof/>
          <w:sz w:val="22"/>
          <w:szCs w:val="22"/>
          <w:lang w:val="en-GB"/>
        </w:rPr>
      </w:pPr>
      <w:r w:rsidRPr="00324581">
        <w:rPr>
          <w:b/>
        </w:rPr>
        <w:fldChar w:fldCharType="begin"/>
      </w:r>
      <w:r w:rsidRPr="00324581">
        <w:rPr>
          <w:b/>
        </w:rPr>
        <w:instrText xml:space="preserve"> TOC \t "PageHeading</w:instrText>
      </w:r>
      <w:r w:rsidR="00F912D4">
        <w:rPr>
          <w:b/>
        </w:rPr>
        <w:instrText>;</w:instrText>
      </w:r>
      <w:r w:rsidRPr="00324581">
        <w:rPr>
          <w:b/>
        </w:rPr>
        <w:instrText xml:space="preserve">1" </w:instrText>
      </w:r>
      <w:r w:rsidRPr="00324581">
        <w:rPr>
          <w:b/>
        </w:rPr>
        <w:fldChar w:fldCharType="separate"/>
      </w:r>
      <w:r w:rsidR="00F912D4">
        <w:rPr>
          <w:noProof/>
        </w:rPr>
        <w:t>OSNUTEK ZAKONODAJNE RESOLUCIJE EVROPSKEGA PARLAMENTA</w:t>
      </w:r>
      <w:r w:rsidR="00F912D4">
        <w:rPr>
          <w:noProof/>
        </w:rPr>
        <w:tab/>
      </w:r>
      <w:r w:rsidR="00F912D4">
        <w:rPr>
          <w:noProof/>
        </w:rPr>
        <w:fldChar w:fldCharType="begin"/>
      </w:r>
      <w:r w:rsidR="00F912D4">
        <w:rPr>
          <w:noProof/>
        </w:rPr>
        <w:instrText xml:space="preserve"> PAGEREF _Toc72217695 \h </w:instrText>
      </w:r>
      <w:r w:rsidR="00F912D4">
        <w:rPr>
          <w:noProof/>
        </w:rPr>
      </w:r>
      <w:r w:rsidR="00F912D4">
        <w:rPr>
          <w:noProof/>
        </w:rPr>
        <w:fldChar w:fldCharType="separate"/>
      </w:r>
      <w:r w:rsidR="00F912D4">
        <w:rPr>
          <w:noProof/>
        </w:rPr>
        <w:t>5</w:t>
      </w:r>
      <w:r w:rsidR="00F912D4">
        <w:rPr>
          <w:noProof/>
        </w:rPr>
        <w:fldChar w:fldCharType="end"/>
      </w:r>
    </w:p>
    <w:p w:rsidR="00F912D4" w:rsidRDefault="00F912D4">
      <w:pPr>
        <w:pStyle w:val="TOC1"/>
        <w:tabs>
          <w:tab w:val="right" w:leader="dot" w:pos="9060"/>
        </w:tabs>
        <w:rPr>
          <w:rFonts w:asciiTheme="minorHAnsi" w:eastAsiaTheme="minorEastAsia" w:hAnsiTheme="minorHAnsi" w:cstheme="minorBidi"/>
          <w:noProof/>
          <w:sz w:val="22"/>
          <w:szCs w:val="22"/>
          <w:lang w:val="en-GB"/>
        </w:rPr>
      </w:pPr>
      <w:r>
        <w:rPr>
          <w:noProof/>
        </w:rPr>
        <w:t>OBRAZLOŽITEV</w:t>
      </w:r>
      <w:r>
        <w:rPr>
          <w:noProof/>
        </w:rPr>
        <w:tab/>
      </w:r>
      <w:r>
        <w:rPr>
          <w:noProof/>
        </w:rPr>
        <w:fldChar w:fldCharType="begin"/>
      </w:r>
      <w:r>
        <w:rPr>
          <w:noProof/>
        </w:rPr>
        <w:instrText xml:space="preserve"> PAGEREF _Toc72217696 \h </w:instrText>
      </w:r>
      <w:r>
        <w:rPr>
          <w:noProof/>
        </w:rPr>
      </w:r>
      <w:r>
        <w:rPr>
          <w:noProof/>
        </w:rPr>
        <w:fldChar w:fldCharType="separate"/>
      </w:r>
      <w:r>
        <w:rPr>
          <w:noProof/>
        </w:rPr>
        <w:t>6</w:t>
      </w:r>
      <w:r>
        <w:rPr>
          <w:noProof/>
        </w:rPr>
        <w:fldChar w:fldCharType="end"/>
      </w:r>
    </w:p>
    <w:p w:rsidR="001A06D8" w:rsidRPr="00324581" w:rsidRDefault="00053B97" w:rsidP="008E4B14">
      <w:r w:rsidRPr="00324581">
        <w:rPr>
          <w:b/>
        </w:rPr>
        <w:fldChar w:fldCharType="end"/>
      </w:r>
    </w:p>
    <w:p w:rsidR="00ED0821" w:rsidRPr="00324581" w:rsidRDefault="00ED0821">
      <w:pPr>
        <w:pStyle w:val="PageHeading"/>
      </w:pPr>
      <w:r>
        <w:br w:type="page"/>
      </w:r>
      <w:r>
        <w:br w:type="page"/>
      </w:r>
      <w:bookmarkStart w:id="0" w:name="_Toc72217695"/>
      <w:r>
        <w:t>OSNUTEK ZAKONODAJNE RESOLUCIJE EVROPSKEGA PARLAMENTA</w:t>
      </w:r>
      <w:bookmarkEnd w:id="0"/>
    </w:p>
    <w:p w:rsidR="00ED0821" w:rsidRPr="00324581" w:rsidRDefault="000801A0">
      <w:pPr>
        <w:pStyle w:val="NormalBold"/>
      </w:pPr>
      <w:r>
        <w:t>o predlogu uredbe Evropskega parlamenta in Sveta</w:t>
      </w:r>
      <w:r w:rsidR="00B565A2">
        <w:t xml:space="preserve"> </w:t>
      </w:r>
      <w:r>
        <w:t>o uvedbi programa za dokumentacijo o ulovu modroplavutega tuna (Thunnus thynnus) in o razveljavitvi Uredbe Sveta (EU) št. 640/2010</w:t>
      </w:r>
    </w:p>
    <w:p w:rsidR="00ED0821" w:rsidRPr="00324581" w:rsidRDefault="000801A0">
      <w:pPr>
        <w:pStyle w:val="NormalBold12a"/>
      </w:pPr>
      <w:r>
        <w:t>(COM(2020)0670 – C9-0336/2020 – 2020/0302(COD))</w:t>
      </w:r>
    </w:p>
    <w:p w:rsidR="00ED0821" w:rsidRPr="00324581" w:rsidRDefault="000801A0" w:rsidP="00837978">
      <w:pPr>
        <w:pStyle w:val="NormalBold"/>
      </w:pPr>
      <w:r>
        <w:t>(Redni zakonodajni postopek: prva obravnava)</w:t>
      </w:r>
    </w:p>
    <w:p w:rsidR="00ED0821" w:rsidRPr="00324581" w:rsidRDefault="000801A0">
      <w:pPr>
        <w:pStyle w:val="EPComma"/>
      </w:pPr>
      <w:r>
        <w:rPr>
          <w:i/>
        </w:rPr>
        <w:t>Evropski parlament</w:t>
      </w:r>
      <w:r>
        <w:t>,</w:t>
      </w:r>
    </w:p>
    <w:p w:rsidR="00ED0821" w:rsidRPr="00324581" w:rsidRDefault="00ED0821">
      <w:pPr>
        <w:pStyle w:val="NormalHanging12a"/>
      </w:pPr>
      <w:r>
        <w:t>–</w:t>
      </w:r>
      <w:r>
        <w:tab/>
        <w:t>ob upoštevanju predloga Komisije Evropskemu parlamentu in Svetu (COM(2020)0670),</w:t>
      </w:r>
    </w:p>
    <w:p w:rsidR="00ED0821" w:rsidRPr="00324581" w:rsidRDefault="00ED0821">
      <w:pPr>
        <w:pStyle w:val="NormalHanging12a"/>
      </w:pPr>
      <w:r>
        <w:t>–</w:t>
      </w:r>
      <w:r>
        <w:tab/>
        <w:t>ob upoštevanju člena 294(2) in člena 43(2) Pogodbe o delovanju Evropske unije, na podlagi katerih je Komisija podala predlog Parlamentu (C9-0336/2020),</w:t>
      </w:r>
    </w:p>
    <w:p w:rsidR="00ED0609" w:rsidRPr="00324581" w:rsidRDefault="00ED0609" w:rsidP="00ED0609">
      <w:pPr>
        <w:pStyle w:val="NormalHanging12a"/>
      </w:pPr>
      <w:r>
        <w:t>–</w:t>
      </w:r>
      <w:r>
        <w:tab/>
        <w:t>ob upoštevanju člena 294(3) Pogodbe o delovanju Evropske unije,</w:t>
      </w:r>
    </w:p>
    <w:p w:rsidR="00324581" w:rsidRPr="00324581" w:rsidRDefault="00324581" w:rsidP="008663F8">
      <w:pPr>
        <w:pStyle w:val="NormalHanging12a"/>
      </w:pPr>
      <w:r>
        <w:t>–</w:t>
      </w:r>
      <w:r>
        <w:tab/>
        <w:t>ob upoštevanju mnenja Evropskega ekonomsko-socialnega odbora z dne 27. januarja 2021</w:t>
      </w:r>
      <w:r w:rsidRPr="00324581">
        <w:rPr>
          <w:rStyle w:val="FootnoteReference"/>
        </w:rPr>
        <w:footnoteReference w:id="1"/>
      </w:r>
      <w:r>
        <w:t>,</w:t>
      </w:r>
    </w:p>
    <w:p w:rsidR="00ED0821" w:rsidRPr="00324581" w:rsidRDefault="00ED0821">
      <w:pPr>
        <w:pStyle w:val="NormalHanging12a"/>
      </w:pPr>
      <w:r>
        <w:t>–</w:t>
      </w:r>
      <w:r>
        <w:tab/>
        <w:t>ob upoštevanju člena 59 Poslovnika,</w:t>
      </w:r>
    </w:p>
    <w:p w:rsidR="00DF6C13" w:rsidRPr="00324581" w:rsidRDefault="00DF6C13" w:rsidP="00DF6C13">
      <w:pPr>
        <w:pStyle w:val="NormalHanging12a"/>
      </w:pPr>
      <w:r>
        <w:t>–</w:t>
      </w:r>
      <w:r>
        <w:tab/>
        <w:t>ob upoštevanju poročila Odbora za ribištvo (A9-0000/2021),</w:t>
      </w:r>
    </w:p>
    <w:p w:rsidR="00ED0821" w:rsidRPr="00324581" w:rsidRDefault="00ED0821">
      <w:pPr>
        <w:pStyle w:val="NormalHanging12a"/>
      </w:pPr>
      <w:r>
        <w:t>1.</w:t>
      </w:r>
      <w:r>
        <w:tab/>
        <w:t>sprejme predlog Komisije kot svoje stališče v prvi obravnavi;</w:t>
      </w:r>
    </w:p>
    <w:p w:rsidR="00ED0821" w:rsidRPr="00324581" w:rsidRDefault="00ED0821">
      <w:pPr>
        <w:pStyle w:val="NormalHanging12a"/>
      </w:pPr>
      <w:r>
        <w:t>2.</w:t>
      </w:r>
      <w:r>
        <w:tab/>
        <w:t>poziva Komisijo, naj mu zadevo ponovno predloži, če svoj predlog nadomesti, ga bistveno spremeni ali ga namerava bistveno spremeniti;</w:t>
      </w:r>
    </w:p>
    <w:p w:rsidR="00ED0821" w:rsidRPr="00324581" w:rsidRDefault="00ED0821">
      <w:pPr>
        <w:pStyle w:val="NormalHanging12a"/>
      </w:pPr>
      <w:r>
        <w:t>3.</w:t>
      </w:r>
      <w:r>
        <w:tab/>
        <w:t>naroči svojemu predsedniku, naj stališče Parlamenta posreduje Svetu in Komisiji ter nacionalnim parlamentom.</w:t>
      </w:r>
    </w:p>
    <w:p w:rsidR="00324581" w:rsidRPr="00324581" w:rsidRDefault="00324581" w:rsidP="00324581">
      <w:pPr>
        <w:widowControl/>
      </w:pPr>
      <w:r>
        <w:br w:type="page"/>
      </w:r>
    </w:p>
    <w:p w:rsidR="00324581" w:rsidRPr="00324581" w:rsidRDefault="00324581" w:rsidP="00324581">
      <w:pPr>
        <w:pStyle w:val="PageHeading"/>
      </w:pPr>
      <w:bookmarkStart w:id="1" w:name="_Toc72217696"/>
      <w:r>
        <w:t>OBRAZLOŽITEV</w:t>
      </w:r>
      <w:bookmarkEnd w:id="1"/>
    </w:p>
    <w:p w:rsidR="00324581" w:rsidRPr="00324581" w:rsidRDefault="00324581" w:rsidP="00324581">
      <w:pPr>
        <w:rPr>
          <w:b/>
          <w:bCs/>
        </w:rPr>
      </w:pPr>
      <w:r>
        <w:rPr>
          <w:b/>
          <w:bCs/>
        </w:rPr>
        <w:t>Ozadje predloga</w:t>
      </w:r>
    </w:p>
    <w:p w:rsidR="00324581" w:rsidRPr="00324581" w:rsidRDefault="00324581" w:rsidP="00324581">
      <w:pPr>
        <w:rPr>
          <w:b/>
          <w:bCs/>
          <w:sz w:val="22"/>
        </w:rPr>
      </w:pPr>
    </w:p>
    <w:p w:rsidR="00324581" w:rsidRPr="00324581" w:rsidRDefault="00324581" w:rsidP="00324581">
      <w:r>
        <w:t xml:space="preserve">Evropska unija je od leta 1997 pogodbenica Mednarodne konvencije za ohranitev atlantskega tuna (konvencija ICCAT). </w:t>
      </w:r>
    </w:p>
    <w:p w:rsidR="00324581" w:rsidRPr="00324581" w:rsidRDefault="00324581" w:rsidP="00324581"/>
    <w:p w:rsidR="00324581" w:rsidRPr="00324581" w:rsidRDefault="00324581" w:rsidP="00324581">
      <w:r>
        <w:t xml:space="preserve">Ta konvencija določa okvir za regionalno sodelovanje pri ohranjanju in upravljanju tunov in tunom podobnih vrst v Atlantskem oceanu in sosednjih morjih z ustanovitvijo Mednarodne komisije za ohranitev tunov v Atlantiku (ICCAT). </w:t>
      </w:r>
    </w:p>
    <w:p w:rsidR="00324581" w:rsidRPr="00324581" w:rsidRDefault="00324581" w:rsidP="00324581"/>
    <w:p w:rsidR="00324581" w:rsidRPr="00324581" w:rsidRDefault="00324581" w:rsidP="00324581">
      <w:r>
        <w:t xml:space="preserve">ICCAT je pristojna za sprejemanje obvezujočih priporočil o ohranjanju in upravljanju ribištva v okviru svojih pristojnosti. Ti akti so v bistvu naslovljeni na pogodbenice ICCAT, kot je Unija, vendar vsebujejo tudi obveznosti za zasebne subjekte (na primer poveljnike ribiških plovil). </w:t>
      </w:r>
    </w:p>
    <w:p w:rsidR="00324581" w:rsidRPr="00324581" w:rsidRDefault="00324581" w:rsidP="00324581"/>
    <w:p w:rsidR="00324581" w:rsidRPr="00324581" w:rsidRDefault="00324581" w:rsidP="00324581">
      <w:pPr>
        <w:rPr>
          <w:b/>
          <w:bCs/>
        </w:rPr>
      </w:pPr>
      <w:r>
        <w:rPr>
          <w:b/>
          <w:bCs/>
        </w:rPr>
        <w:t>Vsebina predloga</w:t>
      </w:r>
    </w:p>
    <w:p w:rsidR="00324581" w:rsidRPr="00324581" w:rsidRDefault="00324581" w:rsidP="00324581"/>
    <w:p w:rsidR="00324581" w:rsidRPr="00324581" w:rsidRDefault="00324581" w:rsidP="00324581">
      <w:r>
        <w:t xml:space="preserve">Predlog (COM(2020)0670) določa pravila za program Unije za dokumentacijo o ulovu modroplavutega tuna, da bi se izvajali ukrepi za ohranjanje in upravljanje, ki jih je sprejela ICCAT v okviru svojega sistema dokumentacije o ulovu modroplavutega tuna. Namen slednjega je opredeliti poreklo vseh modroplavutih tunov. </w:t>
      </w:r>
    </w:p>
    <w:p w:rsidR="00324581" w:rsidRPr="00324581" w:rsidRDefault="00324581" w:rsidP="00324581"/>
    <w:p w:rsidR="00324581" w:rsidRPr="00324581" w:rsidRDefault="00324581" w:rsidP="00324581">
      <w:r>
        <w:t>Program Unije za dokumentacijo o ulovu je dejansko že vzpostavljen v skladu z Uredbo (EU) št. 640/2010. V predlogu, ki je trenutno v obravnavi in ki naj bi razveljavil Uredbo (EU) št. 640/2010, se evidentiranje in potrjevanje ulova in poznejših trgovinskih dogodkov za modroplavutega tuna izvaja prek elektronskega sistema dokumentov o ulovu modroplavutega tuna (eBCD), ki deluje od leta 2017 in ga države članice in gospodarski subjekti že uporabljajo. Predlog določa, da se lahko izjemoma elektronski sistem nadomesti s papirnimi dokumenti (BCD, dokument o ulovu modroplavutega tuna), ki so enakovredni zahtevam elektronskega sistema.</w:t>
      </w:r>
    </w:p>
    <w:p w:rsidR="00324581" w:rsidRPr="00324581" w:rsidRDefault="00324581" w:rsidP="00324581"/>
    <w:p w:rsidR="00324581" w:rsidRPr="00324581" w:rsidRDefault="00324581" w:rsidP="00324581">
      <w:r>
        <w:t>Poleg tega predlog vsebuje splošne določbe o uporabi dokumentov o ulovu in ponovnem izvozu modroplavutega tuna ter določa pravila za evidentiranje in potrjevanje ulova ter poznejših trgovinskih poslov v zvezi z modroplavutim tunom. Posebna pravila so določena za označene ribe. Vsebuje tudi določbe o preverjanju pred potrditvijo, prenosu podatkov uporabnikov eBCD in letnem poročanju ICCAT. Predlaga tudi obsežno uporabo delegiranih aktov za prihodnje spreminjanje temeljnega akta (v členu 14).</w:t>
      </w:r>
    </w:p>
    <w:p w:rsidR="00324581" w:rsidRPr="00324581" w:rsidRDefault="00324581" w:rsidP="00324581"/>
    <w:p w:rsidR="00324581" w:rsidRPr="00324581" w:rsidRDefault="00324581" w:rsidP="00324581"/>
    <w:p w:rsidR="00324581" w:rsidRPr="00324581" w:rsidRDefault="00324581" w:rsidP="00324581">
      <w:pPr>
        <w:rPr>
          <w:b/>
        </w:rPr>
      </w:pPr>
      <w:r>
        <w:rPr>
          <w:b/>
        </w:rPr>
        <w:t>Mnenje poročevalca</w:t>
      </w:r>
    </w:p>
    <w:p w:rsidR="00324581" w:rsidRPr="00324581" w:rsidRDefault="00324581" w:rsidP="00324581"/>
    <w:p w:rsidR="00324581" w:rsidRPr="00324581" w:rsidRDefault="00324581" w:rsidP="00324581">
      <w:pPr>
        <w:spacing w:after="240"/>
      </w:pPr>
      <w:r>
        <w:t xml:space="preserve">Poročevalec pozdravlja dejstvo, da je Komisija izvedla dosleden prenos priporočil ICCAT in tako vzpostavila enake konkurenčne pogoje za vse gospodarske subjekte. Zagotavljanje enakih pogojev za vse in spodbujanje visokih trajnostnih standardov EU za tuje flote z ukrepi EU v regionalnih organizacijah za upravljanje ribištva in drugih mednarodnih forumih je ključnega pomena za naše gospodarske subjekte in za izboljšanje mednarodnega upravljanja oceanov. </w:t>
      </w:r>
    </w:p>
    <w:p w:rsidR="00324581" w:rsidRPr="00324581" w:rsidRDefault="00324581" w:rsidP="00324581">
      <w:r>
        <w:t xml:space="preserve">Poročevalec meni, da je za gospodarske subjekte, javnost in partnerske države pomembno, da Komisija predlaga hiter prenos priporočil regionalnih organizacij za upravljanje ribištva, da bi se izognili zamudam pri izvajanju nekaterih določb. Ni logično, da se priporočila ICCAT iz leta 2018 in določitev rokov za leto 2020 sprejmejo leta 2021. </w:t>
      </w:r>
    </w:p>
    <w:p w:rsidR="00324581" w:rsidRPr="00324581" w:rsidRDefault="00324581" w:rsidP="00324581"/>
    <w:p w:rsidR="00324581" w:rsidRPr="00324581" w:rsidRDefault="00324581" w:rsidP="00324581">
      <w:r>
        <w:t>Glede na navedeno in glede na to, da gre za izrazito tehnični prenos brez bistvene politične vsebine, se je poročevalec odločil, da ne bo vlagal predlogov sprememb k predlogu Komisije.</w:t>
      </w:r>
    </w:p>
    <w:p w:rsidR="002A1CE3" w:rsidRPr="00324581" w:rsidRDefault="002A1CE3" w:rsidP="002A1CE3">
      <w:bookmarkStart w:id="2" w:name="_GoBack"/>
      <w:bookmarkEnd w:id="2"/>
    </w:p>
    <w:sectPr w:rsidR="002A1CE3" w:rsidRPr="00324581" w:rsidSect="00F31E3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01A0" w:rsidRPr="000801A0" w:rsidRDefault="000801A0">
      <w:r w:rsidRPr="000801A0">
        <w:separator/>
      </w:r>
    </w:p>
  </w:endnote>
  <w:endnote w:type="continuationSeparator" w:id="0">
    <w:p w:rsidR="000801A0" w:rsidRPr="000801A0" w:rsidRDefault="000801A0">
      <w:r w:rsidRPr="000801A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EFF" w:usb1="C000247B" w:usb2="00000009" w:usb3="00000000" w:csb0="000001FF" w:csb1="00000000"/>
  </w:font>
  <w:font w:name="DokChampa">
    <w:charset w:val="DE"/>
    <w:family w:val="swiss"/>
    <w:pitch w:val="variable"/>
    <w:sig w:usb0="00000000"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A66" w:rsidRPr="000801A0" w:rsidRDefault="00302A66" w:rsidP="00D1777C">
    <w:pPr>
      <w:pStyle w:val="EPFooter"/>
    </w:pPr>
    <w:r w:rsidRPr="000801A0">
      <w:t>PE</w:t>
    </w:r>
    <w:r w:rsidRPr="000801A0">
      <w:rPr>
        <w:rStyle w:val="HideTWBExt"/>
        <w:noProof w:val="0"/>
      </w:rPr>
      <w:t>&lt;NoPE&gt;</w:t>
    </w:r>
    <w:r w:rsidR="00324581" w:rsidRPr="00324581">
      <w:t>692.613</w:t>
    </w:r>
    <w:r w:rsidRPr="000801A0">
      <w:rPr>
        <w:rStyle w:val="HideTWBExt"/>
        <w:noProof w:val="0"/>
      </w:rPr>
      <w:t>&lt;/NoPE&gt;&lt;Version&gt;</w:t>
    </w:r>
    <w:r w:rsidR="000801A0" w:rsidRPr="000801A0">
      <w:t>v</w:t>
    </w:r>
    <w:r w:rsidR="00324581" w:rsidRPr="00324581">
      <w:t>01-00</w:t>
    </w:r>
    <w:r w:rsidRPr="000801A0">
      <w:rPr>
        <w:rStyle w:val="HideTWBExt"/>
        <w:noProof w:val="0"/>
      </w:rPr>
      <w:t>&lt;/Version&gt;</w:t>
    </w:r>
    <w:r w:rsidRPr="000801A0">
      <w:tab/>
    </w:r>
    <w:r w:rsidR="00913414" w:rsidRPr="000801A0">
      <w:fldChar w:fldCharType="begin"/>
    </w:r>
    <w:r w:rsidR="00913414" w:rsidRPr="000801A0">
      <w:instrText xml:space="preserve"> PAGE </w:instrText>
    </w:r>
    <w:r w:rsidR="00913414" w:rsidRPr="000801A0">
      <w:fldChar w:fldCharType="separate"/>
    </w:r>
    <w:r w:rsidR="00F912D4">
      <w:rPr>
        <w:noProof/>
      </w:rPr>
      <w:t>6</w:t>
    </w:r>
    <w:r w:rsidR="00913414" w:rsidRPr="000801A0">
      <w:fldChar w:fldCharType="end"/>
    </w:r>
    <w:r w:rsidR="00913414" w:rsidRPr="000801A0">
      <w:t>/</w:t>
    </w:r>
    <w:r w:rsidR="00913414" w:rsidRPr="000801A0">
      <w:rPr>
        <w:rStyle w:val="PageNumber"/>
      </w:rPr>
      <w:fldChar w:fldCharType="begin"/>
    </w:r>
    <w:r w:rsidR="00913414" w:rsidRPr="000801A0">
      <w:rPr>
        <w:rStyle w:val="PageNumber"/>
      </w:rPr>
      <w:instrText xml:space="preserve"> NUMPAGES </w:instrText>
    </w:r>
    <w:r w:rsidR="00913414" w:rsidRPr="000801A0">
      <w:rPr>
        <w:rStyle w:val="PageNumber"/>
      </w:rPr>
      <w:fldChar w:fldCharType="separate"/>
    </w:r>
    <w:r w:rsidR="00F912D4">
      <w:rPr>
        <w:rStyle w:val="PageNumber"/>
        <w:noProof/>
      </w:rPr>
      <w:t>7</w:t>
    </w:r>
    <w:r w:rsidR="00913414" w:rsidRPr="000801A0">
      <w:rPr>
        <w:rStyle w:val="PageNumber"/>
      </w:rPr>
      <w:fldChar w:fldCharType="end"/>
    </w:r>
    <w:r w:rsidRPr="000801A0">
      <w:tab/>
    </w:r>
    <w:r w:rsidRPr="000801A0">
      <w:rPr>
        <w:rStyle w:val="HideTWBExt"/>
        <w:noProof w:val="0"/>
      </w:rPr>
      <w:t>&lt;PathFdR&gt;</w:t>
    </w:r>
    <w:r w:rsidR="00324581" w:rsidRPr="00324581">
      <w:t>PR\1230271SL.docx</w:t>
    </w:r>
    <w:r w:rsidRPr="000801A0">
      <w:rPr>
        <w:rStyle w:val="HideTWBExt"/>
        <w:noProof w:val="0"/>
      </w:rPr>
      <w:t>&lt;/PathFdR&gt;</w:t>
    </w:r>
  </w:p>
  <w:p w:rsidR="00302A66" w:rsidRPr="000801A0" w:rsidRDefault="00B565A2">
    <w:pPr>
      <w:pStyle w:val="EPFooter2"/>
    </w:pPr>
    <w:fldSimple w:instr=" DOCPROPERTY &quot;&lt;Extension&gt;&quot; ">
      <w:r w:rsidR="00F912D4">
        <w:t>SL</w:t>
      </w:r>
    </w:fldSimple>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A66" w:rsidRPr="000801A0" w:rsidRDefault="00302A66" w:rsidP="00D1777C">
    <w:pPr>
      <w:pStyle w:val="EPFooter"/>
    </w:pPr>
    <w:r w:rsidRPr="000801A0">
      <w:rPr>
        <w:rStyle w:val="HideTWBExt"/>
        <w:noProof w:val="0"/>
      </w:rPr>
      <w:t>&lt;PathFdR&gt;</w:t>
    </w:r>
    <w:r w:rsidR="00324581" w:rsidRPr="00324581">
      <w:t>PR\1230271SL.docx</w:t>
    </w:r>
    <w:r w:rsidRPr="000801A0">
      <w:rPr>
        <w:rStyle w:val="HideTWBExt"/>
        <w:noProof w:val="0"/>
      </w:rPr>
      <w:t>&lt;/PathFdR&gt;</w:t>
    </w:r>
    <w:r w:rsidRPr="000801A0">
      <w:tab/>
    </w:r>
    <w:r w:rsidR="00913414" w:rsidRPr="000801A0">
      <w:fldChar w:fldCharType="begin"/>
    </w:r>
    <w:r w:rsidR="00913414" w:rsidRPr="000801A0">
      <w:instrText xml:space="preserve"> PAGE </w:instrText>
    </w:r>
    <w:r w:rsidR="00913414" w:rsidRPr="000801A0">
      <w:fldChar w:fldCharType="separate"/>
    </w:r>
    <w:r w:rsidR="00F912D4">
      <w:rPr>
        <w:noProof/>
      </w:rPr>
      <w:t>7</w:t>
    </w:r>
    <w:r w:rsidR="00913414" w:rsidRPr="000801A0">
      <w:fldChar w:fldCharType="end"/>
    </w:r>
    <w:r w:rsidR="00913414" w:rsidRPr="000801A0">
      <w:t>/</w:t>
    </w:r>
    <w:r w:rsidR="00913414" w:rsidRPr="000801A0">
      <w:rPr>
        <w:rStyle w:val="PageNumber"/>
      </w:rPr>
      <w:fldChar w:fldCharType="begin"/>
    </w:r>
    <w:r w:rsidR="00913414" w:rsidRPr="000801A0">
      <w:rPr>
        <w:rStyle w:val="PageNumber"/>
      </w:rPr>
      <w:instrText xml:space="preserve"> NUMPAGES </w:instrText>
    </w:r>
    <w:r w:rsidR="00913414" w:rsidRPr="000801A0">
      <w:rPr>
        <w:rStyle w:val="PageNumber"/>
      </w:rPr>
      <w:fldChar w:fldCharType="separate"/>
    </w:r>
    <w:r w:rsidR="00F912D4">
      <w:rPr>
        <w:rStyle w:val="PageNumber"/>
        <w:noProof/>
      </w:rPr>
      <w:t>7</w:t>
    </w:r>
    <w:r w:rsidR="00913414" w:rsidRPr="000801A0">
      <w:rPr>
        <w:rStyle w:val="PageNumber"/>
      </w:rPr>
      <w:fldChar w:fldCharType="end"/>
    </w:r>
    <w:r w:rsidRPr="000801A0">
      <w:tab/>
      <w:t>PE</w:t>
    </w:r>
    <w:r w:rsidRPr="000801A0">
      <w:rPr>
        <w:rStyle w:val="HideTWBExt"/>
        <w:noProof w:val="0"/>
      </w:rPr>
      <w:t>&lt;NoPE&gt;</w:t>
    </w:r>
    <w:r w:rsidR="00324581" w:rsidRPr="00324581">
      <w:t>692.613</w:t>
    </w:r>
    <w:r w:rsidRPr="000801A0">
      <w:rPr>
        <w:rStyle w:val="HideTWBExt"/>
        <w:noProof w:val="0"/>
      </w:rPr>
      <w:t>&lt;/NoPE&gt;&lt;Version&gt;</w:t>
    </w:r>
    <w:r w:rsidR="000801A0" w:rsidRPr="000801A0">
      <w:t>v</w:t>
    </w:r>
    <w:r w:rsidR="00324581" w:rsidRPr="00324581">
      <w:t>01-00</w:t>
    </w:r>
    <w:r w:rsidRPr="000801A0">
      <w:rPr>
        <w:rStyle w:val="HideTWBExt"/>
        <w:noProof w:val="0"/>
      </w:rPr>
      <w:t>&lt;/Version&gt;</w:t>
    </w:r>
  </w:p>
  <w:p w:rsidR="00302A66" w:rsidRPr="000801A0" w:rsidRDefault="00913414">
    <w:pPr>
      <w:pStyle w:val="EPFooter2"/>
    </w:pPr>
    <w:r w:rsidRPr="000801A0">
      <w:tab/>
    </w:r>
    <w:r w:rsidR="00302A66" w:rsidRPr="000801A0">
      <w:tab/>
    </w:r>
    <w:fldSimple w:instr=" DOCPROPERTY &quot;&lt;Extension&gt;&quot; ">
      <w:r w:rsidR="00F912D4">
        <w:t>SL</w:t>
      </w:r>
    </w:fldSimple>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A66" w:rsidRPr="000801A0" w:rsidRDefault="00302A66" w:rsidP="00D1777C">
    <w:pPr>
      <w:pStyle w:val="EPFooter"/>
    </w:pPr>
    <w:r w:rsidRPr="000801A0">
      <w:rPr>
        <w:rStyle w:val="HideTWBExt"/>
        <w:noProof w:val="0"/>
      </w:rPr>
      <w:t>&lt;PathFdR&gt;</w:t>
    </w:r>
    <w:r w:rsidR="00324581" w:rsidRPr="00324581">
      <w:t>PR\1230271SL.docx</w:t>
    </w:r>
    <w:r w:rsidRPr="000801A0">
      <w:rPr>
        <w:rStyle w:val="HideTWBExt"/>
        <w:noProof w:val="0"/>
      </w:rPr>
      <w:t>&lt;/PathFdR&gt;</w:t>
    </w:r>
    <w:r w:rsidRPr="000801A0">
      <w:tab/>
    </w:r>
    <w:r w:rsidRPr="000801A0">
      <w:tab/>
      <w:t>PE</w:t>
    </w:r>
    <w:r w:rsidRPr="000801A0">
      <w:rPr>
        <w:rStyle w:val="HideTWBExt"/>
        <w:noProof w:val="0"/>
      </w:rPr>
      <w:t>&lt;NoPE&gt;</w:t>
    </w:r>
    <w:r w:rsidR="00324581" w:rsidRPr="00324581">
      <w:t>692.613</w:t>
    </w:r>
    <w:r w:rsidRPr="000801A0">
      <w:rPr>
        <w:rStyle w:val="HideTWBExt"/>
        <w:noProof w:val="0"/>
      </w:rPr>
      <w:t>&lt;/NoPE&gt;&lt;Version&gt;</w:t>
    </w:r>
    <w:r w:rsidR="000801A0" w:rsidRPr="000801A0">
      <w:t>v</w:t>
    </w:r>
    <w:r w:rsidR="00324581" w:rsidRPr="00324581">
      <w:t>01-00</w:t>
    </w:r>
    <w:r w:rsidRPr="000801A0">
      <w:rPr>
        <w:rStyle w:val="HideTWBExt"/>
        <w:noProof w:val="0"/>
      </w:rPr>
      <w:t>&lt;/Version&gt;</w:t>
    </w:r>
  </w:p>
  <w:p w:rsidR="00302A66" w:rsidRPr="000801A0" w:rsidRDefault="00B565A2" w:rsidP="00C71A3C">
    <w:pPr>
      <w:pStyle w:val="EPFooter2"/>
      <w:tabs>
        <w:tab w:val="clear" w:pos="4535"/>
        <w:tab w:val="center" w:pos="4536"/>
      </w:tabs>
    </w:pPr>
    <w:fldSimple w:instr=" DOCPROPERTY &quot;&lt;Extension&gt;&quot; ">
      <w:r w:rsidR="00F912D4">
        <w:t>SL</w:t>
      </w:r>
    </w:fldSimple>
    <w:r w:rsidR="00302A66" w:rsidRPr="000801A0">
      <w:tab/>
    </w:r>
    <w:r w:rsidR="00324581">
      <w:rPr>
        <w:b w:val="0"/>
        <w:i/>
        <w:color w:val="C0C0C0"/>
        <w:sz w:val="22"/>
        <w:szCs w:val="22"/>
      </w:rPr>
      <w:t>Združena v raznolikosti</w:t>
    </w:r>
    <w:r w:rsidR="00302A66" w:rsidRPr="000801A0">
      <w:tab/>
    </w:r>
    <w:fldSimple w:instr=" DOCPROPERTY &quot;&lt;Extension&gt;&quot; ">
      <w:r w:rsidR="00F912D4">
        <w:t>SL</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01A0" w:rsidRPr="000801A0" w:rsidRDefault="000801A0">
      <w:r w:rsidRPr="000801A0">
        <w:separator/>
      </w:r>
    </w:p>
  </w:footnote>
  <w:footnote w:type="continuationSeparator" w:id="0">
    <w:p w:rsidR="000801A0" w:rsidRPr="000801A0" w:rsidRDefault="000801A0">
      <w:r w:rsidRPr="000801A0">
        <w:continuationSeparator/>
      </w:r>
    </w:p>
  </w:footnote>
  <w:footnote w:id="1">
    <w:p w:rsidR="00324581" w:rsidRDefault="00324581">
      <w:pPr>
        <w:pStyle w:val="FootnoteText"/>
      </w:pPr>
      <w:r>
        <w:rPr>
          <w:rStyle w:val="FootnoteReference"/>
        </w:rPr>
        <w:footnoteRef/>
      </w:r>
      <w:r>
        <w:t xml:space="preserve"> Še ni objavljeno v Uradnem listu.</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4581" w:rsidRDefault="003245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4581" w:rsidRDefault="0032458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4581" w:rsidRDefault="003245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NU" w:val=" 1"/>
    <w:docVar w:name="COMKEY" w:val="PECH"/>
    <w:docVar w:name="DOCMNU" w:val=" 1"/>
    <w:docVar w:name="INSTITUTIONSMNU" w:val=" 1"/>
    <w:docVar w:name="JURI1MNU" w:val=" 2"/>
    <w:docVar w:name="JURI2MNU" w:val=" 2"/>
    <w:docVar w:name="LastEditedSection" w:val=" 1"/>
    <w:docVar w:name="PARLIAMENTSMNU" w:val=" 2"/>
    <w:docVar w:name="strDocTypeID" w:val="PR_COD_1app"/>
    <w:docVar w:name="strSubDir" w:val="1230"/>
    <w:docVar w:name="TXTLANGUE" w:val="SL"/>
    <w:docVar w:name="TXTLANGUEMIN" w:val="sl"/>
    <w:docVar w:name="TXTNRC" w:val="0336/2020"/>
    <w:docVar w:name="TXTNRCOD" w:val="2020/0302"/>
    <w:docVar w:name="TXTNRCOM" w:val="(2020)0670"/>
    <w:docVar w:name="TXTNRPE" w:val="692.613"/>
    <w:docVar w:name="TXTPEorAP" w:val="PE"/>
    <w:docVar w:name="TXTROUTE" w:val="PR\1230271SL.docx"/>
    <w:docVar w:name="TXTTITLE" w:val="establishing a catch documentation programme for bluefin tuna (Thunnus thynnus) and repealing Regulation (EU) No 640/2010"/>
    <w:docVar w:name="TXTVERSION" w:val="01-00"/>
  </w:docVars>
  <w:rsids>
    <w:rsidRoot w:val="000801A0"/>
    <w:rsid w:val="00053B97"/>
    <w:rsid w:val="000801A0"/>
    <w:rsid w:val="000B5585"/>
    <w:rsid w:val="000C5EDC"/>
    <w:rsid w:val="00104AEE"/>
    <w:rsid w:val="00164B9B"/>
    <w:rsid w:val="00182506"/>
    <w:rsid w:val="001907B9"/>
    <w:rsid w:val="001A06D8"/>
    <w:rsid w:val="001D3524"/>
    <w:rsid w:val="00260FAA"/>
    <w:rsid w:val="002A1CE3"/>
    <w:rsid w:val="002B272A"/>
    <w:rsid w:val="002C3187"/>
    <w:rsid w:val="00302A66"/>
    <w:rsid w:val="0031764E"/>
    <w:rsid w:val="00324581"/>
    <w:rsid w:val="003A53CE"/>
    <w:rsid w:val="003C5583"/>
    <w:rsid w:val="004078CB"/>
    <w:rsid w:val="0041661E"/>
    <w:rsid w:val="00433573"/>
    <w:rsid w:val="00490742"/>
    <w:rsid w:val="00490D5F"/>
    <w:rsid w:val="004D7B3B"/>
    <w:rsid w:val="004F67E3"/>
    <w:rsid w:val="005172B3"/>
    <w:rsid w:val="00543B7B"/>
    <w:rsid w:val="005571A0"/>
    <w:rsid w:val="005663F7"/>
    <w:rsid w:val="0065285A"/>
    <w:rsid w:val="00715C52"/>
    <w:rsid w:val="007908B5"/>
    <w:rsid w:val="007D611D"/>
    <w:rsid w:val="00814B44"/>
    <w:rsid w:val="00837978"/>
    <w:rsid w:val="008663F8"/>
    <w:rsid w:val="008A07E3"/>
    <w:rsid w:val="008B26BF"/>
    <w:rsid w:val="008B5034"/>
    <w:rsid w:val="008E22DF"/>
    <w:rsid w:val="008E4B14"/>
    <w:rsid w:val="00913414"/>
    <w:rsid w:val="00972ED6"/>
    <w:rsid w:val="00A02CEA"/>
    <w:rsid w:val="00A40C66"/>
    <w:rsid w:val="00A43E6A"/>
    <w:rsid w:val="00A62C81"/>
    <w:rsid w:val="00AD26AD"/>
    <w:rsid w:val="00AE4E74"/>
    <w:rsid w:val="00AF7573"/>
    <w:rsid w:val="00B37926"/>
    <w:rsid w:val="00B52B6C"/>
    <w:rsid w:val="00B565A2"/>
    <w:rsid w:val="00BA5740"/>
    <w:rsid w:val="00BD28D4"/>
    <w:rsid w:val="00BE1457"/>
    <w:rsid w:val="00BE4EC7"/>
    <w:rsid w:val="00BF6269"/>
    <w:rsid w:val="00C54859"/>
    <w:rsid w:val="00C71A3C"/>
    <w:rsid w:val="00C82EBC"/>
    <w:rsid w:val="00D1777C"/>
    <w:rsid w:val="00D919CF"/>
    <w:rsid w:val="00DC3DED"/>
    <w:rsid w:val="00DF6C13"/>
    <w:rsid w:val="00E24902"/>
    <w:rsid w:val="00ED0609"/>
    <w:rsid w:val="00ED0821"/>
    <w:rsid w:val="00F0202A"/>
    <w:rsid w:val="00F31E31"/>
    <w:rsid w:val="00F912D4"/>
    <w:rsid w:val="00FC479A"/>
    <w:rsid w:val="00FF2A53"/>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92D86B5-2606-44E2-AB0F-29F4FCC78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5583"/>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37978"/>
    <w:pPr>
      <w:spacing w:before="480" w:after="240"/>
    </w:pPr>
  </w:style>
  <w:style w:type="paragraph" w:styleId="TOC1">
    <w:name w:val="toc 1"/>
    <w:basedOn w:val="Normal"/>
    <w:next w:val="Normal"/>
    <w:autoRedefine/>
    <w:uiPriority w:val="39"/>
    <w:rsid w:val="008E4B14"/>
    <w:pPr>
      <w:spacing w:after="240"/>
    </w:pPr>
  </w:style>
  <w:style w:type="paragraph" w:styleId="TOCHeading">
    <w:name w:val="TOC Heading"/>
    <w:basedOn w:val="Normal"/>
    <w:next w:val="TOCPage"/>
    <w:qFormat/>
    <w:rsid w:val="00FF2A53"/>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053B97"/>
    <w:pPr>
      <w:spacing w:before="80" w:after="80"/>
    </w:pPr>
    <w:rPr>
      <w:rFonts w:ascii="Arial Narrow" w:hAnsi="Arial Narrow" w:cs="Arial"/>
      <w:b/>
      <w:sz w:val="32"/>
      <w:szCs w:val="22"/>
    </w:rPr>
  </w:style>
  <w:style w:type="paragraph" w:customStyle="1" w:styleId="CoverNormal24a">
    <w:name w:val="CoverNormal24a"/>
    <w:basedOn w:val="Normal"/>
    <w:rsid w:val="00D1777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5285A"/>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D1777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64B9B"/>
    <w:pPr>
      <w:tabs>
        <w:tab w:val="center" w:pos="4513"/>
        <w:tab w:val="right" w:pos="9026"/>
      </w:tabs>
    </w:pPr>
  </w:style>
  <w:style w:type="table" w:styleId="TableGrid">
    <w:name w:val="Table Grid"/>
    <w:basedOn w:val="TableNormal"/>
    <w:rsid w:val="00C71A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71A3C"/>
    <w:pPr>
      <w:jc w:val="center"/>
    </w:pPr>
    <w:rPr>
      <w:rFonts w:ascii="Arial" w:hAnsi="Arial" w:cs="Arial"/>
      <w:i/>
      <w:sz w:val="22"/>
      <w:szCs w:val="22"/>
    </w:rPr>
  </w:style>
  <w:style w:type="paragraph" w:customStyle="1" w:styleId="LineTop">
    <w:name w:val="LineTop"/>
    <w:basedOn w:val="Normal"/>
    <w:next w:val="Normal"/>
    <w:rsid w:val="00C71A3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71A3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053B97"/>
    <w:pPr>
      <w:spacing w:after="80"/>
    </w:pPr>
    <w:rPr>
      <w:rFonts w:ascii="Arial" w:hAnsi="Arial" w:cs="Arial"/>
      <w:sz w:val="20"/>
      <w:szCs w:val="22"/>
    </w:rPr>
  </w:style>
  <w:style w:type="paragraph" w:customStyle="1" w:styleId="EPLogo">
    <w:name w:val="EPLogo"/>
    <w:basedOn w:val="Normal"/>
    <w:qFormat/>
    <w:rsid w:val="00053B97"/>
    <w:pPr>
      <w:jc w:val="right"/>
    </w:pPr>
  </w:style>
  <w:style w:type="paragraph" w:customStyle="1" w:styleId="EPFooter">
    <w:name w:val="EPFooter"/>
    <w:basedOn w:val="Normal"/>
    <w:rsid w:val="00D1777C"/>
    <w:pPr>
      <w:tabs>
        <w:tab w:val="center" w:pos="4535"/>
        <w:tab w:val="right" w:pos="9071"/>
      </w:tabs>
      <w:spacing w:before="240" w:after="240"/>
    </w:pPr>
    <w:rPr>
      <w:sz w:val="22"/>
    </w:rPr>
  </w:style>
  <w:style w:type="character" w:styleId="PageNumber">
    <w:name w:val="page number"/>
    <w:basedOn w:val="DefaultParagraphFont"/>
    <w:semiHidden/>
    <w:rsid w:val="00913414"/>
  </w:style>
  <w:style w:type="character" w:customStyle="1" w:styleId="HeaderChar">
    <w:name w:val="Header Char"/>
    <w:basedOn w:val="DefaultParagraphFont"/>
    <w:link w:val="Header"/>
    <w:semiHidden/>
    <w:rsid w:val="00164B9B"/>
    <w:rPr>
      <w:sz w:val="24"/>
    </w:rPr>
  </w:style>
  <w:style w:type="paragraph" w:customStyle="1" w:styleId="Lgendesigne">
    <w:name w:val="Légende signe"/>
    <w:basedOn w:val="Normal"/>
    <w:rsid w:val="00324581"/>
    <w:pPr>
      <w:tabs>
        <w:tab w:val="right" w:pos="454"/>
        <w:tab w:val="left" w:pos="737"/>
      </w:tabs>
      <w:ind w:left="737" w:hanging="737"/>
    </w:pPr>
    <w:rPr>
      <w:snapToGrid w:val="0"/>
      <w:sz w:val="18"/>
      <w:lang w:eastAsia="en-US"/>
    </w:rPr>
  </w:style>
  <w:style w:type="paragraph" w:customStyle="1" w:styleId="Lgendetitre">
    <w:name w:val="Légende titre"/>
    <w:basedOn w:val="Normal"/>
    <w:rsid w:val="00324581"/>
    <w:pPr>
      <w:spacing w:before="240" w:after="240"/>
    </w:pPr>
    <w:rPr>
      <w:b/>
      <w:i/>
      <w:snapToGrid w:val="0"/>
      <w:lang w:eastAsia="en-US"/>
    </w:rPr>
  </w:style>
  <w:style w:type="paragraph" w:customStyle="1" w:styleId="Lgendestandard">
    <w:name w:val="Légende standard"/>
    <w:basedOn w:val="Normal"/>
    <w:rsid w:val="00324581"/>
    <w:rPr>
      <w:sz w:val="18"/>
    </w:rPr>
  </w:style>
  <w:style w:type="paragraph" w:styleId="FootnoteText">
    <w:name w:val="footnote text"/>
    <w:basedOn w:val="Normal"/>
    <w:link w:val="FootnoteTextChar"/>
    <w:rsid w:val="00324581"/>
    <w:rPr>
      <w:sz w:val="20"/>
    </w:rPr>
  </w:style>
  <w:style w:type="character" w:customStyle="1" w:styleId="FootnoteTextChar">
    <w:name w:val="Footnote Text Char"/>
    <w:basedOn w:val="DefaultParagraphFont"/>
    <w:link w:val="FootnoteText"/>
    <w:rsid w:val="00324581"/>
    <w:rPr>
      <w:lang w:val="sl-SI"/>
    </w:rPr>
  </w:style>
  <w:style w:type="character" w:styleId="FootnoteReference">
    <w:name w:val="footnote reference"/>
    <w:basedOn w:val="DefaultParagraphFont"/>
    <w:rsid w:val="00324581"/>
    <w:rPr>
      <w:vertAlign w:val="superscript"/>
    </w:rPr>
  </w:style>
  <w:style w:type="paragraph" w:styleId="Footer">
    <w:name w:val="footer"/>
    <w:basedOn w:val="Normal"/>
    <w:link w:val="FooterChar"/>
    <w:semiHidden/>
    <w:rsid w:val="00324581"/>
    <w:pPr>
      <w:tabs>
        <w:tab w:val="center" w:pos="4513"/>
        <w:tab w:val="right" w:pos="9026"/>
      </w:tabs>
    </w:pPr>
  </w:style>
  <w:style w:type="character" w:customStyle="1" w:styleId="FooterChar">
    <w:name w:val="Footer Char"/>
    <w:basedOn w:val="DefaultParagraphFont"/>
    <w:link w:val="Footer"/>
    <w:semiHidden/>
    <w:rsid w:val="00324581"/>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6E207A-BD5D-4899-83E1-B36529F51C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897</Words>
  <Characters>5594</Characters>
  <Application>Microsoft Office Word</Application>
  <DocSecurity>0</DocSecurity>
  <Lines>155</Lines>
  <Paragraphs>71</Paragraphs>
  <ScaleCrop>false</ScaleCrop>
  <HeadingPairs>
    <vt:vector size="2" baseType="variant">
      <vt:variant>
        <vt:lpstr>Title</vt:lpstr>
      </vt:variant>
      <vt:variant>
        <vt:i4>1</vt:i4>
      </vt:variant>
    </vt:vector>
  </HeadingPairs>
  <TitlesOfParts>
    <vt:vector size="1" baseType="lpstr">
      <vt:lpstr>PR_COD_1app</vt:lpstr>
    </vt:vector>
  </TitlesOfParts>
  <Company/>
  <LinksUpToDate>false</LinksUpToDate>
  <CharactersWithSpaces>6420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PR_COD_1app</dc:title>
  <dc:subject/>
  <dc:creator>POTOCNIK Lea</dc:creator>
  <cp:keywords/>
  <dc:description/>
  <cp:lastModifiedBy>VASIC Sanja</cp:lastModifiedBy>
  <cp:revision>2</cp:revision>
  <cp:lastPrinted>2004-11-04T10:10:00Z</cp:lastPrinted>
  <dcterms:created xsi:type="dcterms:W3CDTF">2021-05-18T06:08:00Z</dcterms:created>
  <dcterms:modified xsi:type="dcterms:W3CDTF">2021-05-18T06:08:00Z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9.9.1 Build [20200705]</vt:lpwstr>
  </property>
  <property fmtid="{D5CDD505-2E9C-101B-9397-08002B2CF9AE}" pid="3" name="LastEdited with">
    <vt:lpwstr>9.9.1 Build [20200705]</vt:lpwstr>
  </property>
  <property fmtid="{D5CDD505-2E9C-101B-9397-08002B2CF9AE}" pid="4" name="&lt;FdR&gt;">
    <vt:lpwstr>1230271</vt:lpwstr>
  </property>
  <property fmtid="{D5CDD505-2E9C-101B-9397-08002B2CF9AE}" pid="5" name="&lt;Type&gt;">
    <vt:lpwstr>PR</vt:lpwstr>
  </property>
  <property fmtid="{D5CDD505-2E9C-101B-9397-08002B2CF9AE}" pid="6" name="&lt;ModelCod&gt;">
    <vt:lpwstr>\\eiciBRUpr1\pdocep$\DocEP\DOCS\General\PR\PR_Leg\COD\COD_1st\PR_COD_1app.dotx(17/04/2020 19:27:09)</vt:lpwstr>
  </property>
  <property fmtid="{D5CDD505-2E9C-101B-9397-08002B2CF9AE}" pid="7" name="&lt;ModelTra&gt;">
    <vt:lpwstr>\\eiciBRUpr1\pdocep$\DocEP\TRANSFIL\SL\PR_COD_1app.SL(07/09/2020 19:07:26)</vt:lpwstr>
  </property>
  <property fmtid="{D5CDD505-2E9C-101B-9397-08002B2CF9AE}" pid="8" name="&lt;Model&gt;">
    <vt:lpwstr>PR_COD_1app</vt:lpwstr>
  </property>
  <property fmtid="{D5CDD505-2E9C-101B-9397-08002B2CF9AE}" pid="9" name="FooterPath">
    <vt:lpwstr>PR\1230271SL.docx</vt:lpwstr>
  </property>
  <property fmtid="{D5CDD505-2E9C-101B-9397-08002B2CF9AE}" pid="10" name="PE number">
    <vt:lpwstr>692.613</vt:lpwstr>
  </property>
  <property fmtid="{D5CDD505-2E9C-101B-9397-08002B2CF9AE}" pid="11" name="Bookout">
    <vt:lpwstr>OK - 2021/05/18 08:07</vt:lpwstr>
  </property>
  <property fmtid="{D5CDD505-2E9C-101B-9397-08002B2CF9AE}" pid="12" name="SDLStudio">
    <vt:lpwstr/>
  </property>
  <property fmtid="{D5CDD505-2E9C-101B-9397-08002B2CF9AE}" pid="13" name="&lt;Extension&gt;">
    <vt:lpwstr>SL</vt:lpwstr>
  </property>
</Properties>
</file>