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EE0A27" w:rsidRPr="00BD1086" w14:paraId="678E84D1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B14D2B4" w14:textId="77777777" w:rsidR="00EE0A27" w:rsidRPr="00BD1086" w:rsidRDefault="00F67AFA" w:rsidP="00C85D0F">
            <w:pPr>
              <w:pStyle w:val="EPName"/>
            </w:pPr>
            <w:r w:rsidRPr="00BD1086">
              <w:t>Evropský parlament</w:t>
            </w:r>
          </w:p>
          <w:p w14:paraId="78E4180E" w14:textId="77777777" w:rsidR="00EE0A27" w:rsidRPr="00BD1086" w:rsidRDefault="002C5A3A" w:rsidP="002C5A3A">
            <w:pPr>
              <w:pStyle w:val="EPTerm"/>
            </w:pPr>
            <w:r w:rsidRPr="00BD1086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617BDB07" w14:textId="77777777" w:rsidR="00EE0A27" w:rsidRPr="00BD1086" w:rsidRDefault="00EE0A27" w:rsidP="00C85D0F">
            <w:pPr>
              <w:pStyle w:val="EPLogo"/>
            </w:pPr>
            <w:r w:rsidRPr="00BD1086">
              <w:rPr>
                <w:noProof/>
                <w:lang w:val="en-GB"/>
              </w:rPr>
              <w:drawing>
                <wp:inline distT="0" distB="0" distL="0" distR="0" wp14:anchorId="0836D156" wp14:editId="3A09851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18A27A1" w14:textId="77777777" w:rsidR="00E3537C" w:rsidRPr="00BD1086" w:rsidRDefault="00E3537C" w:rsidP="00E3537C">
      <w:pPr>
        <w:pStyle w:val="LineTop"/>
      </w:pPr>
    </w:p>
    <w:p w14:paraId="0C1F464D" w14:textId="77777777" w:rsidR="00E3537C" w:rsidRPr="00BD1086" w:rsidRDefault="00E3537C" w:rsidP="00E3537C">
      <w:pPr>
        <w:pStyle w:val="EPBody"/>
      </w:pPr>
      <w:r w:rsidRPr="00BD1086">
        <w:rPr>
          <w:rStyle w:val="HideTWBExt"/>
        </w:rPr>
        <w:t>&lt;</w:t>
      </w:r>
      <w:r w:rsidRPr="00BD1086">
        <w:rPr>
          <w:rStyle w:val="HideTWBExt"/>
          <w:i w:val="0"/>
        </w:rPr>
        <w:t>Commission</w:t>
      </w:r>
      <w:r w:rsidRPr="00BD1086">
        <w:rPr>
          <w:rStyle w:val="HideTWBExt"/>
        </w:rPr>
        <w:t>&gt;</w:t>
      </w:r>
      <w:r w:rsidRPr="00BD1086">
        <w:rPr>
          <w:rStyle w:val="HideTWBInt"/>
        </w:rPr>
        <w:t>{PECH}</w:t>
      </w:r>
      <w:r w:rsidRPr="00BD1086">
        <w:t>Výbor pro rybolov</w:t>
      </w:r>
      <w:r w:rsidRPr="00BD1086">
        <w:rPr>
          <w:rStyle w:val="HideTWBExt"/>
        </w:rPr>
        <w:t>&lt;/</w:t>
      </w:r>
      <w:r w:rsidRPr="00BD1086">
        <w:rPr>
          <w:rStyle w:val="HideTWBExt"/>
          <w:i w:val="0"/>
        </w:rPr>
        <w:t>Commission</w:t>
      </w:r>
      <w:r w:rsidRPr="00BD1086">
        <w:rPr>
          <w:rStyle w:val="HideTWBExt"/>
        </w:rPr>
        <w:t>&gt;</w:t>
      </w:r>
    </w:p>
    <w:p w14:paraId="26D8A049" w14:textId="77777777" w:rsidR="00E3537C" w:rsidRPr="00BD1086" w:rsidRDefault="00E3537C" w:rsidP="00E3537C">
      <w:pPr>
        <w:pStyle w:val="LineBottom"/>
      </w:pPr>
    </w:p>
    <w:p w14:paraId="5F89DFB8" w14:textId="77777777" w:rsidR="00100069" w:rsidRPr="00BD1086" w:rsidRDefault="00100069">
      <w:pPr>
        <w:pStyle w:val="CoverReference"/>
      </w:pPr>
      <w:r w:rsidRPr="00BD1086">
        <w:rPr>
          <w:rStyle w:val="HideTWBExt"/>
          <w:b w:val="0"/>
        </w:rPr>
        <w:t>&lt;RefProc&gt;</w:t>
      </w:r>
      <w:r w:rsidRPr="00BD1086">
        <w:t>2023/2049</w:t>
      </w:r>
      <w:r w:rsidRPr="00BD1086">
        <w:rPr>
          <w:rStyle w:val="HideTWBExt"/>
          <w:b w:val="0"/>
        </w:rPr>
        <w:t>&lt;/RefProc&gt;&lt;RefTypeProc&gt;</w:t>
      </w:r>
      <w:r w:rsidRPr="00BD1086">
        <w:t>(INI)</w:t>
      </w:r>
      <w:r w:rsidRPr="00BD1086">
        <w:rPr>
          <w:rStyle w:val="HideTWBExt"/>
          <w:b w:val="0"/>
        </w:rPr>
        <w:t>&lt;/RefTypeProc&gt;</w:t>
      </w:r>
    </w:p>
    <w:p w14:paraId="47586F75" w14:textId="77777777" w:rsidR="00100069" w:rsidRPr="00BD1086" w:rsidRDefault="00100069">
      <w:pPr>
        <w:pStyle w:val="CoverDate"/>
      </w:pPr>
      <w:r w:rsidRPr="00BD1086">
        <w:rPr>
          <w:rStyle w:val="HideTWBExt"/>
        </w:rPr>
        <w:t>&lt;Date&gt;</w:t>
      </w:r>
      <w:r w:rsidRPr="00BD1086">
        <w:rPr>
          <w:rStyle w:val="HideTWBInt"/>
        </w:rPr>
        <w:t>{27/06/2023}</w:t>
      </w:r>
      <w:r w:rsidRPr="00BD1086">
        <w:t>27.6.2023</w:t>
      </w:r>
      <w:r w:rsidRPr="00BD1086">
        <w:rPr>
          <w:rStyle w:val="HideTWBExt"/>
        </w:rPr>
        <w:t>&lt;/Date&gt;</w:t>
      </w:r>
    </w:p>
    <w:p w14:paraId="26B8BEA3" w14:textId="77777777" w:rsidR="00100069" w:rsidRPr="00BD1086" w:rsidRDefault="00100069">
      <w:pPr>
        <w:pStyle w:val="CoverDocType24a"/>
      </w:pPr>
      <w:r w:rsidRPr="00BD1086">
        <w:rPr>
          <w:rStyle w:val="HideTWBExt"/>
          <w:b w:val="0"/>
        </w:rPr>
        <w:t>&lt;TitreType&gt;</w:t>
      </w:r>
      <w:r w:rsidRPr="00BD1086">
        <w:t>NÁVRH ZPRÁVY</w:t>
      </w:r>
      <w:r w:rsidRPr="00BD1086">
        <w:rPr>
          <w:rStyle w:val="HideTWBExt"/>
          <w:b w:val="0"/>
        </w:rPr>
        <w:t>&lt;/TitreType&gt;</w:t>
      </w:r>
    </w:p>
    <w:p w14:paraId="1876329B" w14:textId="2A770FCD" w:rsidR="00100069" w:rsidRPr="00BD1086" w:rsidRDefault="00100069">
      <w:pPr>
        <w:pStyle w:val="CoverNormal"/>
      </w:pPr>
      <w:r w:rsidRPr="00BD1086">
        <w:rPr>
          <w:rStyle w:val="HideTWBExt"/>
        </w:rPr>
        <w:t>&lt;Titre&gt;</w:t>
      </w:r>
      <w:r w:rsidRPr="00BD1086">
        <w:t>o provádění nařízení o společné organizaci trhů s produkty rybolovu a akvakultury – nařízení (EU) 1379/2013</w:t>
      </w:r>
      <w:r w:rsidRPr="00BD1086">
        <w:rPr>
          <w:rStyle w:val="HideTWBExt"/>
        </w:rPr>
        <w:t>&lt;/Titre&gt;</w:t>
      </w:r>
    </w:p>
    <w:p w14:paraId="0980316A" w14:textId="77777777" w:rsidR="00100069" w:rsidRPr="00BD1086" w:rsidRDefault="00100069">
      <w:pPr>
        <w:pStyle w:val="CoverNormal24a"/>
      </w:pPr>
      <w:r w:rsidRPr="00BD1086">
        <w:rPr>
          <w:rStyle w:val="HideTWBExt"/>
        </w:rPr>
        <w:t>&lt;DocRef&gt;</w:t>
      </w:r>
      <w:r w:rsidRPr="00BD1086">
        <w:t>(2023/2049(INI))</w:t>
      </w:r>
      <w:r w:rsidRPr="00BD1086">
        <w:rPr>
          <w:rStyle w:val="HideTWBExt"/>
        </w:rPr>
        <w:t>&lt;/DocRef&gt;</w:t>
      </w:r>
    </w:p>
    <w:p w14:paraId="15F45F77" w14:textId="77777777" w:rsidR="00100069" w:rsidRPr="00BD1086" w:rsidRDefault="00100069">
      <w:pPr>
        <w:pStyle w:val="CoverNormal24a"/>
      </w:pPr>
      <w:r w:rsidRPr="00BD1086">
        <w:rPr>
          <w:rStyle w:val="HideTWBExt"/>
        </w:rPr>
        <w:t>&lt;Commission&gt;</w:t>
      </w:r>
      <w:r w:rsidRPr="00BD1086">
        <w:rPr>
          <w:rStyle w:val="HideTWBInt"/>
        </w:rPr>
        <w:t>{PECH}</w:t>
      </w:r>
      <w:r w:rsidRPr="00BD1086">
        <w:t>Výbor pro rybolov</w:t>
      </w:r>
      <w:r w:rsidRPr="00BD1086">
        <w:rPr>
          <w:rStyle w:val="HideTWBExt"/>
        </w:rPr>
        <w:t>&lt;/Commission&gt;</w:t>
      </w:r>
    </w:p>
    <w:p w14:paraId="5AFF154C" w14:textId="77777777" w:rsidR="00100069" w:rsidRPr="00BD1086" w:rsidRDefault="00F67AFA">
      <w:pPr>
        <w:pStyle w:val="CoverNormal24a"/>
      </w:pPr>
      <w:r w:rsidRPr="00BD1086">
        <w:t xml:space="preserve">Zpravodajka: </w:t>
      </w:r>
      <w:r w:rsidRPr="00BD1086">
        <w:rPr>
          <w:rStyle w:val="HideTWBExt"/>
        </w:rPr>
        <w:t>&lt;Depute&gt;</w:t>
      </w:r>
      <w:r w:rsidRPr="00BD1086">
        <w:t>Izaskun Bilbao Barandica</w:t>
      </w:r>
      <w:r w:rsidRPr="00BD1086">
        <w:rPr>
          <w:rStyle w:val="HideTWBExt"/>
        </w:rPr>
        <w:t>&lt;/Depute&gt;</w:t>
      </w:r>
    </w:p>
    <w:p w14:paraId="06E0DFE0" w14:textId="77777777" w:rsidR="00E155CA" w:rsidRPr="00BD1086" w:rsidRDefault="00E155CA" w:rsidP="00E155CA">
      <w:pPr>
        <w:pStyle w:val="CoverNormal"/>
      </w:pPr>
    </w:p>
    <w:p w14:paraId="7BF950FD" w14:textId="77777777" w:rsidR="00100069" w:rsidRPr="00BD1086" w:rsidRDefault="00100069" w:rsidP="002544DF">
      <w:pPr>
        <w:widowControl/>
        <w:tabs>
          <w:tab w:val="center" w:pos="4677"/>
        </w:tabs>
      </w:pPr>
      <w:r w:rsidRPr="00BD1086">
        <w:br w:type="page"/>
      </w:r>
      <w:r w:rsidRPr="00BD1086">
        <w:lastRenderedPageBreak/>
        <w:t>PR_INI_ImplReport</w:t>
      </w:r>
    </w:p>
    <w:p w14:paraId="26A4F817" w14:textId="77777777" w:rsidR="00100069" w:rsidRPr="00BD1086" w:rsidRDefault="00F67AFA">
      <w:pPr>
        <w:pStyle w:val="TOCHeading"/>
      </w:pPr>
      <w:r w:rsidRPr="00BD1086">
        <w:t>OBSAH</w:t>
      </w:r>
    </w:p>
    <w:p w14:paraId="21CE5FB3" w14:textId="77777777" w:rsidR="00100069" w:rsidRPr="00BD1086" w:rsidRDefault="00F67AFA">
      <w:pPr>
        <w:pStyle w:val="TOCPage"/>
      </w:pPr>
      <w:r w:rsidRPr="00BD1086">
        <w:t>Strana</w:t>
      </w:r>
    </w:p>
    <w:p w14:paraId="51103F77" w14:textId="291E7CAD" w:rsidR="008A5C38" w:rsidRDefault="002544DF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 w:rsidRPr="00BD1086">
        <w:rPr>
          <w:b/>
        </w:rPr>
        <w:fldChar w:fldCharType="begin"/>
      </w:r>
      <w:r w:rsidRPr="00BD1086">
        <w:rPr>
          <w:b/>
        </w:rPr>
        <w:instrText xml:space="preserve"> TOC \t "</w:instrText>
      </w:r>
      <w:r w:rsidRPr="00BD1086">
        <w:instrText>PageHeading</w:instrText>
      </w:r>
      <w:r w:rsidR="008A5C38">
        <w:rPr>
          <w:b/>
        </w:rPr>
        <w:instrText>;</w:instrText>
      </w:r>
      <w:r w:rsidRPr="00BD1086">
        <w:rPr>
          <w:b/>
        </w:rPr>
        <w:instrText xml:space="preserve">1" </w:instrText>
      </w:r>
      <w:r w:rsidRPr="00BD1086">
        <w:rPr>
          <w:b/>
        </w:rPr>
        <w:fldChar w:fldCharType="separate"/>
      </w:r>
      <w:r w:rsidR="008A5C38">
        <w:rPr>
          <w:noProof/>
        </w:rPr>
        <w:t>VYSVĚTLUJÍCÍ PROHLÁŠENÍ – SHRNUTÍ SKUTEČNOSTÍ A ZJIŠTĚNÍ</w:t>
      </w:r>
      <w:r w:rsidR="008A5C38">
        <w:rPr>
          <w:noProof/>
        </w:rPr>
        <w:tab/>
      </w:r>
      <w:r w:rsidR="008A5C38">
        <w:rPr>
          <w:noProof/>
        </w:rPr>
        <w:fldChar w:fldCharType="begin"/>
      </w:r>
      <w:r w:rsidR="008A5C38">
        <w:rPr>
          <w:noProof/>
        </w:rPr>
        <w:instrText xml:space="preserve"> PAGEREF _Toc139965599 \h </w:instrText>
      </w:r>
      <w:r w:rsidR="008A5C38">
        <w:rPr>
          <w:noProof/>
        </w:rPr>
      </w:r>
      <w:r w:rsidR="008A5C38">
        <w:rPr>
          <w:noProof/>
        </w:rPr>
        <w:fldChar w:fldCharType="separate"/>
      </w:r>
      <w:r w:rsidR="008A5C38">
        <w:rPr>
          <w:noProof/>
        </w:rPr>
        <w:t>3</w:t>
      </w:r>
      <w:r w:rsidR="008A5C38">
        <w:rPr>
          <w:noProof/>
        </w:rPr>
        <w:fldChar w:fldCharType="end"/>
      </w:r>
    </w:p>
    <w:p w14:paraId="775FA1E0" w14:textId="02D57866" w:rsidR="008A5C38" w:rsidRDefault="008A5C38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>
        <w:rPr>
          <w:noProof/>
        </w:rPr>
        <w:t>NÁVRH USNESENÍ EVROPSKÉHO PARLAMENTU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_Toc139965600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14:paraId="64CF7469" w14:textId="46088CD9" w:rsidR="00E155CA" w:rsidRPr="00BD1086" w:rsidRDefault="002544DF" w:rsidP="00A10B87">
      <w:r w:rsidRPr="00BD1086">
        <w:rPr>
          <w:b/>
        </w:rPr>
        <w:fldChar w:fldCharType="end"/>
      </w:r>
    </w:p>
    <w:p w14:paraId="05B1BF62" w14:textId="34A5E997" w:rsidR="00D63CD1" w:rsidRPr="00BD1086" w:rsidRDefault="00100069">
      <w:pPr>
        <w:pStyle w:val="PageHeading"/>
      </w:pPr>
      <w:bookmarkStart w:id="0" w:name="_GoBack"/>
      <w:bookmarkEnd w:id="0"/>
      <w:r w:rsidRPr="00BD1086">
        <w:br w:type="page"/>
      </w:r>
      <w:bookmarkStart w:id="1" w:name="_Toc26759888"/>
      <w:bookmarkStart w:id="2" w:name="_Toc86200285"/>
      <w:bookmarkStart w:id="3" w:name="_Toc139965599"/>
      <w:r w:rsidRPr="00BD1086">
        <w:lastRenderedPageBreak/>
        <w:t>VYSVĚTLUJÍCÍ PROHLÁŠENÍ – SHRNUTÍ SKUTEČNOSTÍ A ZJIŠTĚNÍ</w:t>
      </w:r>
      <w:bookmarkEnd w:id="3"/>
    </w:p>
    <w:p w14:paraId="0F07C0E9" w14:textId="77777777" w:rsidR="002C5A3A" w:rsidRPr="00BD1086" w:rsidRDefault="002C5A3A" w:rsidP="002C5A3A">
      <w:pPr>
        <w:pStyle w:val="Normal12a"/>
      </w:pPr>
      <w:r w:rsidRPr="00BD1086">
        <w:t>V článku 48 nařízení Evropského parlamentu a Rady č. 1379/2013 ze dne 11. prosince 2013 o společné organizaci trhů s produkty rybolovu a akvakultury se stanoví, že do 31. prosince 2022 předloží Komise Evropskému parlamentu a Radě zprávu o výsledcích uplatňování tohoto nařízení.</w:t>
      </w:r>
    </w:p>
    <w:p w14:paraId="378067DD" w14:textId="77777777" w:rsidR="002C5A3A" w:rsidRPr="00BD1086" w:rsidRDefault="002C5A3A" w:rsidP="002C5A3A">
      <w:pPr>
        <w:pStyle w:val="Normal12a"/>
      </w:pPr>
      <w:r w:rsidRPr="00BD1086">
        <w:t xml:space="preserve">Komise tuto zprávu přijala dne 21. února 2023 a Výbor pro rybolov (PECH) rozhodl, že vypracuje zprávu o provádění uvedeného nařízení. </w:t>
      </w:r>
    </w:p>
    <w:p w14:paraId="541D4C1F" w14:textId="77777777" w:rsidR="002C5A3A" w:rsidRPr="00BD1086" w:rsidRDefault="002C5A3A" w:rsidP="002C5A3A">
      <w:pPr>
        <w:pStyle w:val="Normal12a"/>
      </w:pPr>
      <w:r w:rsidRPr="00BD1086">
        <w:t xml:space="preserve">Stávající nařízení o společné organizaci trhů bylo přijato v rámci balíčku, který se zaměřoval na revizi nařízení o společné rybářské politice v roce 2013. Revize z roku 2013 provedla některé zásadní změny ve fungování společné organizace trhů s produkty rybolovu a akvakultury. Revize posílila zejména úlohu organizace producentů při řízení trhu, zatímco některá intervenční opatření na trhu byla zrušena, například opatření pro trvalé stažení produktů rybolovu z oblasti lidské spotřeby nebo jejich zničení. Organizace producentů hrají důležitou roli také ve vztahu k pravidlům hospodářské soutěže, neboť pouze organizace producentů uznané podle nařízení o společné organizaci trhů se mohou odchýlit od pravidel hospodářské soutěže a získat přístup ke zvláštním fondům EU určeným na jejich činnosti v oblasti řízení trhu. </w:t>
      </w:r>
    </w:p>
    <w:p w14:paraId="02FE1C01" w14:textId="77777777" w:rsidR="002C5A3A" w:rsidRPr="00BD1086" w:rsidRDefault="002C5A3A" w:rsidP="002C5A3A">
      <w:pPr>
        <w:pStyle w:val="Normal12a"/>
      </w:pPr>
      <w:r w:rsidRPr="00BD1086">
        <w:t>Nařízení o společné organizaci trhů je nedílnou a důležitou součástí souboru pravidel, který tvoří pravidla společné rybářské politiky, a to zejména s cílem zajistit dobře řízený a fungující trh s produkty rybolovu a akvakultury. Významně přispívá k zajištění konkurenceschopnosti, stability trhu, transparentnosti a zajištění rozmanitého zásobování spotřebitelů potravinami z vodních organismů.</w:t>
      </w:r>
    </w:p>
    <w:p w14:paraId="69850490" w14:textId="77777777" w:rsidR="002C5A3A" w:rsidRPr="00BD1086" w:rsidRDefault="002C5A3A" w:rsidP="002C5A3A">
      <w:pPr>
        <w:pStyle w:val="Normal12a"/>
        <w:rPr>
          <w:b/>
          <w:i/>
        </w:rPr>
      </w:pPr>
      <w:r w:rsidRPr="00BD1086">
        <w:rPr>
          <w:b/>
          <w:i/>
        </w:rPr>
        <w:t>Postoj zpravodajky</w:t>
      </w:r>
    </w:p>
    <w:p w14:paraId="2F0CFCFB" w14:textId="77777777" w:rsidR="002C5A3A" w:rsidRPr="00BD1086" w:rsidRDefault="002C5A3A" w:rsidP="002C5A3A">
      <w:r w:rsidRPr="00BD1086">
        <w:t>Zpravodajka vítá pokrok dosažený při provádění pravidel společné organizace trhů, ale domnívá se, že je třeba vyvinout větší úsilí, aby se zajistila informovanost spotřebitelů, zlepšilo označování, transparentnost trhu a zvýšila sledovatelnost produktů rybolovu a akvakultury.</w:t>
      </w:r>
    </w:p>
    <w:p w14:paraId="2051EC8C" w14:textId="77777777" w:rsidR="002C5A3A" w:rsidRPr="00BD1086" w:rsidRDefault="002C5A3A" w:rsidP="002C5A3A"/>
    <w:p w14:paraId="01EC75A7" w14:textId="77777777" w:rsidR="002C5A3A" w:rsidRPr="00BD1086" w:rsidRDefault="002C5A3A" w:rsidP="002C5A3A">
      <w:r w:rsidRPr="00BD1086">
        <w:t xml:space="preserve">Upozorňuje na několik zpráv, v nichž se stejně jako ve zprávě Komise o provádění pravidel společné organizace trhů uvádí, že harmonizované uplatňování těchto pravidel je nedostatečné. Z tohoto důvodu má zpravodajka za to, že Komise a členské státy musí vyvinout větší úsilí s cílem zajistit lepší a harmonizovanější provádění nařízení o společné organizaci trhů. Harmonizovanější provádění je důležité pro zajištění důvěry spotřebitelů v potraviny z vodních organismů uváděné na jednotný trh a pro zabezpečení rovných podmínek pro rybáře a chovatele v oblasti akvakultury v EU. </w:t>
      </w:r>
    </w:p>
    <w:p w14:paraId="676A4362" w14:textId="77777777" w:rsidR="002C5A3A" w:rsidRPr="00BD1086" w:rsidRDefault="002C5A3A" w:rsidP="002C5A3A"/>
    <w:p w14:paraId="72A7FDE3" w14:textId="77777777" w:rsidR="002C5A3A" w:rsidRPr="00BD1086" w:rsidRDefault="002C5A3A" w:rsidP="002C5A3A">
      <w:r w:rsidRPr="00BD1086">
        <w:t xml:space="preserve">Zpravodajka vítá záměr předložit návrh rámcových právních předpisů o udržitelných potravinových systémech, aby bylo možné nabídnout spotřebitelům větší transparentnost a více informací. Takové rámcové právní předpisy nesmí vytvářet další administrativní zátěž a musí být v souladu s podmínkou udržitelnosti, která je stanovena v jiných právních předpisech EU. </w:t>
      </w:r>
    </w:p>
    <w:p w14:paraId="31C3E4E7" w14:textId="77777777" w:rsidR="002C5A3A" w:rsidRPr="00BD1086" w:rsidRDefault="002C5A3A" w:rsidP="002C5A3A"/>
    <w:p w14:paraId="43313A13" w14:textId="77777777" w:rsidR="002C5A3A" w:rsidRPr="00BD1086" w:rsidRDefault="002C5A3A" w:rsidP="002C5A3A">
      <w:r w:rsidRPr="00BD1086">
        <w:lastRenderedPageBreak/>
        <w:t>Zpravodajka vítá výsledek jednání o revizi nařízení o kontrole rybolovu, zejména pravidla usilující o posílení ustanovení o sledovatelnosti všech produktů rybolovu a akvakultury. To bude důležitou součástí zajištění informací o sledovatelnosti pro evropské spotřebitele. V tomto ohledu je třeba, aby Komise navrhla další opatření, která zajistí, aby se tyto informace dostaly ke konečnému spotřebiteli snadným a přístupným způsobem.</w:t>
      </w:r>
    </w:p>
    <w:p w14:paraId="528DC1AB" w14:textId="77777777" w:rsidR="002C5A3A" w:rsidRPr="00BD1086" w:rsidRDefault="002C5A3A" w:rsidP="002C5A3A"/>
    <w:p w14:paraId="234BA400" w14:textId="77777777" w:rsidR="002C5A3A" w:rsidRPr="00BD1086" w:rsidRDefault="002C5A3A" w:rsidP="002C5A3A">
      <w:r w:rsidRPr="00BD1086">
        <w:t>Evropské středisko pro sledování trhu s produkty rybolovu a akvakultury (EUMOFA), je nástroj pro získávání informací o trhu v odvětví rybolovu a akvakultury Evropské unie, který vyvinula Evropská unie. Jeho cílem je zvýšit transparentnost a účinnost trhu, analyzovat dynamiku trhů EU a podporovat podnikatelská rozhodnutí a tvorbu politiky. Středisko EUMOFA umožňuje přímé monitorování objemů, hodnot cen a produktů rybolovu a akvakultury od prvního prodeje po maloobchodní fázi, včetně dovozů a vývozů. Údaje se shromažďují ze zemí EU, Islandu, Norska, Spojeného království a z institucí EU a jsou každý den aktualizovány.</w:t>
      </w:r>
    </w:p>
    <w:p w14:paraId="27DF568A" w14:textId="77777777" w:rsidR="002C5A3A" w:rsidRPr="00BD1086" w:rsidRDefault="002C5A3A" w:rsidP="002C5A3A"/>
    <w:p w14:paraId="3E07AB00" w14:textId="77777777" w:rsidR="002C5A3A" w:rsidRPr="00BD1086" w:rsidRDefault="002C5A3A" w:rsidP="002C5A3A">
      <w:r w:rsidRPr="00BD1086">
        <w:t>Zpravodajka se domnívá, že tento nástroj by měly členské státy nadále využívat, aby se údaje shromažďované v rámci tohoto nástroje stále zlepšovaly, neboť tento nástroj by mohl být využíván i k analýze trhu a zejména v případě prudkých změn, jako tomu bylo v průběhu krize COVID-19, a to s cílem aktivovat krizové nástroje a možnosti stabilizace trhu.</w:t>
      </w:r>
    </w:p>
    <w:p w14:paraId="4737E1B0" w14:textId="77777777" w:rsidR="002C5A3A" w:rsidRPr="00BD1086" w:rsidRDefault="002C5A3A" w:rsidP="002C5A3A"/>
    <w:p w14:paraId="45D9E9BD" w14:textId="77777777" w:rsidR="002C5A3A" w:rsidRPr="00BD1086" w:rsidRDefault="002C5A3A" w:rsidP="002C5A3A">
      <w:r w:rsidRPr="00BD1086">
        <w:t>EU zaujímá rozhodný postoj proti nezákonnému, nehlášenému a neregulovanému rybolovu a je třeba přijmout další opatření, aby se v tomto ohledu dosáhlo dalšího pokroku. V rámci boje proti nezákonnému, nehlášenému a neregulovanému rybolovu má velký význam zlepšení sledovatelnosti a transparentnosti v dodavatelském řetězci v odvětví potravin z vodních organismů.</w:t>
      </w:r>
    </w:p>
    <w:p w14:paraId="53E8D877" w14:textId="77777777" w:rsidR="002C5A3A" w:rsidRPr="00BD1086" w:rsidRDefault="002C5A3A" w:rsidP="002C5A3A"/>
    <w:p w14:paraId="26C54125" w14:textId="77777777" w:rsidR="002C5A3A" w:rsidRPr="00BD1086" w:rsidRDefault="002C5A3A" w:rsidP="002C5A3A">
      <w:r w:rsidRPr="00BD1086">
        <w:t>Organizace producentů získaly v rámci současného nařízení o společné organizaci trhů silnější úlohu, a proto je důležité, aby byly uznány organizace, které již v členských státech existují a které plní podobnou úlohu jako organizace producentů. Pravidla společné organizace trhu mají usnadnit řízení trhu, a to zejména pro rybáře a chovatele v oblasti akvakultury, jejich účelem ovšem není vynucovat si strukturální změny organizací, které je zastupují, a dodavatelského řetězce jen proto, aby odpovídaly společné definici EU.</w:t>
      </w:r>
    </w:p>
    <w:p w14:paraId="78610234" w14:textId="77777777" w:rsidR="002C5A3A" w:rsidRPr="00BD1086" w:rsidRDefault="002C5A3A" w:rsidP="002C5A3A"/>
    <w:p w14:paraId="3C9E75F5" w14:textId="7B2DC319" w:rsidR="00D63CD1" w:rsidRPr="00BD1086" w:rsidRDefault="002C5A3A" w:rsidP="002C5A3A">
      <w:pPr>
        <w:pStyle w:val="Normal12a"/>
      </w:pPr>
      <w:r w:rsidRPr="00BD1086">
        <w:t>Zpravodajka se proto domnívá, že by Komise měla vyslyšet četné výzvy Evropského parlamentu, aby kritéria pro uznávání organizace producentů byla upravena tak, aby lépe vyhovovala všem různým organizacím v členských státech, které ve velké míře plní úkoly spadající pod cíle organizace producentů. Jako příklady takových organizací, které by měly být uznány, lze uvést cofradias a Prud'homie de pêche.</w:t>
      </w:r>
    </w:p>
    <w:p w14:paraId="26201597" w14:textId="77777777" w:rsidR="00534771" w:rsidRPr="00BD1086" w:rsidRDefault="00534771" w:rsidP="00EE28D2"/>
    <w:p w14:paraId="37E916AD" w14:textId="77777777" w:rsidR="00534771" w:rsidRPr="00BD1086" w:rsidRDefault="00534771" w:rsidP="00D63CD1">
      <w:pPr>
        <w:pStyle w:val="PageHeading"/>
        <w:sectPr w:rsidR="00534771" w:rsidRPr="00BD1086" w:rsidSect="002A21D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</w:p>
    <w:p w14:paraId="0417B601" w14:textId="77777777" w:rsidR="00100069" w:rsidRPr="00BD1086" w:rsidRDefault="00F67AFA" w:rsidP="00D63CD1">
      <w:pPr>
        <w:pStyle w:val="PageHeading"/>
      </w:pPr>
      <w:bookmarkStart w:id="4" w:name="_Toc139965600"/>
      <w:bookmarkEnd w:id="1"/>
      <w:bookmarkEnd w:id="2"/>
      <w:r w:rsidRPr="00BD1086">
        <w:t>NÁVRH USNESENÍ EVROPSKÉHO PARLAMENTU</w:t>
      </w:r>
      <w:bookmarkEnd w:id="4"/>
    </w:p>
    <w:p w14:paraId="1CADFEF6" w14:textId="52EFB3C7" w:rsidR="00100069" w:rsidRPr="00BD1086" w:rsidRDefault="00F67AFA">
      <w:pPr>
        <w:pStyle w:val="NormalBold"/>
      </w:pPr>
      <w:r w:rsidRPr="00BD1086">
        <w:t>o provádění nařízení o společné organizaci trhů s produkty rybolovu a akvakultury – nařízení (EU) 1379/2013</w:t>
      </w:r>
    </w:p>
    <w:p w14:paraId="5A1AD87D" w14:textId="77777777" w:rsidR="00100069" w:rsidRPr="00BD1086" w:rsidRDefault="00F67AFA" w:rsidP="000C53D8">
      <w:pPr>
        <w:pStyle w:val="NormalBold"/>
      </w:pPr>
      <w:r w:rsidRPr="00BD1086">
        <w:t>(2023/2049(INI))</w:t>
      </w:r>
    </w:p>
    <w:p w14:paraId="62B9CE0F" w14:textId="1DB4A47E" w:rsidR="00100069" w:rsidRPr="00BD1086" w:rsidRDefault="00F67AFA" w:rsidP="00692C3B">
      <w:pPr>
        <w:pStyle w:val="EPComma"/>
      </w:pPr>
      <w:r w:rsidRPr="00BD1086">
        <w:rPr>
          <w:i/>
          <w:iCs/>
        </w:rPr>
        <w:t>Evropský parlament</w:t>
      </w:r>
      <w:r w:rsidRPr="00BD1086">
        <w:t>,</w:t>
      </w:r>
    </w:p>
    <w:p w14:paraId="0D231248" w14:textId="775E1141" w:rsidR="002C5A3A" w:rsidRPr="00BD1086" w:rsidRDefault="002C5A3A" w:rsidP="002C5A3A">
      <w:pPr>
        <w:pStyle w:val="NormalHanging12a"/>
      </w:pPr>
      <w:r w:rsidRPr="00BD1086">
        <w:t>–</w:t>
      </w:r>
      <w:r w:rsidRPr="00BD1086">
        <w:tab/>
        <w:t>s ohledem na nařízení Evropského parlamentu a Rady (EU) č. 1379/2013 ze dne 11. prosince 2013 o společné organizaci trhů s produkty rybolovu a akvakultury a o změně nařízení Rady (ES) č. 1184/2006 a (ES) č. 1224/2009 a o zrušení nařízení Rady (ES) č. 104/2000</w:t>
      </w:r>
      <w:r w:rsidR="00D81ACD" w:rsidRPr="00BD1086">
        <w:rPr>
          <w:rStyle w:val="FootnoteReference"/>
        </w:rPr>
        <w:footnoteReference w:id="1"/>
      </w:r>
      <w:r w:rsidRPr="00BD1086">
        <w:t>, a na provádění uvedeného nařízení,</w:t>
      </w:r>
    </w:p>
    <w:p w14:paraId="15811F2A" w14:textId="596956F4" w:rsidR="002C5A3A" w:rsidRPr="00BD1086" w:rsidRDefault="002C5A3A" w:rsidP="002C5A3A">
      <w:pPr>
        <w:pStyle w:val="NormalHanging12a"/>
      </w:pPr>
      <w:r w:rsidRPr="00BD1086">
        <w:t>–</w:t>
      </w:r>
      <w:r w:rsidRPr="00BD1086">
        <w:tab/>
        <w:t>s ohledem na zprávu Komise Evropskému parlamentu a Radě ze dne 21. února 2023 nazvanou „Provádění nařízení (EU) č. 1379/2013 o společné organizaci trhů s produkty rybolovu a akvakultury“ (COM(2023)0101),</w:t>
      </w:r>
    </w:p>
    <w:p w14:paraId="15953AEB" w14:textId="3EFD6FFA" w:rsidR="002C5A3A" w:rsidRPr="00BD1086" w:rsidRDefault="002C5A3A" w:rsidP="002C5A3A">
      <w:pPr>
        <w:pStyle w:val="NormalHanging12a"/>
      </w:pPr>
      <w:r w:rsidRPr="00BD1086">
        <w:t>–</w:t>
      </w:r>
      <w:r w:rsidRPr="00BD1086">
        <w:tab/>
        <w:t>s ohledem na sdělení Komise ze dne 20. května 2020 nazvané „Strategie „od zemědělce ke spotřebiteli“ pro spravedlivé, zdravé a ekologické potravinové systémy“ (COM(2020)0381),</w:t>
      </w:r>
    </w:p>
    <w:p w14:paraId="190206BD" w14:textId="2D14CE9D" w:rsidR="002C5A3A" w:rsidRPr="00BD1086" w:rsidRDefault="002C5A3A" w:rsidP="002C5A3A">
      <w:pPr>
        <w:pStyle w:val="NormalHanging12a"/>
      </w:pPr>
      <w:r w:rsidRPr="00BD1086">
        <w:t>–</w:t>
      </w:r>
      <w:r w:rsidRPr="00BD1086">
        <w:tab/>
        <w:t xml:space="preserve">s ohledem na své </w:t>
      </w:r>
      <w:bookmarkStart w:id="5" w:name="Sujet"/>
      <w:r w:rsidRPr="00BD1086">
        <w:t>usnesení ze dne 20. října 2021 o strategii „od zemědělce ke spotřebiteli“ pro spravedlivé, zdravé a ekologické potravinové systémy</w:t>
      </w:r>
      <w:r w:rsidR="00D81ACD" w:rsidRPr="00BD1086">
        <w:rPr>
          <w:rStyle w:val="FootnoteReference"/>
        </w:rPr>
        <w:footnoteReference w:id="2"/>
      </w:r>
      <w:bookmarkEnd w:id="5"/>
      <w:r w:rsidRPr="00BD1086">
        <w:t>,</w:t>
      </w:r>
    </w:p>
    <w:p w14:paraId="7DC9516E" w14:textId="4797BE64" w:rsidR="002C5A3A" w:rsidRPr="00BD1086" w:rsidRDefault="002C5A3A" w:rsidP="002C5A3A">
      <w:pPr>
        <w:pStyle w:val="NormalHanging12a"/>
      </w:pPr>
      <w:r w:rsidRPr="00BD1086">
        <w:t>–</w:t>
      </w:r>
      <w:r w:rsidRPr="00BD1086">
        <w:tab/>
        <w:t>s ohledem na výsledek jednání o nařízení o kontrole rybolovu,</w:t>
      </w:r>
    </w:p>
    <w:p w14:paraId="2F45E1D2" w14:textId="721FB986" w:rsidR="00BC5BEB" w:rsidRPr="00BD1086" w:rsidRDefault="00BC5BEB" w:rsidP="00BC5BEB">
      <w:pPr>
        <w:pStyle w:val="NormalHanging12a"/>
      </w:pPr>
      <w:r w:rsidRPr="00BD1086">
        <w:t>–</w:t>
      </w:r>
      <w:r w:rsidRPr="00BD1086">
        <w:tab/>
        <w:t>s ohledem na článek 54 jednacího řádu a čl. 1 odst. 1 písm. e) a přílohu 3 rozhodnutí Konference předsedů ze dne 12. prosince 2002 o postupu udělování svolení k vypracování zpráv z vlastního podnětu,</w:t>
      </w:r>
    </w:p>
    <w:p w14:paraId="26F50EAE" w14:textId="77777777" w:rsidR="002C5A3A" w:rsidRPr="00BD1086" w:rsidRDefault="002C5A3A" w:rsidP="002C5A3A">
      <w:pPr>
        <w:pStyle w:val="NormalHanging12a"/>
      </w:pPr>
      <w:r w:rsidRPr="00BD1086">
        <w:t>–</w:t>
      </w:r>
      <w:r w:rsidRPr="00BD1086">
        <w:tab/>
        <w:t>s ohledem na zprávu Výboru pro rybolov (A9-0000/2022),</w:t>
      </w:r>
    </w:p>
    <w:p w14:paraId="2240F770" w14:textId="7C12F7C0" w:rsidR="00100069" w:rsidRPr="00BD1086" w:rsidRDefault="00100069">
      <w:pPr>
        <w:pStyle w:val="NormalHanging12a"/>
      </w:pPr>
      <w:r w:rsidRPr="00BD1086">
        <w:t>A.</w:t>
      </w:r>
      <w:r w:rsidRPr="00BD1086">
        <w:tab/>
        <w:t>vzhledem k tomu, že ve svém usnesení o strategii „od zemědělce ke spotřebiteli“ zdůraznil, že dobré mechanismy sledovatelnosti, které reagují na požadavky spotřebitelů a poskytují informace o tom, kde, kdy, jak a jaké ryby byly odloveny nebo odchovány, včetně informací o produktech dovážených ze třetích zemí, mají zásadní význam pro zajištění bezpečnosti potravin, zaručení transparentnosti pro spotřebitele, boj proti nezákonnému, nehlášenému a neregulovanému rybolovu a pro dosažení cílů Zelené dohody a cílů udržitelného rozvoje;</w:t>
      </w:r>
    </w:p>
    <w:p w14:paraId="31614F71" w14:textId="1A48AE7C" w:rsidR="00BC5BEB" w:rsidRPr="00BD1086" w:rsidRDefault="00BC5BEB">
      <w:pPr>
        <w:pStyle w:val="NormalHanging12a"/>
      </w:pPr>
      <w:r w:rsidRPr="00BD1086">
        <w:t>B.</w:t>
      </w:r>
      <w:r w:rsidRPr="00BD1086">
        <w:tab/>
        <w:t>vzhledem k tomu, že předběžná dohoda mezi Parlamentem a Radou týkající se revidovaného nařízení o kontrole rybolovu zásadním způsobem vylepšuje pravidla sledovatelnosti všech produktů rybolovu a akvakultury; vzhledem k tomu, že tato pravidla budou prováděna během přechodného období, které bude delší, než je žádoucí – dva roky pro čerstvé a zmrazené produkty a pět let pro zpracované produkty – a zajistí, aby spotřebitelé dostávali přesné informace; vzhledem k tomu, že lepší označování bude nástrojem pro boj proti nezákonnému, nehlášenému a neregulovanému rybolovu a přispěje k zajištění spravedlivé hospodářské soutěže;</w:t>
      </w:r>
    </w:p>
    <w:p w14:paraId="7D316E06" w14:textId="77777777" w:rsidR="00BC5BEB" w:rsidRPr="00BD1086" w:rsidRDefault="00BC5BEB" w:rsidP="0095675E">
      <w:pPr>
        <w:pStyle w:val="NormalHanging12a"/>
      </w:pPr>
      <w:r w:rsidRPr="00BD1086">
        <w:rPr>
          <w:b/>
          <w:i/>
        </w:rPr>
        <w:t>Úvod</w:t>
      </w:r>
    </w:p>
    <w:p w14:paraId="6C56E36C" w14:textId="740AFD2F" w:rsidR="00BC5BEB" w:rsidRPr="00BD1086" w:rsidRDefault="00BC5BEB" w:rsidP="00BC5BEB">
      <w:pPr>
        <w:pStyle w:val="NormalHanging12a"/>
      </w:pPr>
      <w:r w:rsidRPr="00BD1086">
        <w:t>1.</w:t>
      </w:r>
      <w:r w:rsidRPr="00BD1086">
        <w:tab/>
        <w:t>připomíná, že společná organizace trhů je spolu s opatřeními pro zachování zdrojů a finančními opatřeními nedílnou součástí společné rybářské politiky (SRP) a má zásadní význam pro dosažení jejich cílů;</w:t>
      </w:r>
    </w:p>
    <w:p w14:paraId="5C5FA131" w14:textId="0785B823" w:rsidR="00BC5BEB" w:rsidRPr="00BD1086" w:rsidRDefault="00BC5BEB" w:rsidP="00BC5BEB">
      <w:pPr>
        <w:pStyle w:val="NormalHanging12a"/>
      </w:pPr>
      <w:r w:rsidRPr="00BD1086">
        <w:t>2.</w:t>
      </w:r>
      <w:r w:rsidRPr="00BD1086">
        <w:tab/>
        <w:t>zdůrazňuje, že výsledkem revize nařízení o společné organizaci trhů z roku 2013 byl přechod od některých druhů intervencí k přístupu orientovanému spíše na dlouhodobý trh s důrazem na rozvoj a inovace v daném odvětví;</w:t>
      </w:r>
    </w:p>
    <w:p w14:paraId="5BB7B17C" w14:textId="77777777" w:rsidR="002643FA" w:rsidRPr="00BD1086" w:rsidRDefault="00BC5BEB" w:rsidP="0095675E">
      <w:pPr>
        <w:pStyle w:val="Subheading"/>
        <w:spacing w:before="0"/>
      </w:pPr>
      <w:r w:rsidRPr="00BD1086">
        <w:t>Profesní organizace</w:t>
      </w:r>
    </w:p>
    <w:p w14:paraId="3120D656" w14:textId="7BF96104" w:rsidR="00BC5BEB" w:rsidRPr="00BD1086" w:rsidRDefault="00BC5BEB" w:rsidP="00BC5BEB">
      <w:pPr>
        <w:pStyle w:val="NormalHanging12a"/>
      </w:pPr>
      <w:r w:rsidRPr="00BD1086">
        <w:t>3.</w:t>
      </w:r>
      <w:r w:rsidRPr="00BD1086">
        <w:tab/>
        <w:t>domnívá se, že organizace producentů jsou páteří rybolovu a odvětví akvakultury, přičemž podporují každodenní řízení SRP a umožňují její kolektivní provádění na úrovni producentů;</w:t>
      </w:r>
    </w:p>
    <w:p w14:paraId="53CB777C" w14:textId="30BAA0DA" w:rsidR="00BC5BEB" w:rsidRPr="00BD1086" w:rsidRDefault="00BC5BEB" w:rsidP="00BC5BEB">
      <w:pPr>
        <w:pStyle w:val="NormalHanging12a"/>
      </w:pPr>
      <w:r w:rsidRPr="00BD1086">
        <w:t>4.</w:t>
      </w:r>
      <w:r w:rsidRPr="00BD1086">
        <w:tab/>
        <w:t>je toho názoru, že organizace producentů mají klíčovou úlohu při dosahování cílů SRP, a proto musí být dále podporovány; konstatuje, že je třeba vyvinout větší úsilí na podporu zřizování, konsolidace a financování organizací producentů v celé EU, zejména v členských státech, kde je prvovýroba nadále značně roztříštěná (akvakultura, drobný rybolov); domnívá se, že silná přítomnost organizací producentů je zásadní pro zvýšení prosperity pobřežních komunit a zajištění silnějšího postavení rybářů v dodavatelském řetězci;</w:t>
      </w:r>
    </w:p>
    <w:p w14:paraId="3FB3AC82" w14:textId="168FAB3C" w:rsidR="00BC5BEB" w:rsidRPr="00BD1086" w:rsidRDefault="00BC5BEB" w:rsidP="00BC5BEB">
      <w:pPr>
        <w:pStyle w:val="NormalHanging12a"/>
      </w:pPr>
      <w:r w:rsidRPr="00BD1086">
        <w:t>5.</w:t>
      </w:r>
      <w:r w:rsidRPr="00BD1086">
        <w:tab/>
        <w:t>dospívá k závěru, že opatření řádně fungujících organizací producentů jsou z obecného hlediska úspěšná, ale podotýká, že stále chybí organizace producentů, které by organizovaly zejména drobné rybáře a chovatele v oblasti akvakultury; připomíná, že organizace producentů v odvětví akvakultury, které v současnosti fungují, jsou obzvláště úspěšné ve svých propagačních a komunikačních aktivitách;</w:t>
      </w:r>
    </w:p>
    <w:p w14:paraId="6AEDD69C" w14:textId="04DAD79E" w:rsidR="00BC5BEB" w:rsidRPr="00BD1086" w:rsidRDefault="00BC5BEB" w:rsidP="00BC5BEB">
      <w:pPr>
        <w:pStyle w:val="NormalHanging12a"/>
      </w:pPr>
      <w:r w:rsidRPr="00BD1086">
        <w:t>6.</w:t>
      </w:r>
      <w:r w:rsidRPr="00BD1086">
        <w:tab/>
        <w:t>domnívá se, že v současné době existují v členských státech organizace, které plní úkoly a funkce spadající do působnosti organizací producentů, ale že podle nařízení o společné organizaci trhů tyto organizace nelze považovat za organizace producentů;</w:t>
      </w:r>
    </w:p>
    <w:p w14:paraId="414F0147" w14:textId="368BB234" w:rsidR="00BC5BEB" w:rsidRPr="00BD1086" w:rsidRDefault="00BC5BEB" w:rsidP="00BC5BEB">
      <w:pPr>
        <w:pStyle w:val="NormalHanging12a"/>
      </w:pPr>
      <w:r w:rsidRPr="00BD1086">
        <w:t>7.</w:t>
      </w:r>
      <w:r w:rsidRPr="00BD1086">
        <w:tab/>
        <w:t>konstatuje, že krize COVID-19 vedla k náhlému uzavření většiny prodejen pro čerstvé produkty rybolovu a akvakultury, a proto bylo vhodné obnovit možnost využívat mechanismus podpory skladování a rozšířit jej na organizace producentů v odvětví akvakultury;</w:t>
      </w:r>
    </w:p>
    <w:p w14:paraId="0EF0DC22" w14:textId="77777777" w:rsidR="00BC5BEB" w:rsidRPr="00BD1086" w:rsidRDefault="00BC5BEB" w:rsidP="0095675E">
      <w:pPr>
        <w:pStyle w:val="NormalHanging12a"/>
        <w:rPr>
          <w:b/>
          <w:i/>
        </w:rPr>
      </w:pPr>
      <w:r w:rsidRPr="00BD1086">
        <w:rPr>
          <w:b/>
          <w:i/>
        </w:rPr>
        <w:t>Společné obchodní normy</w:t>
      </w:r>
    </w:p>
    <w:p w14:paraId="4939C7F0" w14:textId="466C89DB" w:rsidR="00BC5BEB" w:rsidRPr="00BD1086" w:rsidRDefault="00BC5BEB" w:rsidP="00BC5BEB">
      <w:pPr>
        <w:pStyle w:val="NormalHanging12a"/>
      </w:pPr>
      <w:r w:rsidRPr="00BD1086">
        <w:t>8.</w:t>
      </w:r>
      <w:r w:rsidRPr="00BD1086">
        <w:tab/>
        <w:t xml:space="preserve">připomíná, že mnohé obchodní normy začleněné do nařízení o společné organizaci trhů z roku 2013 pochází z 80. a 90. let 20. století; poznamenává, že podle hodnocení Komise jsou tyto normy obecně relevantní a účinné a přinášejí přidanou hodnotu; </w:t>
      </w:r>
    </w:p>
    <w:p w14:paraId="48B815E2" w14:textId="36936CFD" w:rsidR="00BC5BEB" w:rsidRPr="00BD1086" w:rsidRDefault="00BC5BEB" w:rsidP="00BC5BEB">
      <w:pPr>
        <w:pStyle w:val="NormalHanging12a"/>
      </w:pPr>
      <w:r w:rsidRPr="00BD1086">
        <w:t>9.</w:t>
      </w:r>
      <w:r w:rsidRPr="00BD1086">
        <w:tab/>
        <w:t>poukazuje na to, že hodnocení Komise a související konzultace odhalily možnosti zjednodušení, zefektivnění a modernizace norem; poznamenává, že v rámci hodnocení se rovněž zjistilo, že vnitrostátní orgány provádějí kontrolu dodržování norem na poměrně nízké úrovni;</w:t>
      </w:r>
    </w:p>
    <w:p w14:paraId="592C54D1" w14:textId="3DB55DFD" w:rsidR="00BC5BEB" w:rsidRPr="00BD1086" w:rsidRDefault="00BC5BEB" w:rsidP="00BC5BEB">
      <w:pPr>
        <w:pStyle w:val="NormalHanging12a"/>
      </w:pPr>
      <w:r w:rsidRPr="00BD1086">
        <w:t>10.</w:t>
      </w:r>
      <w:r w:rsidRPr="00BD1086">
        <w:tab/>
        <w:t>zdůrazňuje skutečnost, že v hodnocení Komise jsou identifikovány nedostatky stávajícího rámce, pokud jde o jeho schopnost dosáhnout cílů nařízení o společné organizaci trhů;</w:t>
      </w:r>
    </w:p>
    <w:p w14:paraId="14BECE57" w14:textId="77777777" w:rsidR="00BC5BEB" w:rsidRPr="00BD1086" w:rsidRDefault="00BC5BEB" w:rsidP="0095675E">
      <w:pPr>
        <w:pStyle w:val="Normal12a24b"/>
        <w:spacing w:before="0"/>
        <w:rPr>
          <w:b/>
          <w:i/>
        </w:rPr>
      </w:pPr>
      <w:r w:rsidRPr="00BD1086">
        <w:rPr>
          <w:b/>
          <w:i/>
        </w:rPr>
        <w:t>Informace pro spotřebitele</w:t>
      </w:r>
    </w:p>
    <w:p w14:paraId="76FE8F1B" w14:textId="563670D0" w:rsidR="00BC5BEB" w:rsidRPr="00BD1086" w:rsidRDefault="00BC5BEB" w:rsidP="00550812">
      <w:pPr>
        <w:pStyle w:val="NormalHanging12a"/>
      </w:pPr>
      <w:r w:rsidRPr="00BD1086">
        <w:t>11.</w:t>
      </w:r>
      <w:r w:rsidRPr="00BD1086">
        <w:tab/>
        <w:t>souhlasí s tím, že aby mohla společná organizace trhů v plném rozsahu dosahovat svých cílů, spotřebitelé musí být prostřednictvím marketingových a vzdělávacích kampaní informováni o důležitosti konzumace produktů rybolovu a akvakultury, o široké škále dostupných druhů a o tom, jak důležitá je schopnost porozumět informacím na štítcích; má za to, že aby spotřebitelé mohli činit informovaná rozhodnutí, měli by dostávat jasné a vyčerpávající informace o produktech prodávaných na trhu EU, a že tyto informace by měly splňovat stejná pravidla bez ohledu na původ produktů;</w:t>
      </w:r>
    </w:p>
    <w:p w14:paraId="1EC50528" w14:textId="05EE8D84" w:rsidR="00BC5BEB" w:rsidRPr="00BD1086" w:rsidRDefault="00BC5BEB" w:rsidP="00550812">
      <w:pPr>
        <w:pStyle w:val="NormalHanging12a"/>
      </w:pPr>
      <w:r w:rsidRPr="00BD1086">
        <w:t>12.</w:t>
      </w:r>
      <w:r w:rsidRPr="00BD1086">
        <w:tab/>
        <w:t>tvrdí, že opatření v oblasti sledovatelnosti a s ní související transparentnosti jsou nezbytná pro zajištění souladu s platnými pravidly SRP; domnívá se, že budou-li tato opatření podpořena pomocí vhodného systému označování, mohou zaručit, že informace poskytované spotřebitelům jsou důvěryhodné a spolehlivé; zdůrazňuje, že takový systém označování má zásadní význam pro boj proti podvodům s potravinami, včetně nesprávného označování, a proti nezákonnému, nehlášenému a neregulovanému rybolovu;</w:t>
      </w:r>
    </w:p>
    <w:p w14:paraId="07639D3C" w14:textId="5F4B81D0" w:rsidR="00BC5BEB" w:rsidRPr="00BD1086" w:rsidRDefault="00BC5BEB" w:rsidP="00BC5BEB">
      <w:pPr>
        <w:pStyle w:val="NormalHanging12a"/>
      </w:pPr>
      <w:r w:rsidRPr="00BD1086">
        <w:t>13.</w:t>
      </w:r>
      <w:r w:rsidRPr="00BD1086">
        <w:tab/>
        <w:t>konstatuje, že Komise v rámci svých konzultací obdržela zprávy, podle nichž v některých členských státech nebyly splněny požadavky na povinné informování spotřebitelů; podotýká, že provádění v celé EU je považováno za nerovnoměrné, což je patrné zejména v některých segmentech, například u prodejců ryb a zařízení společného stravování; připomíná, že označování musí poskytovat přesný popis produktů rybolovu a produktů, které nejsou získány rybolovem, zejména pokud jde o náhražky, protože v mnoha případech se používají obrázky, které ve spotřebitelích vyvolávají dojem, že určité produkty jsou produkty rybolovu, ačkoli tomu tak není;</w:t>
      </w:r>
    </w:p>
    <w:p w14:paraId="1393C823" w14:textId="77777777" w:rsidR="00BC5BEB" w:rsidRPr="00BD1086" w:rsidRDefault="00BC5BEB" w:rsidP="0095675E">
      <w:pPr>
        <w:spacing w:after="240"/>
        <w:rPr>
          <w:b/>
          <w:i/>
        </w:rPr>
      </w:pPr>
      <w:r w:rsidRPr="00BD1086">
        <w:rPr>
          <w:b/>
          <w:i/>
        </w:rPr>
        <w:t>Pravidla hospodářské soutěže</w:t>
      </w:r>
    </w:p>
    <w:p w14:paraId="2771A92E" w14:textId="1E3FFEDD" w:rsidR="00BC5BEB" w:rsidRPr="00BD1086" w:rsidRDefault="00BC5BEB" w:rsidP="00550812">
      <w:pPr>
        <w:pStyle w:val="NormalHanging12a"/>
      </w:pPr>
      <w:r w:rsidRPr="00BD1086">
        <w:t>14.</w:t>
      </w:r>
      <w:r w:rsidRPr="00BD1086">
        <w:tab/>
        <w:t>připomíná, že organizace producentů mohou být za účelem dosažení svých cílů za určitých podmínek vyňaty z uplatňování pravidel hospodářské soutěže, mimo jiné jestliže jejich činnosti nevedou k rozdělení trhů, nevylučují hospodářskou soutěž a neeliminují konkurenci;</w:t>
      </w:r>
    </w:p>
    <w:p w14:paraId="4E74019B" w14:textId="4BCFF87B" w:rsidR="00BC5BEB" w:rsidRPr="00BD1086" w:rsidRDefault="00BC5BEB" w:rsidP="00BC5BEB">
      <w:pPr>
        <w:pStyle w:val="NormalHanging12a"/>
      </w:pPr>
      <w:r w:rsidRPr="00BD1086">
        <w:t>15.</w:t>
      </w:r>
      <w:r w:rsidRPr="00BD1086">
        <w:tab/>
        <w:t xml:space="preserve">podotýká, že tato výjimka je nezbytná pro umožnění některých postupů používaných organizacemi producentů, jako jsou kontroly množství, které členové organizace producentů uvádějí na trh, s cílem stabilizovat trhy a ceny, dodržovat povinnosti týkající se zachování zdrojů a zabránit plýtvání potravinami; usuzuje, že neuznané kolektivní orgány producentů (např. družstva, </w:t>
      </w:r>
      <w:r w:rsidRPr="00BD1086">
        <w:rPr>
          <w:i/>
          <w:iCs/>
        </w:rPr>
        <w:t>cofradías</w:t>
      </w:r>
      <w:r w:rsidRPr="00BD1086">
        <w:t>) nemohou podle stávajících kritérií pro organizace producentů tuto výjimku využívat;</w:t>
      </w:r>
    </w:p>
    <w:p w14:paraId="536E847A" w14:textId="77777777" w:rsidR="00BC5BEB" w:rsidRPr="00BD1086" w:rsidRDefault="00BC5BEB" w:rsidP="0095675E">
      <w:pPr>
        <w:spacing w:after="240"/>
      </w:pPr>
      <w:r w:rsidRPr="00BD1086">
        <w:rPr>
          <w:b/>
          <w:i/>
        </w:rPr>
        <w:t>Informace o trhu</w:t>
      </w:r>
    </w:p>
    <w:p w14:paraId="51DD2F1C" w14:textId="669CBDFE" w:rsidR="00BC5BEB" w:rsidRPr="00BD1086" w:rsidRDefault="00BC5BEB" w:rsidP="00BC5BEB">
      <w:pPr>
        <w:pStyle w:val="NormalHanging12a"/>
      </w:pPr>
      <w:r w:rsidRPr="00BD1086">
        <w:t>16.</w:t>
      </w:r>
      <w:r w:rsidRPr="00BD1086">
        <w:tab/>
        <w:t>připomíná, že Evropské středisko pro sledování trhu s produkty rybolovu a akvakultury (EUMOFA) poskytuje hospodářským subjektům v odvětví rybolovu informace o trhu, aby lépe porozuměly tržním trendům; poznamenává, že od dubna 2013 jsou k dispozici specializované internetové stránky a databáze, které jsou plně funkční od doby, kdy revidovaná společná organizace trhů vstoupila v platnost. Slouží výzkumným orgánům, zúčastněným stranám a široké veřejnosti tím, že zlepšují přístup k informacím a údajům o trhu;</w:t>
      </w:r>
    </w:p>
    <w:p w14:paraId="2D652981" w14:textId="2631B894" w:rsidR="00BC5BEB" w:rsidRPr="00BD1086" w:rsidRDefault="00BC5BEB" w:rsidP="00BC5BEB">
      <w:pPr>
        <w:pStyle w:val="NormalHanging12a"/>
      </w:pPr>
      <w:r w:rsidRPr="00BD1086">
        <w:t>17.</w:t>
      </w:r>
      <w:r w:rsidRPr="00BD1086">
        <w:tab/>
        <w:t>konstatuje, že středisko EUMOFA bylo použito k aktivaci krizových opatření, která byla zaměřena na řešení dopadů pandemie COVID-19;</w:t>
      </w:r>
    </w:p>
    <w:p w14:paraId="1CF5F5A9" w14:textId="77777777" w:rsidR="00BC5BEB" w:rsidRPr="00BD1086" w:rsidRDefault="00BC5BEB" w:rsidP="0095675E">
      <w:pPr>
        <w:pStyle w:val="Normal12a24b"/>
        <w:spacing w:before="0"/>
        <w:rPr>
          <w:i/>
        </w:rPr>
      </w:pPr>
      <w:r w:rsidRPr="00BD1086">
        <w:rPr>
          <w:rStyle w:val="Bold"/>
          <w:i/>
        </w:rPr>
        <w:t>Závěry</w:t>
      </w:r>
    </w:p>
    <w:p w14:paraId="22DE05ED" w14:textId="5D42B8DF" w:rsidR="00BC5BEB" w:rsidRPr="00BD1086" w:rsidRDefault="00BC5BEB" w:rsidP="00BC5BEB">
      <w:pPr>
        <w:pStyle w:val="NormalHanging12a"/>
      </w:pPr>
      <w:r w:rsidRPr="00BD1086">
        <w:t>18.</w:t>
      </w:r>
      <w:r w:rsidRPr="00BD1086">
        <w:tab/>
        <w:t>vítá pokrok, jehož bylo dosaženo při provádění pravidel společné organizace trhů; zdůrazňuje, že je potřeba vyvíjet další úsilí o zajištění řádné informovanosti spotřebitelů, zlepšení označování, posílení transparentnosti trhu a zvýšení sledovatelnosti produktů rybolovu a akvakultury;</w:t>
      </w:r>
    </w:p>
    <w:p w14:paraId="3A960B0C" w14:textId="5248402D" w:rsidR="00BC5BEB" w:rsidRPr="00BD1086" w:rsidRDefault="00BC5BEB" w:rsidP="00BC5BEB">
      <w:pPr>
        <w:pStyle w:val="NormalHanging12a"/>
      </w:pPr>
      <w:r w:rsidRPr="00BD1086">
        <w:t>19.</w:t>
      </w:r>
      <w:r w:rsidRPr="00BD1086">
        <w:tab/>
        <w:t>domnívá se, že Komise a členské státy musí více usilovat o to, aby dosáhly jednotnějšího provádění nařízení o společné organizaci trhů; je toho názoru, že jednotnější provádění by mohlo přispět k zajištění důvěry spotřebitelů v potraviny z vodních organismů uváděné na jednotný trh;</w:t>
      </w:r>
    </w:p>
    <w:p w14:paraId="29329CCF" w14:textId="77F7B78A" w:rsidR="00BC5BEB" w:rsidRPr="00BD1086" w:rsidRDefault="00BC5BEB" w:rsidP="00BC5BEB">
      <w:pPr>
        <w:pStyle w:val="NormalHanging12a"/>
      </w:pPr>
      <w:r w:rsidRPr="00BD1086">
        <w:t>20.</w:t>
      </w:r>
      <w:r w:rsidRPr="00BD1086">
        <w:tab/>
        <w:t>vítá záměr Komise předložit návrh legislativního rámce pro udržitelné potravinové systémy s cílem zvýšit transparentnost a poskytnout spotřebitelům více informací; zdůrazňuje, že je třeba zajistit, aby tyto rámcové právní předpisy nevytvářely další administrativní zátěž a byly v souladu s podmínkou udržitelnosti, která je stanovena v právních předpisech EU;</w:t>
      </w:r>
    </w:p>
    <w:p w14:paraId="15B675B0" w14:textId="00288828" w:rsidR="00BC5BEB" w:rsidRPr="00BD1086" w:rsidRDefault="00BC5BEB" w:rsidP="00BC5BEB">
      <w:pPr>
        <w:pStyle w:val="NormalHanging12a"/>
      </w:pPr>
      <w:r w:rsidRPr="00BD1086">
        <w:t>21.</w:t>
      </w:r>
      <w:r w:rsidRPr="00BD1086">
        <w:tab/>
        <w:t>vítá výsledek jednání o revizi nařízení o kontrole rybolovu, zejména pravidel usilujících o posílení ustanovení o sledovatelnosti všech produktů rybolovu a akvakultury; má za to, že tyto informace o sledovatelnosti budou pro evropské spotřebitele velmi důležité; vyzývá Komisi, aby navrhla další opatření, která zajistí, že se tyto informace dostanou ke konečným spotřebitelům v jednoduchém a přístupném formátu;</w:t>
      </w:r>
    </w:p>
    <w:p w14:paraId="13CD952A" w14:textId="4E09336A" w:rsidR="00BC5BEB" w:rsidRPr="00BD1086" w:rsidRDefault="00BC5BEB" w:rsidP="00BC5BEB">
      <w:pPr>
        <w:pStyle w:val="NormalHanging12a"/>
      </w:pPr>
      <w:r w:rsidRPr="00BD1086">
        <w:t>22.</w:t>
      </w:r>
      <w:r w:rsidRPr="00BD1086">
        <w:tab/>
        <w:t>domnívá se, že členské státy by měly více využívat středisko EUMOFA, aby bylo možné dále zlepšovat údaje shromažďované v rámci tohoto nástroje; je toho názoru, že středisko EUMOFA by mohlo být více využíváno k analýze trhu, zejména v případě prudkých změn, k nimž došlo například během krize COVID-19, s cílem aktivovat krizové nástroje a možnosti stabilizace trhu;</w:t>
      </w:r>
    </w:p>
    <w:p w14:paraId="50E036E3" w14:textId="10BB5CDD" w:rsidR="00BC5BEB" w:rsidRPr="00BD1086" w:rsidRDefault="00BC5BEB" w:rsidP="00BC5BEB">
      <w:pPr>
        <w:pStyle w:val="NormalHanging12a"/>
      </w:pPr>
      <w:r w:rsidRPr="00BD1086">
        <w:t>23.</w:t>
      </w:r>
      <w:r w:rsidRPr="00BD1086">
        <w:tab/>
        <w:t>je přesvědčen, že pro boj proti nezákonnému, nehlášenému a neregulovanému rybolovu je zásadní zlepšit sledovatelnost a transparentnost v dodavatelském řetězci v odvětví potravin z vodních organismů;</w:t>
      </w:r>
    </w:p>
    <w:p w14:paraId="44A67902" w14:textId="6432189C" w:rsidR="00BC5BEB" w:rsidRPr="00BD1086" w:rsidRDefault="00BC5BEB" w:rsidP="00BC5BEB">
      <w:pPr>
        <w:pStyle w:val="NormalHanging12a"/>
      </w:pPr>
      <w:r w:rsidRPr="00BD1086">
        <w:t>24.</w:t>
      </w:r>
      <w:r w:rsidRPr="00BD1086">
        <w:tab/>
        <w:t xml:space="preserve">opakuje svou výzvu, aby byla kritéria pro uznání organizací producentů upravena tak, aby lépe vyhovovala všem různým organizacím v členských státech, které plní úkoly, jež z velké části spadají do působnosti organizace producentů; v tomto ohledu vyzdvihuje organizace, jako jsou </w:t>
      </w:r>
      <w:r w:rsidRPr="00BD1086">
        <w:rPr>
          <w:i/>
        </w:rPr>
        <w:t>cofradías</w:t>
      </w:r>
      <w:r w:rsidRPr="00BD1086">
        <w:t xml:space="preserve"> a </w:t>
      </w:r>
      <w:r w:rsidRPr="00BD1086">
        <w:rPr>
          <w:i/>
        </w:rPr>
        <w:t>prud’homies de pêche</w:t>
      </w:r>
      <w:r w:rsidRPr="00BD1086">
        <w:t>;</w:t>
      </w:r>
    </w:p>
    <w:p w14:paraId="417D13B3" w14:textId="77777777" w:rsidR="00BC5BEB" w:rsidRPr="00BD1086" w:rsidRDefault="00BC5BEB" w:rsidP="00BC5BEB">
      <w:pPr>
        <w:pStyle w:val="NormalHanging12a"/>
        <w:jc w:val="center"/>
      </w:pPr>
      <w:r w:rsidRPr="00BD1086">
        <w:t>°</w:t>
      </w:r>
    </w:p>
    <w:p w14:paraId="766988ED" w14:textId="77777777" w:rsidR="00BC5BEB" w:rsidRPr="00BD1086" w:rsidRDefault="00BC5BEB" w:rsidP="00BC5BEB">
      <w:pPr>
        <w:pStyle w:val="NormalHanging12a"/>
        <w:jc w:val="center"/>
      </w:pPr>
      <w:r w:rsidRPr="00BD1086">
        <w:t>°</w:t>
      </w:r>
      <w:r w:rsidRPr="00BD1086">
        <w:tab/>
        <w:t>°</w:t>
      </w:r>
    </w:p>
    <w:p w14:paraId="49B6D034" w14:textId="77777777" w:rsidR="00BC5BEB" w:rsidRPr="00BD1086" w:rsidRDefault="00BC5BEB" w:rsidP="00BC5BEB">
      <w:pPr>
        <w:pStyle w:val="NormalHanging12a"/>
      </w:pPr>
      <w:r w:rsidRPr="00BD1086">
        <w:t>25.</w:t>
      </w:r>
      <w:r w:rsidRPr="00BD1086">
        <w:tab/>
        <w:t>pověřuje svoji předsedkyni, aby předala toto usnesení Radě, Komisi, jakož i vládám a parlamentům členských států.</w:t>
      </w:r>
    </w:p>
    <w:p w14:paraId="055E2825" w14:textId="77777777" w:rsidR="00100069" w:rsidRPr="00BD1086" w:rsidRDefault="00100069" w:rsidP="007126C9"/>
    <w:sectPr w:rsidR="00100069" w:rsidRPr="00BD1086" w:rsidSect="00B24F54">
      <w:footnotePr>
        <w:numRestart w:val="eachSect"/>
      </w:footnotePr>
      <w:endnotePr>
        <w:numFmt w:val="decimal"/>
      </w:endnotePr>
      <w:pgSz w:w="11906" w:h="16838"/>
      <w:pgMar w:top="1134" w:right="1418" w:bottom="1418" w:left="1418" w:header="567" w:footer="56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90D9D1" w14:textId="77777777" w:rsidR="00F67AFA" w:rsidRPr="00A66FC0" w:rsidRDefault="00F67AFA">
      <w:r w:rsidRPr="00A66FC0">
        <w:separator/>
      </w:r>
    </w:p>
  </w:endnote>
  <w:endnote w:type="continuationSeparator" w:id="0">
    <w:p w14:paraId="242D66D9" w14:textId="77777777" w:rsidR="00F67AFA" w:rsidRPr="00A66FC0" w:rsidRDefault="00F67AFA">
      <w:r w:rsidRPr="00A66FC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D833A9" w14:textId="6925C9B2" w:rsidR="002A21D7" w:rsidRPr="00A66FC0" w:rsidRDefault="002A21D7" w:rsidP="002A21D7">
    <w:pPr>
      <w:pStyle w:val="EPFooter"/>
    </w:pPr>
    <w:r w:rsidRPr="00A66FC0">
      <w:t>PE</w:t>
    </w:r>
    <w:r w:rsidRPr="00A66FC0">
      <w:rPr>
        <w:rStyle w:val="HideTWBExt"/>
      </w:rPr>
      <w:t>&lt;NoPE&gt;</w:t>
    </w:r>
    <w:r w:rsidRPr="00A66FC0">
      <w:t>750.124</w:t>
    </w:r>
    <w:r w:rsidRPr="00A66FC0">
      <w:rPr>
        <w:rStyle w:val="HideTWBExt"/>
      </w:rPr>
      <w:t>&lt;/NoPE&gt;&lt;Version&gt;</w:t>
    </w:r>
    <w:r w:rsidRPr="00A66FC0">
      <w:t>v01-00</w:t>
    </w:r>
    <w:r w:rsidRPr="00A66FC0">
      <w:rPr>
        <w:rStyle w:val="HideTWBExt"/>
      </w:rPr>
      <w:t>&lt;/Version&gt;</w:t>
    </w:r>
    <w:r w:rsidRPr="00A66FC0">
      <w:tab/>
    </w:r>
    <w:r w:rsidRPr="00A66FC0">
      <w:fldChar w:fldCharType="begin"/>
    </w:r>
    <w:r w:rsidRPr="00A66FC0">
      <w:instrText xml:space="preserve"> PAGE  \* MERGEFORMAT </w:instrText>
    </w:r>
    <w:r w:rsidRPr="00A66FC0">
      <w:fldChar w:fldCharType="separate"/>
    </w:r>
    <w:r w:rsidR="008A5C38">
      <w:rPr>
        <w:noProof/>
      </w:rPr>
      <w:t>2</w:t>
    </w:r>
    <w:r w:rsidRPr="00A66FC0">
      <w:fldChar w:fldCharType="end"/>
    </w:r>
    <w:r w:rsidRPr="00A66FC0">
      <w:t>/</w:t>
    </w:r>
    <w:r w:rsidR="008A5C38">
      <w:fldChar w:fldCharType="begin"/>
    </w:r>
    <w:r w:rsidR="008A5C38">
      <w:instrText xml:space="preserve"> NUMPAGES  \* MERGEFORMAT </w:instrText>
    </w:r>
    <w:r w:rsidR="008A5C38">
      <w:fldChar w:fldCharType="separate"/>
    </w:r>
    <w:r w:rsidR="008A5C38">
      <w:rPr>
        <w:noProof/>
      </w:rPr>
      <w:t>9</w:t>
    </w:r>
    <w:r w:rsidR="008A5C38">
      <w:rPr>
        <w:noProof/>
      </w:rPr>
      <w:fldChar w:fldCharType="end"/>
    </w:r>
    <w:r w:rsidRPr="00A66FC0">
      <w:tab/>
    </w:r>
    <w:r w:rsidRPr="00A66FC0">
      <w:rPr>
        <w:rStyle w:val="HideTWBExt"/>
      </w:rPr>
      <w:t>&lt;PathFdR&gt;</w:t>
    </w:r>
    <w:r w:rsidRPr="00A66FC0">
      <w:t>PR\1281732CS.docx</w:t>
    </w:r>
    <w:r w:rsidRPr="00A66FC0">
      <w:rPr>
        <w:rStyle w:val="HideTWBExt"/>
      </w:rPr>
      <w:t>&lt;/PathFdR&gt;</w:t>
    </w:r>
  </w:p>
  <w:p w14:paraId="08BBCAE1" w14:textId="3903429A" w:rsidR="00100069" w:rsidRPr="00A66FC0" w:rsidRDefault="002A21D7" w:rsidP="002A21D7">
    <w:pPr>
      <w:pStyle w:val="EPFooter2"/>
    </w:pPr>
    <w:r w:rsidRPr="00A66FC0">
      <w:t>CS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0B6745" w14:textId="29522B9D" w:rsidR="002A21D7" w:rsidRPr="00A66FC0" w:rsidRDefault="002A21D7" w:rsidP="002A21D7">
    <w:pPr>
      <w:pStyle w:val="EPFooter"/>
    </w:pPr>
    <w:r w:rsidRPr="00A66FC0">
      <w:rPr>
        <w:rStyle w:val="HideTWBExt"/>
      </w:rPr>
      <w:t>&lt;PathFdR&gt;</w:t>
    </w:r>
    <w:r w:rsidRPr="00A66FC0">
      <w:t>PR\1281732CS.docx</w:t>
    </w:r>
    <w:r w:rsidRPr="00A66FC0">
      <w:rPr>
        <w:rStyle w:val="HideTWBExt"/>
      </w:rPr>
      <w:t>&lt;/PathFdR&gt;</w:t>
    </w:r>
    <w:r w:rsidRPr="00A66FC0">
      <w:tab/>
    </w:r>
    <w:r w:rsidRPr="00A66FC0">
      <w:fldChar w:fldCharType="begin"/>
    </w:r>
    <w:r w:rsidRPr="00A66FC0">
      <w:instrText xml:space="preserve"> PAGE  \* MERGEFORMAT </w:instrText>
    </w:r>
    <w:r w:rsidRPr="00A66FC0">
      <w:fldChar w:fldCharType="separate"/>
    </w:r>
    <w:r w:rsidR="008A5C38">
      <w:rPr>
        <w:noProof/>
      </w:rPr>
      <w:t>3</w:t>
    </w:r>
    <w:r w:rsidRPr="00A66FC0">
      <w:fldChar w:fldCharType="end"/>
    </w:r>
    <w:r w:rsidRPr="00A66FC0">
      <w:t>/</w:t>
    </w:r>
    <w:r w:rsidR="008A5C38">
      <w:fldChar w:fldCharType="begin"/>
    </w:r>
    <w:r w:rsidR="008A5C38">
      <w:instrText xml:space="preserve"> NUMPAGES  \* MERGEFORMAT </w:instrText>
    </w:r>
    <w:r w:rsidR="008A5C38">
      <w:fldChar w:fldCharType="separate"/>
    </w:r>
    <w:r w:rsidR="008A5C38">
      <w:rPr>
        <w:noProof/>
      </w:rPr>
      <w:t>9</w:t>
    </w:r>
    <w:r w:rsidR="008A5C38">
      <w:rPr>
        <w:noProof/>
      </w:rPr>
      <w:fldChar w:fldCharType="end"/>
    </w:r>
    <w:r w:rsidRPr="00A66FC0">
      <w:tab/>
      <w:t>PE</w:t>
    </w:r>
    <w:r w:rsidRPr="00A66FC0">
      <w:rPr>
        <w:rStyle w:val="HideTWBExt"/>
      </w:rPr>
      <w:t>&lt;NoPE&gt;</w:t>
    </w:r>
    <w:r w:rsidRPr="00A66FC0">
      <w:t>750.124</w:t>
    </w:r>
    <w:r w:rsidRPr="00A66FC0">
      <w:rPr>
        <w:rStyle w:val="HideTWBExt"/>
      </w:rPr>
      <w:t>&lt;/NoPE&gt;&lt;Version&gt;</w:t>
    </w:r>
    <w:r w:rsidRPr="00A66FC0">
      <w:t>v01-00</w:t>
    </w:r>
    <w:r w:rsidRPr="00A66FC0">
      <w:rPr>
        <w:rStyle w:val="HideTWBExt"/>
      </w:rPr>
      <w:t>&lt;/Version&gt;</w:t>
    </w:r>
  </w:p>
  <w:p w14:paraId="392EDE1D" w14:textId="58968F9A" w:rsidR="00100069" w:rsidRPr="00A66FC0" w:rsidRDefault="002A21D7" w:rsidP="002A21D7">
    <w:pPr>
      <w:pStyle w:val="EPFooter2"/>
    </w:pPr>
    <w:r w:rsidRPr="00A66FC0">
      <w:tab/>
    </w:r>
    <w:r w:rsidRPr="00A66FC0">
      <w:tab/>
      <w:t>CS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6236BB" w14:textId="77777777" w:rsidR="002A21D7" w:rsidRPr="00A66FC0" w:rsidRDefault="002A21D7" w:rsidP="002A21D7">
    <w:pPr>
      <w:pStyle w:val="EPFooter"/>
    </w:pPr>
    <w:r w:rsidRPr="00A66FC0">
      <w:rPr>
        <w:rStyle w:val="HideTWBExt"/>
      </w:rPr>
      <w:t>&lt;PathFdR&gt;</w:t>
    </w:r>
    <w:r w:rsidRPr="00A66FC0">
      <w:t>PR\1281732CS.docx</w:t>
    </w:r>
    <w:r w:rsidRPr="00A66FC0">
      <w:rPr>
        <w:rStyle w:val="HideTWBExt"/>
      </w:rPr>
      <w:t>&lt;/PathFdR&gt;</w:t>
    </w:r>
    <w:r w:rsidRPr="00A66FC0">
      <w:tab/>
    </w:r>
    <w:r w:rsidRPr="00A66FC0">
      <w:tab/>
      <w:t>PE</w:t>
    </w:r>
    <w:r w:rsidRPr="00A66FC0">
      <w:rPr>
        <w:rStyle w:val="HideTWBExt"/>
      </w:rPr>
      <w:t>&lt;NoPE&gt;</w:t>
    </w:r>
    <w:r w:rsidRPr="00A66FC0">
      <w:t>750.124</w:t>
    </w:r>
    <w:r w:rsidRPr="00A66FC0">
      <w:rPr>
        <w:rStyle w:val="HideTWBExt"/>
      </w:rPr>
      <w:t>&lt;/NoPE&gt;&lt;Version&gt;</w:t>
    </w:r>
    <w:r w:rsidRPr="00A66FC0">
      <w:t>v01-00</w:t>
    </w:r>
    <w:r w:rsidRPr="00A66FC0">
      <w:rPr>
        <w:rStyle w:val="HideTWBExt"/>
      </w:rPr>
      <w:t>&lt;/Version&gt;</w:t>
    </w:r>
  </w:p>
  <w:p w14:paraId="3347EA14" w14:textId="24F7FE91" w:rsidR="00100069" w:rsidRPr="00A66FC0" w:rsidRDefault="002A21D7" w:rsidP="002A21D7">
    <w:pPr>
      <w:pStyle w:val="EPFooter2"/>
    </w:pPr>
    <w:r w:rsidRPr="00A66FC0">
      <w:t>CS</w:t>
    </w:r>
    <w:r w:rsidRPr="00A66FC0">
      <w:tab/>
    </w:r>
    <w:r w:rsidRPr="00A66FC0">
      <w:rPr>
        <w:b w:val="0"/>
        <w:i/>
        <w:color w:val="C0C0C0"/>
        <w:sz w:val="22"/>
      </w:rPr>
      <w:t>Jednotná v rozmanitosti</w:t>
    </w:r>
    <w:r w:rsidRPr="00A66FC0">
      <w:tab/>
      <w:t>CS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338962" w14:textId="77777777" w:rsidR="00F67AFA" w:rsidRPr="00A66FC0" w:rsidRDefault="00F67AFA">
      <w:r w:rsidRPr="00A66FC0">
        <w:separator/>
      </w:r>
    </w:p>
  </w:footnote>
  <w:footnote w:type="continuationSeparator" w:id="0">
    <w:p w14:paraId="0067AEEE" w14:textId="77777777" w:rsidR="00F67AFA" w:rsidRPr="00A66FC0" w:rsidRDefault="00F67AFA">
      <w:r w:rsidRPr="00A66FC0">
        <w:continuationSeparator/>
      </w:r>
    </w:p>
  </w:footnote>
  <w:footnote w:id="1">
    <w:p w14:paraId="7F89CFBD" w14:textId="77777777" w:rsidR="00D81ACD" w:rsidRPr="00A66FC0" w:rsidRDefault="00D81ACD">
      <w:pPr>
        <w:pStyle w:val="FootnoteText"/>
      </w:pPr>
      <w:r w:rsidRPr="00A66FC0">
        <w:rPr>
          <w:rStyle w:val="FootnoteReference"/>
        </w:rPr>
        <w:footnoteRef/>
      </w:r>
      <w:r w:rsidRPr="00A66FC0">
        <w:t xml:space="preserve"> Úř. věst. L 354, 28.12.2013, s. 1.</w:t>
      </w:r>
    </w:p>
  </w:footnote>
  <w:footnote w:id="2">
    <w:p w14:paraId="64F371C8" w14:textId="77777777" w:rsidR="00D81ACD" w:rsidRPr="00A66FC0" w:rsidRDefault="00D81ACD">
      <w:pPr>
        <w:pStyle w:val="FootnoteText"/>
      </w:pPr>
      <w:r w:rsidRPr="00A66FC0">
        <w:rPr>
          <w:rStyle w:val="FootnoteReference"/>
        </w:rPr>
        <w:footnoteRef/>
      </w:r>
      <w:r w:rsidRPr="00A66FC0">
        <w:t xml:space="preserve"> Úř. věst. C 184, 5.5.2022, s. 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30BE33" w14:textId="77777777" w:rsidR="00BD1086" w:rsidRDefault="00BD108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8EA4FD" w14:textId="77777777" w:rsidR="00BD1086" w:rsidRDefault="00BD108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69176A" w14:textId="77777777" w:rsidR="00BD1086" w:rsidRDefault="00BD108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KEY" w:val="PECH"/>
    <w:docVar w:name="HEADINGMNU" w:val=" 1"/>
    <w:docVar w:name="LastEditedSection" w:val=" 1"/>
    <w:docVar w:name="MOTIONMNU" w:val=" 3"/>
    <w:docVar w:name="OPTHEADING1MNU" w:val=" 1"/>
    <w:docVar w:name="OPTHEADING2MNU" w:val=" 1"/>
    <w:docVar w:name="PAR1MNU" w:val=" 1"/>
    <w:docVar w:name="strDocTypeID" w:val="PR_INI_ImplReport"/>
    <w:docVar w:name="strSubDir" w:val="1281"/>
    <w:docVar w:name="TITLEMNU" w:val=" 1"/>
    <w:docVar w:name="TVTTITLE" w:val="Implementation of the Common Market Organisation (CMO) Regulation in fisheries and aquaculture - Regulation (EU) 1379/2013"/>
    <w:docVar w:name="TXTLANGUE" w:val="CS"/>
    <w:docVar w:name="TXTLANGUEMIN" w:val="cs"/>
    <w:docVar w:name="TXTNRINI" w:val="2023/2049"/>
    <w:docVar w:name="TXTNRPE" w:val="750.124"/>
    <w:docVar w:name="TXTPEorAP" w:val="PE"/>
    <w:docVar w:name="TXTROUTE" w:val="PR\1281732CS.docx"/>
    <w:docVar w:name="TXTTITLE" w:val="Implementation of the Common Market Organisation (CMO) Regulation in fisheries and aquaculture - Regulation (EU) 1379/2013"/>
    <w:docVar w:name="TXTVERSION" w:val="01-00"/>
  </w:docVars>
  <w:rsids>
    <w:rsidRoot w:val="00F67AFA"/>
    <w:rsid w:val="000259EA"/>
    <w:rsid w:val="00040EAC"/>
    <w:rsid w:val="00057D69"/>
    <w:rsid w:val="00082B65"/>
    <w:rsid w:val="000C53D8"/>
    <w:rsid w:val="000F1377"/>
    <w:rsid w:val="00100069"/>
    <w:rsid w:val="001046B1"/>
    <w:rsid w:val="00115DF6"/>
    <w:rsid w:val="00141FC3"/>
    <w:rsid w:val="00153AB5"/>
    <w:rsid w:val="0017303E"/>
    <w:rsid w:val="001C35F3"/>
    <w:rsid w:val="001F5856"/>
    <w:rsid w:val="002404C8"/>
    <w:rsid w:val="00240F48"/>
    <w:rsid w:val="002544DF"/>
    <w:rsid w:val="002643FA"/>
    <w:rsid w:val="002728D7"/>
    <w:rsid w:val="00274868"/>
    <w:rsid w:val="00277EDB"/>
    <w:rsid w:val="002A21D7"/>
    <w:rsid w:val="002C1B20"/>
    <w:rsid w:val="002C5A3A"/>
    <w:rsid w:val="002D4261"/>
    <w:rsid w:val="002D4D78"/>
    <w:rsid w:val="002D6782"/>
    <w:rsid w:val="003066F4"/>
    <w:rsid w:val="00316C50"/>
    <w:rsid w:val="00326F76"/>
    <w:rsid w:val="00367412"/>
    <w:rsid w:val="003E6413"/>
    <w:rsid w:val="00415FD1"/>
    <w:rsid w:val="00441215"/>
    <w:rsid w:val="0048149E"/>
    <w:rsid w:val="004B4D5E"/>
    <w:rsid w:val="004C68A7"/>
    <w:rsid w:val="004E0E94"/>
    <w:rsid w:val="004F6A16"/>
    <w:rsid w:val="005119D4"/>
    <w:rsid w:val="00534771"/>
    <w:rsid w:val="00550812"/>
    <w:rsid w:val="005A2942"/>
    <w:rsid w:val="005E6C15"/>
    <w:rsid w:val="006272CD"/>
    <w:rsid w:val="00631924"/>
    <w:rsid w:val="00692C3B"/>
    <w:rsid w:val="00705D44"/>
    <w:rsid w:val="00707E7F"/>
    <w:rsid w:val="007115BD"/>
    <w:rsid w:val="007126C9"/>
    <w:rsid w:val="00767DFF"/>
    <w:rsid w:val="0079204E"/>
    <w:rsid w:val="007A4135"/>
    <w:rsid w:val="007E300F"/>
    <w:rsid w:val="0082521C"/>
    <w:rsid w:val="00835773"/>
    <w:rsid w:val="00846CDA"/>
    <w:rsid w:val="008A1858"/>
    <w:rsid w:val="008A5C38"/>
    <w:rsid w:val="008C4C65"/>
    <w:rsid w:val="008D66B5"/>
    <w:rsid w:val="008E7EB6"/>
    <w:rsid w:val="00915B29"/>
    <w:rsid w:val="009253E3"/>
    <w:rsid w:val="00956282"/>
    <w:rsid w:val="0095675E"/>
    <w:rsid w:val="009A3355"/>
    <w:rsid w:val="009A340D"/>
    <w:rsid w:val="009D7157"/>
    <w:rsid w:val="00A10B87"/>
    <w:rsid w:val="00A66FC0"/>
    <w:rsid w:val="00A73E97"/>
    <w:rsid w:val="00AB20E4"/>
    <w:rsid w:val="00B24F54"/>
    <w:rsid w:val="00B97653"/>
    <w:rsid w:val="00BA2A57"/>
    <w:rsid w:val="00BB70F1"/>
    <w:rsid w:val="00BC5BEB"/>
    <w:rsid w:val="00BC7C60"/>
    <w:rsid w:val="00BD1086"/>
    <w:rsid w:val="00BF774C"/>
    <w:rsid w:val="00D004E0"/>
    <w:rsid w:val="00D32102"/>
    <w:rsid w:val="00D55C21"/>
    <w:rsid w:val="00D63CD1"/>
    <w:rsid w:val="00D81ACD"/>
    <w:rsid w:val="00DB0A6D"/>
    <w:rsid w:val="00DC527D"/>
    <w:rsid w:val="00DD2D8E"/>
    <w:rsid w:val="00DD5244"/>
    <w:rsid w:val="00DE3820"/>
    <w:rsid w:val="00DF2526"/>
    <w:rsid w:val="00E155CA"/>
    <w:rsid w:val="00E3537C"/>
    <w:rsid w:val="00E52050"/>
    <w:rsid w:val="00E61690"/>
    <w:rsid w:val="00E8000D"/>
    <w:rsid w:val="00EA1A4C"/>
    <w:rsid w:val="00EC5E45"/>
    <w:rsid w:val="00ED61D4"/>
    <w:rsid w:val="00EE0A27"/>
    <w:rsid w:val="00EE28D2"/>
    <w:rsid w:val="00EF42F3"/>
    <w:rsid w:val="00F03EB3"/>
    <w:rsid w:val="00F07A67"/>
    <w:rsid w:val="00F42F6E"/>
    <w:rsid w:val="00F67AFA"/>
    <w:rsid w:val="00F776D3"/>
    <w:rsid w:val="00F81706"/>
    <w:rsid w:val="00F833E7"/>
    <w:rsid w:val="00F93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70B77B"/>
  <w15:chartTrackingRefBased/>
  <w15:docId w15:val="{85419420-1295-4A71-8E35-CE0D4C8FB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2D8E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pPr>
      <w:spacing w:after="240"/>
    </w:pPr>
  </w:style>
  <w:style w:type="paragraph" w:styleId="TOC1">
    <w:name w:val="toc 1"/>
    <w:basedOn w:val="Normal"/>
    <w:next w:val="Normal"/>
    <w:autoRedefine/>
    <w:uiPriority w:val="39"/>
    <w:rsid w:val="00277EDB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Hanging12a">
    <w:name w:val="NormalHanging12a"/>
    <w:basedOn w:val="Normal"/>
    <w:link w:val="NormalHanging12aChar"/>
    <w:pPr>
      <w:spacing w:after="240"/>
      <w:ind w:left="567" w:hanging="567"/>
    </w:pPr>
  </w:style>
  <w:style w:type="paragraph" w:customStyle="1" w:styleId="EPName">
    <w:name w:val="EPName"/>
    <w:basedOn w:val="Normal"/>
    <w:rsid w:val="002544DF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D55C21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rsid w:val="00367412"/>
    <w:pPr>
      <w:spacing w:before="1080"/>
      <w:jc w:val="right"/>
    </w:pPr>
    <w:rPr>
      <w:rFonts w:ascii="Arial" w:hAnsi="Arial" w:cs="Arial"/>
      <w:b/>
    </w:rPr>
  </w:style>
  <w:style w:type="paragraph" w:customStyle="1" w:styleId="CoverDocType24a">
    <w:name w:val="CoverDocType24a"/>
    <w:basedOn w:val="Normal"/>
    <w:rsid w:val="00D55C21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9253E3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rsid w:val="00E353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E3537C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E3537C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E3537C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2544DF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2544DF"/>
    <w:pPr>
      <w:jc w:val="right"/>
    </w:pPr>
  </w:style>
  <w:style w:type="paragraph" w:customStyle="1" w:styleId="Subheading">
    <w:name w:val="Subheading"/>
    <w:basedOn w:val="Normal"/>
    <w:rsid w:val="0017303E"/>
    <w:pPr>
      <w:spacing w:before="480" w:after="240"/>
    </w:pPr>
    <w:rPr>
      <w:b/>
      <w:i/>
    </w:rPr>
  </w:style>
  <w:style w:type="paragraph" w:customStyle="1" w:styleId="EPFooter">
    <w:name w:val="EPFooter"/>
    <w:basedOn w:val="Normal"/>
    <w:rsid w:val="00D55C2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9253E3"/>
    <w:rPr>
      <w:sz w:val="24"/>
    </w:rPr>
  </w:style>
  <w:style w:type="paragraph" w:customStyle="1" w:styleId="EPComma">
    <w:name w:val="EPComma"/>
    <w:basedOn w:val="Normal"/>
    <w:rsid w:val="00D004E0"/>
    <w:pPr>
      <w:spacing w:before="480" w:after="240"/>
    </w:pPr>
  </w:style>
  <w:style w:type="paragraph" w:customStyle="1" w:styleId="Normal12a24b">
    <w:name w:val="Normal12a24b"/>
    <w:basedOn w:val="Normal"/>
    <w:rsid w:val="00BC5BEB"/>
    <w:pPr>
      <w:snapToGrid w:val="0"/>
      <w:spacing w:before="360" w:after="240"/>
    </w:pPr>
    <w:rPr>
      <w:lang w:eastAsia="en-US"/>
    </w:rPr>
  </w:style>
  <w:style w:type="character" w:customStyle="1" w:styleId="Bold">
    <w:name w:val="Bold"/>
    <w:uiPriority w:val="1"/>
    <w:rsid w:val="00BC5BEB"/>
    <w:rPr>
      <w:b/>
      <w:bCs w:val="0"/>
    </w:rPr>
  </w:style>
  <w:style w:type="character" w:customStyle="1" w:styleId="NormalHanging12aChar">
    <w:name w:val="NormalHanging12a Char"/>
    <w:basedOn w:val="DefaultParagraphFont"/>
    <w:link w:val="NormalHanging12a"/>
    <w:locked/>
    <w:rsid w:val="00BC5BEB"/>
    <w:rPr>
      <w:sz w:val="24"/>
    </w:rPr>
  </w:style>
  <w:style w:type="paragraph" w:styleId="Footer">
    <w:name w:val="footer"/>
    <w:basedOn w:val="Normal"/>
    <w:link w:val="FooterChar"/>
    <w:semiHidden/>
    <w:rsid w:val="00DF252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DF2526"/>
    <w:rPr>
      <w:sz w:val="24"/>
    </w:rPr>
  </w:style>
  <w:style w:type="paragraph" w:styleId="BalloonText">
    <w:name w:val="Balloon Text"/>
    <w:basedOn w:val="Normal"/>
    <w:link w:val="BalloonTextChar"/>
    <w:semiHidden/>
    <w:unhideWhenUsed/>
    <w:rsid w:val="00D81AC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81ACD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rsid w:val="00D81ACD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D81ACD"/>
  </w:style>
  <w:style w:type="character" w:styleId="FootnoteReference">
    <w:name w:val="footnote reference"/>
    <w:basedOn w:val="DefaultParagraphFont"/>
    <w:rsid w:val="00D81ACD"/>
    <w:rPr>
      <w:vertAlign w:val="superscript"/>
    </w:rPr>
  </w:style>
  <w:style w:type="character" w:styleId="CommentReference">
    <w:name w:val="annotation reference"/>
    <w:basedOn w:val="DefaultParagraphFont"/>
    <w:rsid w:val="001F5856"/>
    <w:rPr>
      <w:sz w:val="16"/>
      <w:szCs w:val="16"/>
    </w:rPr>
  </w:style>
  <w:style w:type="paragraph" w:styleId="CommentText">
    <w:name w:val="annotation text"/>
    <w:basedOn w:val="Normal"/>
    <w:link w:val="CommentTextChar"/>
    <w:rsid w:val="001F585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F5856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F58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F5856"/>
    <w:rPr>
      <w:b/>
      <w:bCs/>
    </w:rPr>
  </w:style>
  <w:style w:type="character" w:styleId="Hyperlink">
    <w:name w:val="Hyperlink"/>
    <w:basedOn w:val="DefaultParagraphFont"/>
    <w:rsid w:val="0079204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08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7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8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5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7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1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6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3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747ED8-ECD6-419E-8942-8CCC57A9B0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2428</Words>
  <Characters>14769</Characters>
  <Application>Microsoft Office Word</Application>
  <DocSecurity>0</DocSecurity>
  <Lines>268</Lines>
  <Paragraphs>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PR_INI_ImplReport</vt:lpstr>
    </vt:vector>
  </TitlesOfParts>
  <Company/>
  <LinksUpToDate>false</LinksUpToDate>
  <CharactersWithSpaces>17107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PR_INI_ImplReport</dc:title>
  <dc:subject/>
  <dc:creator>MANYIK Krisztina</dc:creator>
  <cp:keywords/>
  <dc:description/>
  <cp:lastModifiedBy>SMAKALOVA Sona</cp:lastModifiedBy>
  <cp:revision>2</cp:revision>
  <cp:lastPrinted>2023-06-29T10:27:00Z</cp:lastPrinted>
  <dcterms:created xsi:type="dcterms:W3CDTF">2023-07-11T08:59:00Z</dcterms:created>
  <dcterms:modified xsi:type="dcterms:W3CDTF">2023-07-11T08:59:00Z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Created with">
    <vt:lpwstr>9.15.0 Build [20230501]</vt:lpwstr>
  </property>
  <property fmtid="{D5CDD505-2E9C-101B-9397-08002B2CF9AE}" pid="4" name="LastEdited with">
    <vt:lpwstr>9.15.0 Build [20230501]</vt:lpwstr>
  </property>
  <property fmtid="{D5CDD505-2E9C-101B-9397-08002B2CF9AE}" pid="5" name="&lt;FdR&gt;">
    <vt:lpwstr>1281732</vt:lpwstr>
  </property>
  <property fmtid="{D5CDD505-2E9C-101B-9397-08002B2CF9AE}" pid="6" name="&lt;Type&gt;">
    <vt:lpwstr>PR</vt:lpwstr>
  </property>
  <property fmtid="{D5CDD505-2E9C-101B-9397-08002B2CF9AE}" pid="7" name="&lt;ModelCod&gt;">
    <vt:lpwstr>\\eiciBRUpr1\pdocep$\DocEP\DOCS\General\PR\PR_NonLeg\INI\PR_INI_ImplReport.dotx(17/04/2020 19:28:09)</vt:lpwstr>
  </property>
  <property fmtid="{D5CDD505-2E9C-101B-9397-08002B2CF9AE}" pid="8" name="&lt;ModelTra&gt;">
    <vt:lpwstr>\\eiciBRUpr1\pdocep$\DocEP\TRANSFIL\EN\PR_INI_ImplReport.EN(16/10/2020 18:33:06)</vt:lpwstr>
  </property>
  <property fmtid="{D5CDD505-2E9C-101B-9397-08002B2CF9AE}" pid="9" name="&lt;Model&gt;">
    <vt:lpwstr>PR_INI_ImplReport</vt:lpwstr>
  </property>
  <property fmtid="{D5CDD505-2E9C-101B-9397-08002B2CF9AE}" pid="10" name="FooterPath">
    <vt:lpwstr>PR\1281732CS.docx</vt:lpwstr>
  </property>
  <property fmtid="{D5CDD505-2E9C-101B-9397-08002B2CF9AE}" pid="11" name="PE number">
    <vt:lpwstr>750.124</vt:lpwstr>
  </property>
  <property fmtid="{D5CDD505-2E9C-101B-9397-08002B2CF9AE}" pid="12" name="SendToEpades">
    <vt:lpwstr>OK - 2023/06/27 14:45</vt:lpwstr>
  </property>
  <property fmtid="{D5CDD505-2E9C-101B-9397-08002B2CF9AE}" pid="13" name="Bookout">
    <vt:lpwstr>OK - 2023/07/11 10:59</vt:lpwstr>
  </property>
</Properties>
</file>