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E0A27" w:rsidRPr="008C0FC3" w14:paraId="678E84D1" w14:textId="77777777" w:rsidTr="00C85D0F">
        <w:trPr>
          <w:trHeight w:hRule="exact" w:val="1418"/>
        </w:trPr>
        <w:tc>
          <w:tcPr>
            <w:tcW w:w="6804" w:type="dxa"/>
            <w:shd w:val="clear" w:color="auto" w:fill="auto"/>
            <w:vAlign w:val="center"/>
          </w:tcPr>
          <w:p w14:paraId="4B14D2B4" w14:textId="77777777" w:rsidR="00EE0A27" w:rsidRPr="008C0FC3" w:rsidRDefault="00F67AFA" w:rsidP="00C85D0F">
            <w:pPr>
              <w:pStyle w:val="EPName"/>
            </w:pPr>
            <w:r w:rsidRPr="008C0FC3">
              <w:t>Parlamentul European</w:t>
            </w:r>
          </w:p>
          <w:p w14:paraId="78E4180E" w14:textId="77777777" w:rsidR="00EE0A27" w:rsidRPr="008C0FC3" w:rsidRDefault="002C5A3A" w:rsidP="002C5A3A">
            <w:pPr>
              <w:pStyle w:val="EPTerm"/>
            </w:pPr>
            <w:r w:rsidRPr="008C0FC3">
              <w:t>2019-2024</w:t>
            </w:r>
          </w:p>
        </w:tc>
        <w:tc>
          <w:tcPr>
            <w:tcW w:w="2268" w:type="dxa"/>
            <w:shd w:val="clear" w:color="auto" w:fill="auto"/>
          </w:tcPr>
          <w:p w14:paraId="617BDB07" w14:textId="77777777" w:rsidR="00EE0A27" w:rsidRPr="008C0FC3" w:rsidRDefault="00EE0A27" w:rsidP="00C85D0F">
            <w:pPr>
              <w:pStyle w:val="EPLogo"/>
            </w:pPr>
            <w:r w:rsidRPr="008C0FC3">
              <w:rPr>
                <w:noProof/>
              </w:rPr>
              <w:drawing>
                <wp:inline distT="0" distB="0" distL="0" distR="0" wp14:anchorId="0836D156" wp14:editId="3A0985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8A27A1" w14:textId="77777777" w:rsidR="00E3537C" w:rsidRPr="008C0FC3" w:rsidRDefault="00E3537C" w:rsidP="00E3537C">
      <w:pPr>
        <w:pStyle w:val="LineTop"/>
      </w:pPr>
    </w:p>
    <w:p w14:paraId="0C1F464D" w14:textId="77777777" w:rsidR="00E3537C" w:rsidRPr="008C0FC3" w:rsidRDefault="00E3537C" w:rsidP="00E3537C">
      <w:pPr>
        <w:pStyle w:val="EPBody"/>
      </w:pPr>
      <w:r w:rsidRPr="008C0FC3">
        <w:rPr>
          <w:rStyle w:val="HideTWBExt"/>
        </w:rPr>
        <w:t>&lt;</w:t>
      </w:r>
      <w:r w:rsidRPr="008C0FC3">
        <w:rPr>
          <w:rStyle w:val="HideTWBExt"/>
          <w:i w:val="0"/>
        </w:rPr>
        <w:t>Commission</w:t>
      </w:r>
      <w:r w:rsidRPr="008C0FC3">
        <w:rPr>
          <w:rStyle w:val="HideTWBExt"/>
        </w:rPr>
        <w:t>&gt;</w:t>
      </w:r>
      <w:r w:rsidRPr="008C0FC3">
        <w:rPr>
          <w:rStyle w:val="HideTWBInt"/>
        </w:rPr>
        <w:t>{PECH}</w:t>
      </w:r>
      <w:r w:rsidRPr="008C0FC3">
        <w:t>Comisia pentru pescuit</w:t>
      </w:r>
      <w:r w:rsidRPr="008C0FC3">
        <w:rPr>
          <w:rStyle w:val="HideTWBExt"/>
        </w:rPr>
        <w:t>&lt;/</w:t>
      </w:r>
      <w:r w:rsidRPr="008C0FC3">
        <w:rPr>
          <w:rStyle w:val="HideTWBExt"/>
          <w:i w:val="0"/>
        </w:rPr>
        <w:t>Commission</w:t>
      </w:r>
      <w:r w:rsidRPr="008C0FC3">
        <w:rPr>
          <w:rStyle w:val="HideTWBExt"/>
        </w:rPr>
        <w:t>&gt;</w:t>
      </w:r>
    </w:p>
    <w:p w14:paraId="26D8A049" w14:textId="77777777" w:rsidR="00E3537C" w:rsidRPr="008C0FC3" w:rsidRDefault="00E3537C" w:rsidP="00E3537C">
      <w:pPr>
        <w:pStyle w:val="LineBottom"/>
      </w:pPr>
    </w:p>
    <w:p w14:paraId="5F89DFB8" w14:textId="77777777" w:rsidR="00100069" w:rsidRPr="008C0FC3" w:rsidRDefault="00100069">
      <w:pPr>
        <w:pStyle w:val="CoverReference"/>
      </w:pPr>
      <w:r w:rsidRPr="008C0FC3">
        <w:rPr>
          <w:rStyle w:val="HideTWBExt"/>
          <w:b w:val="0"/>
        </w:rPr>
        <w:t>&lt;RefProc&gt;</w:t>
      </w:r>
      <w:r w:rsidRPr="008C0FC3">
        <w:t>2023/2049</w:t>
      </w:r>
      <w:r w:rsidRPr="008C0FC3">
        <w:rPr>
          <w:rStyle w:val="HideTWBExt"/>
          <w:b w:val="0"/>
        </w:rPr>
        <w:t>&lt;/RefProc&gt;&lt;RefTypeProc&gt;</w:t>
      </w:r>
      <w:r w:rsidRPr="008C0FC3">
        <w:t>(INI)</w:t>
      </w:r>
      <w:r w:rsidRPr="008C0FC3">
        <w:rPr>
          <w:rStyle w:val="HideTWBExt"/>
          <w:b w:val="0"/>
        </w:rPr>
        <w:t>&lt;/RefTypeProc&gt;</w:t>
      </w:r>
    </w:p>
    <w:p w14:paraId="47586F75" w14:textId="77777777" w:rsidR="00100069" w:rsidRPr="008C0FC3" w:rsidRDefault="00100069">
      <w:pPr>
        <w:pStyle w:val="CoverDate"/>
      </w:pPr>
      <w:r w:rsidRPr="008C0FC3">
        <w:rPr>
          <w:rStyle w:val="HideTWBExt"/>
        </w:rPr>
        <w:t>&lt;Date&gt;</w:t>
      </w:r>
      <w:r w:rsidRPr="008C0FC3">
        <w:rPr>
          <w:rStyle w:val="HideTWBInt"/>
        </w:rPr>
        <w:t>{27/06/2023}</w:t>
      </w:r>
      <w:r w:rsidRPr="008C0FC3">
        <w:t>27.6.2023</w:t>
      </w:r>
      <w:r w:rsidRPr="008C0FC3">
        <w:rPr>
          <w:rStyle w:val="HideTWBExt"/>
        </w:rPr>
        <w:t>&lt;/Date&gt;</w:t>
      </w:r>
    </w:p>
    <w:p w14:paraId="26B8BEA3" w14:textId="77777777" w:rsidR="00100069" w:rsidRPr="008C0FC3" w:rsidRDefault="00100069">
      <w:pPr>
        <w:pStyle w:val="CoverDocType24a"/>
      </w:pPr>
      <w:r w:rsidRPr="008C0FC3">
        <w:rPr>
          <w:rStyle w:val="HideTWBExt"/>
          <w:b w:val="0"/>
        </w:rPr>
        <w:t>&lt;TitreType&gt;</w:t>
      </w:r>
      <w:r w:rsidRPr="008C0FC3">
        <w:t>PROIECT DE RAPORT</w:t>
      </w:r>
      <w:r w:rsidRPr="008C0FC3">
        <w:rPr>
          <w:rStyle w:val="HideTWBExt"/>
          <w:b w:val="0"/>
        </w:rPr>
        <w:t>&lt;/TitreType&gt;</w:t>
      </w:r>
    </w:p>
    <w:p w14:paraId="1876329B" w14:textId="2A770FCD" w:rsidR="00100069" w:rsidRPr="008C0FC3" w:rsidRDefault="00100069">
      <w:pPr>
        <w:pStyle w:val="CoverNormal"/>
      </w:pPr>
      <w:r w:rsidRPr="008C0FC3">
        <w:rPr>
          <w:rStyle w:val="HideTWBExt"/>
        </w:rPr>
        <w:t>&lt;Titre&gt;</w:t>
      </w:r>
      <w:r w:rsidRPr="008C0FC3">
        <w:t>referitor la punerea în aplicare a Regulamentului privind organizarea comună a piețelor (OCP) în sectorul pescuitului și acvaculturii – Regulamentul (UE) 1379/2013</w:t>
      </w:r>
      <w:r w:rsidRPr="008C0FC3">
        <w:rPr>
          <w:rStyle w:val="HideTWBExt"/>
        </w:rPr>
        <w:t>&lt;/Titre&gt;</w:t>
      </w:r>
    </w:p>
    <w:p w14:paraId="0980316A" w14:textId="77777777" w:rsidR="00100069" w:rsidRPr="008C0FC3" w:rsidRDefault="00100069">
      <w:pPr>
        <w:pStyle w:val="CoverNormal24a"/>
      </w:pPr>
      <w:r w:rsidRPr="008C0FC3">
        <w:rPr>
          <w:rStyle w:val="HideTWBExt"/>
        </w:rPr>
        <w:t>&lt;DocRef&gt;</w:t>
      </w:r>
      <w:r w:rsidRPr="008C0FC3">
        <w:t>(2023/2049(INI))</w:t>
      </w:r>
      <w:r w:rsidRPr="008C0FC3">
        <w:rPr>
          <w:rStyle w:val="HideTWBExt"/>
        </w:rPr>
        <w:t>&lt;/DocRef&gt;</w:t>
      </w:r>
    </w:p>
    <w:p w14:paraId="15F45F77" w14:textId="77777777" w:rsidR="00100069" w:rsidRPr="008C0FC3" w:rsidRDefault="00100069">
      <w:pPr>
        <w:pStyle w:val="CoverNormal24a"/>
      </w:pPr>
      <w:r w:rsidRPr="008C0FC3">
        <w:rPr>
          <w:rStyle w:val="HideTWBExt"/>
        </w:rPr>
        <w:t>&lt;Commission&gt;</w:t>
      </w:r>
      <w:r w:rsidRPr="008C0FC3">
        <w:rPr>
          <w:rStyle w:val="HideTWBInt"/>
        </w:rPr>
        <w:t>{PECH}</w:t>
      </w:r>
      <w:r w:rsidRPr="008C0FC3">
        <w:t>Comisia pentru pescuit</w:t>
      </w:r>
      <w:r w:rsidRPr="008C0FC3">
        <w:rPr>
          <w:rStyle w:val="HideTWBExt"/>
        </w:rPr>
        <w:t>&lt;/Commission&gt;</w:t>
      </w:r>
    </w:p>
    <w:p w14:paraId="5AFF154C" w14:textId="77777777" w:rsidR="00100069" w:rsidRPr="008C0FC3" w:rsidRDefault="00F67AFA">
      <w:pPr>
        <w:pStyle w:val="CoverNormal24a"/>
      </w:pPr>
      <w:r w:rsidRPr="008C0FC3">
        <w:t xml:space="preserve">Raportoare: </w:t>
      </w:r>
      <w:r w:rsidRPr="008C0FC3">
        <w:rPr>
          <w:rStyle w:val="HideTWBExt"/>
        </w:rPr>
        <w:t>&lt;Depute&gt;</w:t>
      </w:r>
      <w:r w:rsidRPr="008C0FC3">
        <w:t>Izaskun Bilbao Barandica</w:t>
      </w:r>
      <w:r w:rsidRPr="008C0FC3">
        <w:rPr>
          <w:rStyle w:val="HideTWBExt"/>
        </w:rPr>
        <w:t>&lt;/Depute&gt;</w:t>
      </w:r>
    </w:p>
    <w:p w14:paraId="06E0DFE0" w14:textId="77777777" w:rsidR="00E155CA" w:rsidRPr="008C0FC3" w:rsidRDefault="00E155CA" w:rsidP="00E155CA">
      <w:pPr>
        <w:pStyle w:val="CoverNormal"/>
      </w:pPr>
    </w:p>
    <w:p w14:paraId="7BF950FD" w14:textId="77777777" w:rsidR="00100069" w:rsidRPr="008C0FC3" w:rsidRDefault="00100069" w:rsidP="002544DF">
      <w:pPr>
        <w:widowControl/>
        <w:tabs>
          <w:tab w:val="center" w:pos="4677"/>
        </w:tabs>
      </w:pPr>
      <w:r w:rsidRPr="008C0FC3">
        <w:br w:type="page"/>
      </w:r>
      <w:r w:rsidRPr="008C0FC3">
        <w:lastRenderedPageBreak/>
        <w:t>PR_INI_ImplReport</w:t>
      </w:r>
    </w:p>
    <w:p w14:paraId="26A4F817" w14:textId="77777777" w:rsidR="00100069" w:rsidRPr="008C0FC3" w:rsidRDefault="00F67AFA">
      <w:pPr>
        <w:pStyle w:val="TOCHeading"/>
      </w:pPr>
      <w:r w:rsidRPr="008C0FC3">
        <w:t>CUPRINS</w:t>
      </w:r>
    </w:p>
    <w:p w14:paraId="21CE5FB3" w14:textId="77777777" w:rsidR="00100069" w:rsidRPr="008C0FC3" w:rsidRDefault="00F67AFA">
      <w:pPr>
        <w:pStyle w:val="TOCPage"/>
      </w:pPr>
      <w:r w:rsidRPr="008C0FC3">
        <w:t>Pagina</w:t>
      </w:r>
    </w:p>
    <w:p w14:paraId="3D46351C" w14:textId="320F95FB" w:rsidR="00727701" w:rsidRDefault="002544DF">
      <w:pPr>
        <w:pStyle w:val="TOC1"/>
        <w:tabs>
          <w:tab w:val="right" w:leader="dot" w:pos="9060"/>
        </w:tabs>
        <w:rPr>
          <w:rFonts w:asciiTheme="minorHAnsi" w:eastAsiaTheme="minorEastAsia" w:hAnsiTheme="minorHAnsi" w:cstheme="minorBidi"/>
          <w:noProof/>
          <w:sz w:val="22"/>
          <w:szCs w:val="22"/>
          <w:lang w:val="en-GB"/>
        </w:rPr>
      </w:pPr>
      <w:r w:rsidRPr="008C0FC3">
        <w:rPr>
          <w:b/>
        </w:rPr>
        <w:fldChar w:fldCharType="begin"/>
      </w:r>
      <w:r w:rsidRPr="008C0FC3">
        <w:rPr>
          <w:b/>
        </w:rPr>
        <w:instrText xml:space="preserve"> TOC \t "</w:instrText>
      </w:r>
      <w:r w:rsidRPr="008C0FC3">
        <w:instrText>PageHeading</w:instrText>
      </w:r>
      <w:r w:rsidR="00767DFF" w:rsidRPr="008C0FC3">
        <w:rPr>
          <w:b/>
        </w:rPr>
        <w:instrText>;</w:instrText>
      </w:r>
      <w:r w:rsidRPr="008C0FC3">
        <w:rPr>
          <w:b/>
        </w:rPr>
        <w:instrText xml:space="preserve">1" </w:instrText>
      </w:r>
      <w:r w:rsidRPr="008C0FC3">
        <w:rPr>
          <w:b/>
        </w:rPr>
        <w:fldChar w:fldCharType="separate"/>
      </w:r>
      <w:r w:rsidR="00727701">
        <w:rPr>
          <w:noProof/>
        </w:rPr>
        <w:t>EXPUNERE DE MOTIVE – REZUMATUL FAPTELOR ȘI CONSTATĂRILOR</w:t>
      </w:r>
      <w:r w:rsidR="00727701">
        <w:rPr>
          <w:noProof/>
        </w:rPr>
        <w:tab/>
      </w:r>
      <w:r w:rsidR="00727701">
        <w:rPr>
          <w:noProof/>
        </w:rPr>
        <w:fldChar w:fldCharType="begin"/>
      </w:r>
      <w:r w:rsidR="00727701">
        <w:rPr>
          <w:noProof/>
        </w:rPr>
        <w:instrText xml:space="preserve"> PAGEREF _Toc139978461 \h </w:instrText>
      </w:r>
      <w:r w:rsidR="00727701">
        <w:rPr>
          <w:noProof/>
        </w:rPr>
      </w:r>
      <w:r w:rsidR="00727701">
        <w:rPr>
          <w:noProof/>
        </w:rPr>
        <w:fldChar w:fldCharType="separate"/>
      </w:r>
      <w:r w:rsidR="00727701">
        <w:rPr>
          <w:noProof/>
        </w:rPr>
        <w:t>3</w:t>
      </w:r>
      <w:r w:rsidR="00727701">
        <w:rPr>
          <w:noProof/>
        </w:rPr>
        <w:fldChar w:fldCharType="end"/>
      </w:r>
    </w:p>
    <w:p w14:paraId="4970401F" w14:textId="74BFCA8C" w:rsidR="00727701" w:rsidRDefault="00727701">
      <w:pPr>
        <w:pStyle w:val="TOC1"/>
        <w:tabs>
          <w:tab w:val="right" w:leader="dot" w:pos="9060"/>
        </w:tabs>
        <w:rPr>
          <w:rFonts w:asciiTheme="minorHAnsi" w:eastAsiaTheme="minorEastAsia" w:hAnsiTheme="minorHAnsi" w:cstheme="minorBidi"/>
          <w:noProof/>
          <w:sz w:val="22"/>
          <w:szCs w:val="22"/>
          <w:lang w:val="en-GB"/>
        </w:rPr>
      </w:pPr>
      <w:r>
        <w:rPr>
          <w:noProof/>
        </w:rPr>
        <w:t>PROPUNERE DE REZOLUȚIE A PARLAMENTULUI EUROPEAN</w:t>
      </w:r>
      <w:r>
        <w:rPr>
          <w:noProof/>
        </w:rPr>
        <w:tab/>
      </w:r>
      <w:r>
        <w:rPr>
          <w:noProof/>
        </w:rPr>
        <w:fldChar w:fldCharType="begin"/>
      </w:r>
      <w:r>
        <w:rPr>
          <w:noProof/>
        </w:rPr>
        <w:instrText xml:space="preserve"> PAGEREF _Toc139978462 \h </w:instrText>
      </w:r>
      <w:r>
        <w:rPr>
          <w:noProof/>
        </w:rPr>
      </w:r>
      <w:r>
        <w:rPr>
          <w:noProof/>
        </w:rPr>
        <w:fldChar w:fldCharType="separate"/>
      </w:r>
      <w:r>
        <w:rPr>
          <w:noProof/>
        </w:rPr>
        <w:t>5</w:t>
      </w:r>
      <w:r>
        <w:rPr>
          <w:noProof/>
        </w:rPr>
        <w:fldChar w:fldCharType="end"/>
      </w:r>
    </w:p>
    <w:p w14:paraId="64CF7469" w14:textId="34019F3A" w:rsidR="00E155CA" w:rsidRPr="008C0FC3" w:rsidRDefault="002544DF" w:rsidP="00A10B87">
      <w:r w:rsidRPr="008C0FC3">
        <w:rPr>
          <w:b/>
        </w:rPr>
        <w:fldChar w:fldCharType="end"/>
      </w:r>
    </w:p>
    <w:p w14:paraId="05B1BF62" w14:textId="34A5E997" w:rsidR="00D63CD1" w:rsidRPr="008C0FC3" w:rsidRDefault="00100069">
      <w:pPr>
        <w:pStyle w:val="PageHeading"/>
      </w:pPr>
      <w:r w:rsidRPr="008C0FC3">
        <w:br w:type="page"/>
      </w:r>
      <w:bookmarkStart w:id="0" w:name="_Toc26759888"/>
      <w:bookmarkStart w:id="1" w:name="_Toc86200285"/>
      <w:bookmarkStart w:id="2" w:name="_Toc139978461"/>
      <w:r w:rsidRPr="008C0FC3">
        <w:lastRenderedPageBreak/>
        <w:t>EXPUNERE DE MOTIVE – REZUMATUL FAPTELOR ȘI CONSTATĂRILOR</w:t>
      </w:r>
      <w:bookmarkEnd w:id="2"/>
    </w:p>
    <w:p w14:paraId="0F07C0E9" w14:textId="77777777" w:rsidR="002C5A3A" w:rsidRPr="008C0FC3" w:rsidRDefault="002C5A3A" w:rsidP="002C5A3A">
      <w:pPr>
        <w:pStyle w:val="Normal12a"/>
      </w:pPr>
      <w:r w:rsidRPr="008C0FC3">
        <w:t>În conformitate cu articolul 48 din Regulamentul (UE) nr. 1379/2013 al Parlamentului European și al Consiliului din 11 decembrie 2013 privind organizarea comună a piețelor în sectorul produselor pescărești și de acvacultură, Comisia prezintă Parlamentului European și Consiliului un raport privind rezultatele aplicării regulamentului până la 31 decembrie 2022.</w:t>
      </w:r>
    </w:p>
    <w:p w14:paraId="378067DD" w14:textId="77777777" w:rsidR="002C5A3A" w:rsidRPr="008C0FC3" w:rsidRDefault="002C5A3A" w:rsidP="002C5A3A">
      <w:pPr>
        <w:pStyle w:val="Normal12a"/>
      </w:pPr>
      <w:r w:rsidRPr="008C0FC3">
        <w:t xml:space="preserve">Comisia a adoptat acest raport la 21 februarie 2023, iar Comisia PECH a decis să elaboreze un raport privind punerea în aplicare a regulamentului menționat. </w:t>
      </w:r>
    </w:p>
    <w:p w14:paraId="541D4C1F" w14:textId="77777777" w:rsidR="002C5A3A" w:rsidRPr="008C0FC3" w:rsidRDefault="002C5A3A" w:rsidP="002C5A3A">
      <w:pPr>
        <w:pStyle w:val="Normal12a"/>
      </w:pPr>
      <w:r w:rsidRPr="008C0FC3">
        <w:t xml:space="preserve">Actualul Regulament OCP a fost adoptat în cadrul aceluiași pachet de revizuire a Regulamentului PCP în 2013. Revizuirea din 2013 a adus unele modificări fundamentale funcționării organizării comune a piețelor în sectorul produselor pescărești și de acvacultură. Revizuirea a consolidat în special rolul organizației de producători în gestionarea pieței, în timp ce mai multe dintre măsurile de intervenție pe piață au fost eliminate, cum ar fi măsurile de retragere permanentă a produselor pescărești din consumul uman sau de distrugere a acestora. Organizațiile de producători joacă, de asemenea, un rol important în ceea ce privește normele în materie de concurență, deoarece numai organizațiile de producători recunoscute în temeiul Regulamentului privind OCP ar fi în măsură să deroge de la normele în materie de concurență, precum și să acceseze fonduri UE specifice dedicate acțiunilor lor de gestionare a pieței. </w:t>
      </w:r>
    </w:p>
    <w:p w14:paraId="02FE1C01" w14:textId="77777777" w:rsidR="002C5A3A" w:rsidRPr="008C0FC3" w:rsidRDefault="002C5A3A" w:rsidP="002C5A3A">
      <w:pPr>
        <w:pStyle w:val="Normal12a"/>
      </w:pPr>
      <w:r w:rsidRPr="008C0FC3">
        <w:t>Regulamentul OCP este o parte integrantă și importantă a rețelei de norme care constituie normele politicii comune în domeniul pescuitului și, în special, pentru a asigura o piață bine gestionată și funcțională pentru produsele pescărești și de acvacultură. Acesta contribuie în mod substanțial la asigurarea competitivității, a stabilității pieței și a transparenței, precum și la asigurarea unei aprovizionări diverse a consumatorilor cu alimente de origine acvatică.</w:t>
      </w:r>
    </w:p>
    <w:p w14:paraId="69850490" w14:textId="77777777" w:rsidR="002C5A3A" w:rsidRPr="008C0FC3" w:rsidRDefault="002C5A3A" w:rsidP="002C5A3A">
      <w:pPr>
        <w:pStyle w:val="Normal12a"/>
        <w:rPr>
          <w:b/>
          <w:i/>
        </w:rPr>
      </w:pPr>
      <w:r w:rsidRPr="008C0FC3">
        <w:rPr>
          <w:b/>
          <w:i/>
        </w:rPr>
        <w:t>Poziția raportoarei</w:t>
      </w:r>
    </w:p>
    <w:p w14:paraId="2F0CFCFB" w14:textId="77777777" w:rsidR="002C5A3A" w:rsidRPr="008C0FC3" w:rsidRDefault="002C5A3A" w:rsidP="002C5A3A">
      <w:r w:rsidRPr="008C0FC3">
        <w:t>Raportoarea salută progresele înregistrate în punerea în aplicare a normelor privind OCP, dar consideră că sunt necesare mai multe eforturi pentru a asigura informarea consumatorilor, pentru a îmbunătăți etichetarea, transparența pieței și pentru a spori trasabilitatea produselor pescărești și de acvacultură.</w:t>
      </w:r>
    </w:p>
    <w:p w14:paraId="2051EC8C" w14:textId="77777777" w:rsidR="002C5A3A" w:rsidRPr="008C0FC3" w:rsidRDefault="002C5A3A" w:rsidP="002C5A3A"/>
    <w:p w14:paraId="01EC75A7" w14:textId="77777777" w:rsidR="002C5A3A" w:rsidRPr="008C0FC3" w:rsidRDefault="002C5A3A" w:rsidP="002C5A3A">
      <w:r w:rsidRPr="008C0FC3">
        <w:t xml:space="preserve">Raportoarea a luat act de mai multe rapoarte care indică, la fel ca raportul Comisiei privind punerea în aplicare a normelor OCP, că nu există o aplicare armonizată a normelor. Prin urmare, raportoarea consideră că Comisia și statele membre trebuie să depună mai multe eforturi pentru a asigura o punere în aplicare mai bună și mai armonizată a Regulamentului OCP. O punere în aplicare mai armonizată este importantă pentru a asigura încrederea consumatorilor în produsele alimentare de origine acvatică introduse pe piața unică și pentru a asigura condiții de concurență echitabile pentru pescarii și fermierii din domeniul acvaculturii din UE. </w:t>
      </w:r>
    </w:p>
    <w:p w14:paraId="676A4362" w14:textId="77777777" w:rsidR="002C5A3A" w:rsidRPr="008C0FC3" w:rsidRDefault="002C5A3A" w:rsidP="002C5A3A"/>
    <w:p w14:paraId="72A7FDE3" w14:textId="77777777" w:rsidR="002C5A3A" w:rsidRPr="008C0FC3" w:rsidRDefault="002C5A3A" w:rsidP="002C5A3A">
      <w:r w:rsidRPr="008C0FC3">
        <w:t xml:space="preserve">Raportoarea salută intenția de a prezenta o propunere de legislație-cadru privind sistemele alimentare durabile, cu scopul de a oferi mai multă transparență și informații consumatorilor. O astfel de legislație-cadru trebuie să se asigure că nu creează sarcini administrative suplimentare și că se aliniază la condițiile de sustenabilitate stabilite în alte acte legislative ale UE. </w:t>
      </w:r>
    </w:p>
    <w:p w14:paraId="31C3E4E7" w14:textId="77777777" w:rsidR="002C5A3A" w:rsidRPr="008C0FC3" w:rsidRDefault="002C5A3A" w:rsidP="002C5A3A"/>
    <w:p w14:paraId="43313A13" w14:textId="77777777" w:rsidR="002C5A3A" w:rsidRPr="008C0FC3" w:rsidRDefault="002C5A3A" w:rsidP="002C5A3A">
      <w:r w:rsidRPr="008C0FC3">
        <w:lastRenderedPageBreak/>
        <w:t>Raportoarea salută rezultatul negocierilor legate de revizuirea Regulamentului privind controlul pescuitului, în special normele care vizează consolidarea dispozițiilor privind trasabilitatea pentru toate produsele pescărești și de acvacultură. Aceasta va fi un element important în asigurarea trasabilității informațiilor pentru consumatorii europeni; în acest sens, Comisia trebuie să propună măsuri suplimentare pentru a se asigura că aceste informații ajung la consumatorul final într-un mod ușor și accesibil.</w:t>
      </w:r>
    </w:p>
    <w:p w14:paraId="528DC1AB" w14:textId="77777777" w:rsidR="002C5A3A" w:rsidRPr="008C0FC3" w:rsidRDefault="002C5A3A" w:rsidP="002C5A3A"/>
    <w:p w14:paraId="234BA400" w14:textId="77777777" w:rsidR="002C5A3A" w:rsidRPr="008C0FC3" w:rsidRDefault="002C5A3A" w:rsidP="002C5A3A">
      <w:r w:rsidRPr="008C0FC3">
        <w:t>EUMOFA este Observatorul pieței europene pentru pescuit și acvacultură și este un instrument de informare a pieței privind sectorul pescuitului și acvaculturii din Uniunea Europeană, dezvoltat de Comisia Europeană. Scopul său este de a spori transparența și eficiența pieței, de a analiza dinamica piețelor UE și de a sprijini deciziile comerciale și procesul de elaborare a politicilor. EUMOFA permite monitorizarea directă a volumelor, valorilor și prețurilor produselor pescărești și de acvacultură, de la prima vânzare până la vânzarea cu amănuntul, inclusiv importurile și exporturile. Datele sunt colectate de la țările UE, Islanda, Norvegia, Regatul Unit și de la instituțiile UE și sunt actualizate zilnic.</w:t>
      </w:r>
    </w:p>
    <w:p w14:paraId="27DF568A" w14:textId="77777777" w:rsidR="002C5A3A" w:rsidRPr="008C0FC3" w:rsidRDefault="002C5A3A" w:rsidP="002C5A3A"/>
    <w:p w14:paraId="3E07AB00" w14:textId="77777777" w:rsidR="002C5A3A" w:rsidRPr="008C0FC3" w:rsidRDefault="002C5A3A" w:rsidP="002C5A3A">
      <w:r w:rsidRPr="008C0FC3">
        <w:t>Raportoarea consideră că acest instrument ar trebui să fie utilizat în continuare de statele membre pentru a îmbunătăți și mai mult datele colectate în cadrul instrumentului, deoarece acest instrument ar putea fi utilizat în continuare pentru a analiza piața și, în special, atunci când au loc schimbări drastice, cum ar fi criza provocată de COVID, pentru a activa instrumentele și opțiunile de criză pentru stabilizarea pieței.</w:t>
      </w:r>
    </w:p>
    <w:p w14:paraId="4737E1B0" w14:textId="77777777" w:rsidR="002C5A3A" w:rsidRPr="008C0FC3" w:rsidRDefault="002C5A3A" w:rsidP="002C5A3A"/>
    <w:p w14:paraId="45D9E9BD" w14:textId="77777777" w:rsidR="002C5A3A" w:rsidRPr="008C0FC3" w:rsidRDefault="002C5A3A" w:rsidP="002C5A3A">
      <w:r w:rsidRPr="008C0FC3">
        <w:t>UE are o poziție fermă împotriva pescuitului INN și sunt necesare acțiuni suplimentare pentru a continua progresul în această privință. În această activitate împotriva pescuitului INN, îmbunătățirea trasabilității și transparenței în lanțul de aprovizionare al sectorului alimentar acvatic este de o importanță majoră.</w:t>
      </w:r>
    </w:p>
    <w:p w14:paraId="53E8D877" w14:textId="77777777" w:rsidR="002C5A3A" w:rsidRPr="008C0FC3" w:rsidRDefault="002C5A3A" w:rsidP="002C5A3A"/>
    <w:p w14:paraId="26C54125" w14:textId="77777777" w:rsidR="002C5A3A" w:rsidRPr="008C0FC3" w:rsidRDefault="002C5A3A" w:rsidP="002C5A3A">
      <w:r w:rsidRPr="008C0FC3">
        <w:t>Organizațiile de producători au un rol mai important în actualul Regulament OCP și, prin urmare, este important ca organizațiile deja existente în statele membre care îndeplinesc roluri similare cu cele ale organizațiilor de producători să fie recunoscute. Normele OCP au rolul de a facilita gestionarea pieței, în special pentru pescari și fermierii din domeniul acvaculturii, și nu de a impune prin forță schimbările structurale ale organizațiilor care îi reprezintă și ale lanțului de aprovizionare doar pentru a se încadra într-o definiție comună la nivelul UE.</w:t>
      </w:r>
    </w:p>
    <w:p w14:paraId="78610234" w14:textId="77777777" w:rsidR="002C5A3A" w:rsidRPr="008C0FC3" w:rsidRDefault="002C5A3A" w:rsidP="002C5A3A"/>
    <w:p w14:paraId="3C9E75F5" w14:textId="7B2DC319" w:rsidR="00D63CD1" w:rsidRPr="008C0FC3" w:rsidRDefault="002C5A3A" w:rsidP="002C5A3A">
      <w:pPr>
        <w:pStyle w:val="Normal12a"/>
      </w:pPr>
      <w:r w:rsidRPr="008C0FC3">
        <w:t>Prin urmare, raportoarea consideră că Comisia ar trebui să asculte solicitările Parlamentului European ca criteriile de recunoaștere a organizațiilor de producători să fie adaptate, astfel încât să țină cont mai bine de caracteristicile diferitelor organizații din statele membre care efectuează, în mare măsură, sarcini care se încadrează în obiectivele unei organizații de producători. Exemple de astfel de organizații care ar trebui recunoscute ar fi cofradias și Prud’homie de pêche.</w:t>
      </w:r>
    </w:p>
    <w:p w14:paraId="26201597" w14:textId="77777777" w:rsidR="00534771" w:rsidRPr="008C0FC3" w:rsidRDefault="00534771" w:rsidP="00EE28D2"/>
    <w:p w14:paraId="37E916AD" w14:textId="77777777" w:rsidR="00534771" w:rsidRPr="008C0FC3" w:rsidRDefault="00534771" w:rsidP="00D63CD1">
      <w:pPr>
        <w:pStyle w:val="PageHeading"/>
        <w:sectPr w:rsidR="00534771" w:rsidRPr="008C0FC3" w:rsidSect="008C0FC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417B601" w14:textId="77777777" w:rsidR="00100069" w:rsidRPr="008C0FC3" w:rsidRDefault="00F67AFA" w:rsidP="00D63CD1">
      <w:pPr>
        <w:pStyle w:val="PageHeading"/>
      </w:pPr>
      <w:bookmarkStart w:id="3" w:name="_Toc139978462"/>
      <w:bookmarkEnd w:id="0"/>
      <w:bookmarkEnd w:id="1"/>
      <w:r w:rsidRPr="008C0FC3">
        <w:lastRenderedPageBreak/>
        <w:t>PROPUNERE DE REZOLUȚIE A PARLAMENTULUI EUROPEAN</w:t>
      </w:r>
      <w:bookmarkEnd w:id="3"/>
    </w:p>
    <w:p w14:paraId="1CADFEF6" w14:textId="52EFB3C7" w:rsidR="00100069" w:rsidRPr="008C0FC3" w:rsidRDefault="00F67AFA">
      <w:pPr>
        <w:pStyle w:val="NormalBold"/>
      </w:pPr>
      <w:r w:rsidRPr="008C0FC3">
        <w:t>referitoare la punerea în aplicare a Regulamentului privind organizarea comună a piețelor (OCP) în sectorul pescuitului și acvaculturii – Regulamentul (UE) 1379/2013</w:t>
      </w:r>
    </w:p>
    <w:p w14:paraId="5A1AD87D" w14:textId="77777777" w:rsidR="00100069" w:rsidRPr="008C0FC3" w:rsidRDefault="00F67AFA" w:rsidP="000C53D8">
      <w:pPr>
        <w:pStyle w:val="NormalBold"/>
      </w:pPr>
      <w:r w:rsidRPr="008C0FC3">
        <w:t>(2023/2049(INI))</w:t>
      </w:r>
    </w:p>
    <w:p w14:paraId="62B9CE0F" w14:textId="1DB4A47E" w:rsidR="00100069" w:rsidRPr="008C0FC3" w:rsidRDefault="00F67AFA" w:rsidP="00692C3B">
      <w:pPr>
        <w:pStyle w:val="EPComma"/>
      </w:pPr>
      <w:r w:rsidRPr="008C0FC3">
        <w:rPr>
          <w:i/>
          <w:iCs/>
        </w:rPr>
        <w:t>Parlamentul European</w:t>
      </w:r>
      <w:r w:rsidRPr="008C0FC3">
        <w:t>,</w:t>
      </w:r>
    </w:p>
    <w:p w14:paraId="0D231248" w14:textId="775E1141" w:rsidR="002C5A3A" w:rsidRPr="008C0FC3" w:rsidRDefault="002C5A3A" w:rsidP="002C5A3A">
      <w:pPr>
        <w:pStyle w:val="NormalHanging12a"/>
      </w:pPr>
      <w:r w:rsidRPr="008C0FC3">
        <w:t>–</w:t>
      </w:r>
      <w:r w:rsidRPr="008C0FC3">
        <w:tab/>
        <w:t>având în vedere Regulamentul (UE) nr. 1379/2013 al Parlamentului European și al Consiliului din 11 decembrie 2013 privind organizarea comună a piețelor în sectorul produselor pescărești și de acvacultură, de modificare a Regulamentului (CE) nr. 1184/2006 și nr. 1224/ al Consiliului, 2009 și de abrogare a Regulamentului (CE) nr. 104/2000 al Consiliului</w:t>
      </w:r>
      <w:r w:rsidR="00D81ACD" w:rsidRPr="008C0FC3">
        <w:rPr>
          <w:rStyle w:val="FootnoteReference"/>
        </w:rPr>
        <w:footnoteReference w:id="1"/>
      </w:r>
      <w:r w:rsidRPr="008C0FC3">
        <w:t xml:space="preserve"> (Regulamentul OCP) și punerea în aplicare a acestuia,</w:t>
      </w:r>
    </w:p>
    <w:p w14:paraId="15811F2A" w14:textId="596956F4" w:rsidR="002C5A3A" w:rsidRPr="008C0FC3" w:rsidRDefault="002C5A3A" w:rsidP="002C5A3A">
      <w:pPr>
        <w:pStyle w:val="NormalHanging12a"/>
      </w:pPr>
      <w:r w:rsidRPr="008C0FC3">
        <w:t>–</w:t>
      </w:r>
      <w:r w:rsidRPr="008C0FC3">
        <w:tab/>
        <w:t>având în vedere raportul Comisiei către Parlamentul European și Consiliu din 21 februarie 2023 intitulat „Punerea în aplicare a Regulamentului (UE) nr. 1379/2013 privind organizarea comună a piețelor în sectorul produselor pescărești și de acvacultură” (COM(2023)0101),</w:t>
      </w:r>
    </w:p>
    <w:p w14:paraId="15953AEB" w14:textId="3EFD6FFA" w:rsidR="002C5A3A" w:rsidRPr="008C0FC3" w:rsidRDefault="002C5A3A" w:rsidP="002C5A3A">
      <w:pPr>
        <w:pStyle w:val="NormalHanging12a"/>
      </w:pPr>
      <w:r w:rsidRPr="008C0FC3">
        <w:t>–</w:t>
      </w:r>
      <w:r w:rsidRPr="008C0FC3">
        <w:tab/>
        <w:t>având în vedere comunicarea Comisiei din 20 mai 2020 intitulată „O Strategie «De la fermă la consumator» pentru un sistem alimentar echitabil, sănătos și ecologic” (COM(2020)0381),</w:t>
      </w:r>
    </w:p>
    <w:p w14:paraId="190206BD" w14:textId="2D14CE9D" w:rsidR="002C5A3A" w:rsidRPr="008C0FC3" w:rsidRDefault="002C5A3A" w:rsidP="002C5A3A">
      <w:pPr>
        <w:pStyle w:val="NormalHanging12a"/>
      </w:pPr>
      <w:r w:rsidRPr="008C0FC3">
        <w:t>–</w:t>
      </w:r>
      <w:r w:rsidRPr="008C0FC3">
        <w:tab/>
        <w:t xml:space="preserve">având în vedere </w:t>
      </w:r>
      <w:bookmarkStart w:id="4" w:name="Sujet"/>
      <w:r w:rsidRPr="008C0FC3">
        <w:t>rezoluția sa din 20 octombrie 2021 referitoare la o strategie „De la fermă la consumator” pentru un sistem alimentar echitabil, sănătos și ecologic</w:t>
      </w:r>
      <w:r w:rsidR="00D81ACD" w:rsidRPr="008C0FC3">
        <w:rPr>
          <w:rStyle w:val="FootnoteReference"/>
        </w:rPr>
        <w:footnoteReference w:id="2"/>
      </w:r>
      <w:bookmarkEnd w:id="4"/>
      <w:r w:rsidRPr="008C0FC3">
        <w:t>,</w:t>
      </w:r>
    </w:p>
    <w:p w14:paraId="7DC9516E" w14:textId="4797BE64" w:rsidR="002C5A3A" w:rsidRPr="008C0FC3" w:rsidRDefault="002C5A3A" w:rsidP="002C5A3A">
      <w:pPr>
        <w:pStyle w:val="NormalHanging12a"/>
      </w:pPr>
      <w:r w:rsidRPr="008C0FC3">
        <w:t>–</w:t>
      </w:r>
      <w:r w:rsidRPr="008C0FC3">
        <w:tab/>
        <w:t>având în vedere rezultatul negocierilor cu privire la Regulamentul privind controlul pescuitului,</w:t>
      </w:r>
    </w:p>
    <w:p w14:paraId="2F45E1D2" w14:textId="721FB986" w:rsidR="00BC5BEB" w:rsidRPr="008C0FC3" w:rsidRDefault="00BC5BEB" w:rsidP="00BC5BEB">
      <w:pPr>
        <w:pStyle w:val="NormalHanging12a"/>
      </w:pPr>
      <w:r w:rsidRPr="008C0FC3">
        <w:t>–</w:t>
      </w:r>
      <w:r w:rsidRPr="008C0FC3">
        <w:tab/>
        <w:t>având în vedere articolul 54 din Regulamentul său de procedură, precum și articolul 1 alineatul (1) litera (e) și anexa 3 din Decizia Conferinței președinților din 12 decembrie 2002 privind procedura de autorizare a rapoartelor din proprie inițiativă,</w:t>
      </w:r>
    </w:p>
    <w:p w14:paraId="26F50EAE" w14:textId="77777777" w:rsidR="002C5A3A" w:rsidRPr="008C0FC3" w:rsidRDefault="002C5A3A" w:rsidP="002C5A3A">
      <w:pPr>
        <w:pStyle w:val="NormalHanging12a"/>
      </w:pPr>
      <w:r w:rsidRPr="008C0FC3">
        <w:t>–</w:t>
      </w:r>
      <w:r w:rsidRPr="008C0FC3">
        <w:tab/>
        <w:t>având în vedere raportul Comisiei pentru pescuit (A9-0000/2022),</w:t>
      </w:r>
    </w:p>
    <w:p w14:paraId="2240F770" w14:textId="7C12F7C0" w:rsidR="00100069" w:rsidRPr="008C0FC3" w:rsidRDefault="00100069">
      <w:pPr>
        <w:pStyle w:val="NormalHanging12a"/>
      </w:pPr>
      <w:r w:rsidRPr="008C0FC3">
        <w:t>A.</w:t>
      </w:r>
      <w:r w:rsidRPr="008C0FC3">
        <w:tab/>
        <w:t>întrucât Parlamentul a subliniat, în rezoluția sa referitoare la o strategie „De la fermă la consumator”, că mecanismele bune de trasabilitate, care răspund cererii consumatorilor, furnizând informații cu privire la locul, momentul și modul în care a fost capturat sau crescut peștele, inclusiv pentru produsele importate din afara UE, sunt esențiale pentru asigurarea siguranței alimentare, garantarea transparenței pentru consumatori, combaterea pescuitului ilegal, nedeclarat și nereglementat (INN) și atingerea țintelor Pactului verde și a obiectivelor de dezvoltare durabilă;</w:t>
      </w:r>
    </w:p>
    <w:p w14:paraId="31614F71" w14:textId="1A48AE7C" w:rsidR="00BC5BEB" w:rsidRPr="008C0FC3" w:rsidRDefault="00BC5BEB">
      <w:pPr>
        <w:pStyle w:val="NormalHanging12a"/>
      </w:pPr>
      <w:r w:rsidRPr="008C0FC3">
        <w:t>B.</w:t>
      </w:r>
      <w:r w:rsidRPr="008C0FC3">
        <w:tab/>
        <w:t xml:space="preserve">întrucât acordul provizoriu dintre Parlament și Consiliu cu privire la Regulamentul revizuit privind controlul pescuitului conține îmbunătățiri majore ale normelor de trasabilitate pentru toate produsele pescărești și de acvacultură; întrucât aceste norme vor fi puse în aplicare pe parcursul unei perioade de tranziție mai lungi decât este de </w:t>
      </w:r>
      <w:r w:rsidRPr="008C0FC3">
        <w:lastRenderedPageBreak/>
        <w:t>dorit – doi ani pentru produsele proaspete și congelate și cinci ani pentru produsele prelucrate – și vor asigura informarea corectă a consumatorilor; întrucât îmbunătățirea etichetării va fi un instrument de combatere a pescuitului INN și va contribui la asigurarea unei concurențe loiale,</w:t>
      </w:r>
    </w:p>
    <w:p w14:paraId="7D316E06" w14:textId="77777777" w:rsidR="00BC5BEB" w:rsidRPr="008C0FC3" w:rsidRDefault="00BC5BEB" w:rsidP="0095675E">
      <w:pPr>
        <w:pStyle w:val="NormalHanging12a"/>
      </w:pPr>
      <w:r w:rsidRPr="008C0FC3">
        <w:rPr>
          <w:b/>
          <w:i/>
        </w:rPr>
        <w:t>Introducere</w:t>
      </w:r>
    </w:p>
    <w:p w14:paraId="6C56E36C" w14:textId="740AFD2F" w:rsidR="00BC5BEB" w:rsidRPr="008C0FC3" w:rsidRDefault="00BC5BEB" w:rsidP="00BC5BEB">
      <w:pPr>
        <w:pStyle w:val="NormalHanging12a"/>
      </w:pPr>
      <w:r w:rsidRPr="008C0FC3">
        <w:t>1.</w:t>
      </w:r>
      <w:r w:rsidRPr="008C0FC3">
        <w:tab/>
        <w:t>reamintește că organizarea comună a piețelor (OCP) face parte integrantă din politica comună în domeniul pescuitului (PCP), alături de măsurile de conservare și financiare, și este vitală pentru atingerea obiectivelor acesteia;</w:t>
      </w:r>
    </w:p>
    <w:p w14:paraId="5C5FA131" w14:textId="0785B823" w:rsidR="00BC5BEB" w:rsidRPr="008C0FC3" w:rsidRDefault="00BC5BEB" w:rsidP="00BC5BEB">
      <w:pPr>
        <w:pStyle w:val="NormalHanging12a"/>
      </w:pPr>
      <w:r w:rsidRPr="008C0FC3">
        <w:t>2.</w:t>
      </w:r>
      <w:r w:rsidRPr="008C0FC3">
        <w:tab/>
        <w:t>subliniază că revizuirea din 2013 a Regulamentului OCP a condus la o trecere de la anumite tipuri de intervenții la o abordare mai orientată către piața pe termen lung, cu accent pe dezvoltare și inovare în acest sector;</w:t>
      </w:r>
    </w:p>
    <w:p w14:paraId="5BB7B17C" w14:textId="77777777" w:rsidR="002643FA" w:rsidRPr="008C0FC3" w:rsidRDefault="00BC5BEB" w:rsidP="0095675E">
      <w:pPr>
        <w:pStyle w:val="Subheading"/>
        <w:spacing w:before="0"/>
      </w:pPr>
      <w:r w:rsidRPr="008C0FC3">
        <w:t>Organizații profesionale</w:t>
      </w:r>
    </w:p>
    <w:p w14:paraId="3120D656" w14:textId="7BF96104" w:rsidR="00BC5BEB" w:rsidRPr="008C0FC3" w:rsidRDefault="00BC5BEB" w:rsidP="00BC5BEB">
      <w:pPr>
        <w:pStyle w:val="NormalHanging12a"/>
      </w:pPr>
      <w:r w:rsidRPr="008C0FC3">
        <w:t>3.</w:t>
      </w:r>
      <w:r w:rsidRPr="008C0FC3">
        <w:tab/>
        <w:t>consideră că organizațiile de producători (OP) reprezintă coloana vertebrală a sectorului pescuitului și acvaculturii, sprijinind gestionarea curentă a PCP și permițând punerea în aplicare colectivă a acesteia la nivelul producătorilor;</w:t>
      </w:r>
    </w:p>
    <w:p w14:paraId="53CB777C" w14:textId="30BAA0DA" w:rsidR="00BC5BEB" w:rsidRPr="008C0FC3" w:rsidRDefault="00BC5BEB" w:rsidP="00BC5BEB">
      <w:pPr>
        <w:pStyle w:val="NormalHanging12a"/>
      </w:pPr>
      <w:r w:rsidRPr="008C0FC3">
        <w:t>4.</w:t>
      </w:r>
      <w:r w:rsidRPr="008C0FC3">
        <w:tab/>
        <w:t>consideră că organizațiile de producători au un rol esențial în a contribui la realizarea obiectivelor PCP, motiv pentru care acestea trebuie sprijinite în continuare; constată că trebuie depuse mai multe eforturi pentru a promova înființarea, consolidarea și finanțarea organizațiilor de producători în întreaga UE, în special în statele membre în care producția primară a rămas în mare măsură fragmentată (acvacultură, pescuit la scară mică); consideră că o prezență puternică a organizațiilor de producători este esențială pentru creșterea prosperității comunităților costiere și pentru consolidarea poziției pescarilor în lanțul de aprovizionare;</w:t>
      </w:r>
    </w:p>
    <w:p w14:paraId="3FB3AC82" w14:textId="168FAB3C" w:rsidR="00BC5BEB" w:rsidRPr="008C0FC3" w:rsidRDefault="00BC5BEB" w:rsidP="00BC5BEB">
      <w:pPr>
        <w:pStyle w:val="NormalHanging12a"/>
      </w:pPr>
      <w:r w:rsidRPr="008C0FC3">
        <w:t>5.</w:t>
      </w:r>
      <w:r w:rsidRPr="008C0FC3">
        <w:tab/>
        <w:t>concluzionează că organizațiile de producători care funcționează în mod corespunzător au, în general, măsuri și acțiuni de succes, dar observă că există încă o lipsă de organizații de producători care să organizeze micii pescari și, în special, fermierii din domeniul acvaculturii; ia act de faptul că organizațiile de producători din domeniul acvaculturii aflate în prezent în funcțiune au avut un succes deosebit în activitățile lor de promovare și comunicare;</w:t>
      </w:r>
    </w:p>
    <w:p w14:paraId="6AEDD69C" w14:textId="04DAD79E" w:rsidR="00BC5BEB" w:rsidRPr="008C0FC3" w:rsidRDefault="00BC5BEB" w:rsidP="00BC5BEB">
      <w:pPr>
        <w:pStyle w:val="NormalHanging12a"/>
      </w:pPr>
      <w:r w:rsidRPr="008C0FC3">
        <w:t>6.</w:t>
      </w:r>
      <w:r w:rsidRPr="008C0FC3">
        <w:tab/>
        <w:t>consideră că, în prezent, în statele membre există organizații care îndeplinesc sarcini și funcții care intră în sfera de competență a organizațiilor de producători, dar că aceste organizații nu se pot califica drept organizații de producători în temeiul Regulamentului OCP;</w:t>
      </w:r>
    </w:p>
    <w:p w14:paraId="414F0147" w14:textId="368BB234" w:rsidR="00BC5BEB" w:rsidRPr="008C0FC3" w:rsidRDefault="00BC5BEB" w:rsidP="00BC5BEB">
      <w:pPr>
        <w:pStyle w:val="NormalHanging12a"/>
      </w:pPr>
      <w:r w:rsidRPr="008C0FC3">
        <w:t>7.</w:t>
      </w:r>
      <w:r w:rsidRPr="008C0FC3">
        <w:tab/>
        <w:t>ia act de faptul că criza provocată de pandemia de COVID-19 a dus la închiderea bruscă a majorității punctelor de vânzare pentru produsele alimentare proaspete de origine acvatică, făcând oportună restabilirea opțiunii de a utiliza mecanisme de ajutor pentru depozitare și extinderea acestora la organizațiile de producători din domeniul acvaculturii;</w:t>
      </w:r>
    </w:p>
    <w:p w14:paraId="0EF0DC22" w14:textId="77777777" w:rsidR="00BC5BEB" w:rsidRPr="008C0FC3" w:rsidRDefault="00BC5BEB" w:rsidP="0095675E">
      <w:pPr>
        <w:pStyle w:val="NormalHanging12a"/>
        <w:rPr>
          <w:b/>
          <w:i/>
        </w:rPr>
      </w:pPr>
      <w:r w:rsidRPr="008C0FC3">
        <w:rPr>
          <w:b/>
          <w:i/>
        </w:rPr>
        <w:t>Standarde comune de comercializare</w:t>
      </w:r>
    </w:p>
    <w:p w14:paraId="4939C7F0" w14:textId="466C89DB" w:rsidR="00BC5BEB" w:rsidRPr="008C0FC3" w:rsidRDefault="00BC5BEB" w:rsidP="00BC5BEB">
      <w:pPr>
        <w:pStyle w:val="NormalHanging12a"/>
      </w:pPr>
      <w:r w:rsidRPr="008C0FC3">
        <w:t>8.</w:t>
      </w:r>
      <w:r w:rsidRPr="008C0FC3">
        <w:tab/>
        <w:t xml:space="preserve">reamintește că multe dintre standardele de comercializare incluse în Regulamentul OCP </w:t>
      </w:r>
      <w:r w:rsidRPr="008C0FC3">
        <w:lastRenderedPageBreak/>
        <w:t xml:space="preserve">din 2013 datează din anii 1980 și 1990; constată că, potrivit evaluării Comisiei, aceste standarde au fost, în general, relevante și eficiente și adus valoare adăugată; </w:t>
      </w:r>
    </w:p>
    <w:p w14:paraId="48B815E2" w14:textId="36936CFD" w:rsidR="00BC5BEB" w:rsidRPr="008C0FC3" w:rsidRDefault="00BC5BEB" w:rsidP="00BC5BEB">
      <w:pPr>
        <w:pStyle w:val="NormalHanging12a"/>
      </w:pPr>
      <w:r w:rsidRPr="008C0FC3">
        <w:t>9.</w:t>
      </w:r>
      <w:r w:rsidRPr="008C0FC3">
        <w:tab/>
        <w:t>subliniază că evaluarea Comisiei și consultările subiacente au identificat oportunități de simplificare, raționalizare și modernizare a standardelor; ia act de faptul că a constatat, de asemenea, un nivel relativ scăzut de monitorizare de către autoritățile naționale în ceea ce privește asigurarea conformității cu standardele;</w:t>
      </w:r>
    </w:p>
    <w:p w14:paraId="592C54D1" w14:textId="3DB55DFD" w:rsidR="00BC5BEB" w:rsidRPr="008C0FC3" w:rsidRDefault="00BC5BEB" w:rsidP="00BC5BEB">
      <w:pPr>
        <w:pStyle w:val="NormalHanging12a"/>
      </w:pPr>
      <w:r w:rsidRPr="008C0FC3">
        <w:t>10.</w:t>
      </w:r>
      <w:r w:rsidRPr="008C0FC3">
        <w:tab/>
        <w:t>subliniază că evaluarea Comisiei a identificat deficiențe ale cadrului existent în ceea ce privește capacitatea sa de a atinge obiectivele Regulamentului OCP;</w:t>
      </w:r>
    </w:p>
    <w:p w14:paraId="14BECE57" w14:textId="77777777" w:rsidR="00BC5BEB" w:rsidRPr="008C0FC3" w:rsidRDefault="00BC5BEB" w:rsidP="0095675E">
      <w:pPr>
        <w:pStyle w:val="Normal12a24b"/>
        <w:spacing w:before="0"/>
        <w:rPr>
          <w:b/>
          <w:i/>
        </w:rPr>
      </w:pPr>
      <w:r w:rsidRPr="008C0FC3">
        <w:rPr>
          <w:b/>
          <w:i/>
        </w:rPr>
        <w:t>Informarea consumatorilor</w:t>
      </w:r>
      <w:bookmarkStart w:id="5" w:name="_GoBack"/>
      <w:bookmarkEnd w:id="5"/>
    </w:p>
    <w:p w14:paraId="76FE8F1B" w14:textId="563670D0" w:rsidR="00BC5BEB" w:rsidRPr="008C0FC3" w:rsidRDefault="00BC5BEB" w:rsidP="00550812">
      <w:pPr>
        <w:pStyle w:val="NormalHanging12a"/>
      </w:pPr>
      <w:r w:rsidRPr="008C0FC3">
        <w:t>11.</w:t>
      </w:r>
      <w:r w:rsidRPr="008C0FC3">
        <w:tab/>
        <w:t>este de acord că, pentru ca OCP să își atingă pe deplin obiectivele, consumatorii trebuie să fie informați, prin campanii de marketing și educaționale, despre valoarea consumului de produse pescărești și de acvacultură, despre varietatea mare de specii disponibile și despre importanța înțelegerii informațiilor de pe etichete; consideră că, pentru ca consumatorii să poată face alegeri în cunoștință de cauză, aceștia ar trebui să primească informații clare și complete cu privire la produsele vândute pe piața UE și că aceste informații ar trebui să respecte aceleași norme, indiferent de originea produselor;</w:t>
      </w:r>
    </w:p>
    <w:p w14:paraId="1EC50528" w14:textId="05EE8D84" w:rsidR="00BC5BEB" w:rsidRPr="008C0FC3" w:rsidRDefault="00BC5BEB" w:rsidP="00550812">
      <w:pPr>
        <w:pStyle w:val="NormalHanging12a"/>
      </w:pPr>
      <w:r w:rsidRPr="008C0FC3">
        <w:t>12.</w:t>
      </w:r>
      <w:r w:rsidRPr="008C0FC3">
        <w:tab/>
        <w:t>susține că trasabilitatea și măsurile de transparență aferente sunt necesare pentru a asigura respectarea normelor PCP aplicabile; consideră că, dacă aceste măsuri sunt susținute de un sistem adecvat de etichetare, ele pot garanta că informațiile furnizate consumatorilor sunt de încredere și fiabile; subliniază faptul că un astfel de sistem de etichetare este vital pentru combaterea atât a fraudelor din sectorul alimentar, inclusiv a etichetării greșite, cât și a pescuitului INN;</w:t>
      </w:r>
    </w:p>
    <w:p w14:paraId="07639D3C" w14:textId="5F4B81D0" w:rsidR="00BC5BEB" w:rsidRPr="008C0FC3" w:rsidRDefault="00BC5BEB" w:rsidP="00BC5BEB">
      <w:pPr>
        <w:pStyle w:val="NormalHanging12a"/>
      </w:pPr>
      <w:r w:rsidRPr="008C0FC3">
        <w:t>13.</w:t>
      </w:r>
      <w:r w:rsidRPr="008C0FC3">
        <w:tab/>
        <w:t>constată că, în cadrul consultărilor sale, Comisia a primit rapoarte care indică faptul că cerințele privind informarea obligatorie a consumatorilor nu au fost îndeplinite în unele state membre; ia act de faptul că punerea în aplicare în întreaga UE este considerată a fi inegală și acest lucru este deosebit de semnificativ în unele segmente, cum ar fi pescarii și unitățile de restaurație colectivă; reamintește că etichetarea trebuie să ofere o descriere exactă a produselor pescărești și nepescărești, în special atunci când se menționează produsele de substituție, deoarece, în multe cazuri, se folosesc imagini care îi determină pe consumatori să creadă că anumite produse sunt produse pescărești atunci când nu sunt;</w:t>
      </w:r>
    </w:p>
    <w:p w14:paraId="1393C823" w14:textId="77777777" w:rsidR="00BC5BEB" w:rsidRPr="008C0FC3" w:rsidRDefault="00BC5BEB" w:rsidP="0095675E">
      <w:pPr>
        <w:spacing w:after="240"/>
        <w:rPr>
          <w:b/>
          <w:i/>
        </w:rPr>
      </w:pPr>
      <w:r w:rsidRPr="008C0FC3">
        <w:rPr>
          <w:b/>
          <w:i/>
        </w:rPr>
        <w:t>Norme de concurență</w:t>
      </w:r>
    </w:p>
    <w:p w14:paraId="2771A92E" w14:textId="1E3FFEDD" w:rsidR="00BC5BEB" w:rsidRPr="008C0FC3" w:rsidRDefault="00BC5BEB" w:rsidP="00550812">
      <w:pPr>
        <w:pStyle w:val="NormalHanging12a"/>
      </w:pPr>
      <w:r w:rsidRPr="008C0FC3">
        <w:t>14.</w:t>
      </w:r>
      <w:r w:rsidRPr="008C0FC3">
        <w:tab/>
        <w:t>reamintește că organizațiile de producători pot fi exceptate de la aplicarea normelor în materie de concurență pentru a-și atinge obiectivele, sub rezerva anumitor condiții, inclusiv faptul că activitățile lor nu conduc la împărțirea piețelor, nu exclud concurența și nu elimină concurența;</w:t>
      </w:r>
    </w:p>
    <w:p w14:paraId="4E74019B" w14:textId="4BCFF87B" w:rsidR="00BC5BEB" w:rsidRPr="008C0FC3" w:rsidRDefault="00BC5BEB" w:rsidP="00BC5BEB">
      <w:pPr>
        <w:pStyle w:val="NormalHanging12a"/>
      </w:pPr>
      <w:r w:rsidRPr="008C0FC3">
        <w:t>15.</w:t>
      </w:r>
      <w:r w:rsidRPr="008C0FC3">
        <w:tab/>
        <w:t xml:space="preserve">constată că această scutire este esențială pentru a permite anumitor practici utilizate de organizațiile de producători, cum ar fi controlul cantităților introduse pe piață de membrii OP pentru a stabiliza piețele și prețurile, a respecta cerințele de conservare și a evita risipa de alimente; concluzionează că este posibil ca organismele colective de producători nerecunoscute (de exemplu, cooperative, </w:t>
      </w:r>
      <w:r w:rsidRPr="008C0FC3">
        <w:rPr>
          <w:i/>
        </w:rPr>
        <w:t>cofradías</w:t>
      </w:r>
      <w:r w:rsidRPr="008C0FC3">
        <w:t>) să nu beneficieze de scutirea prevăzută de criteriile actuale pentru organizațiile de producători;</w:t>
      </w:r>
    </w:p>
    <w:p w14:paraId="536E847A" w14:textId="77777777" w:rsidR="00BC5BEB" w:rsidRPr="008C0FC3" w:rsidRDefault="00BC5BEB" w:rsidP="0095675E">
      <w:pPr>
        <w:spacing w:after="240"/>
      </w:pPr>
      <w:r w:rsidRPr="008C0FC3">
        <w:rPr>
          <w:b/>
          <w:i/>
        </w:rPr>
        <w:lastRenderedPageBreak/>
        <w:t>Cunoașterea pieței</w:t>
      </w:r>
    </w:p>
    <w:p w14:paraId="51DD2F1C" w14:textId="669CBDFE" w:rsidR="00BC5BEB" w:rsidRPr="008C0FC3" w:rsidRDefault="00BC5BEB" w:rsidP="00BC5BEB">
      <w:pPr>
        <w:pStyle w:val="NormalHanging12a"/>
      </w:pPr>
      <w:r w:rsidRPr="008C0FC3">
        <w:t>16.</w:t>
      </w:r>
      <w:r w:rsidRPr="008C0FC3">
        <w:tab/>
        <w:t>reamintește că Observatorul pieței europene de produse pescărești și de acvacultură (EUMOFA) oferă informații despre piață operatorilor din sectorul pescuitului pentru a-i ajuta să înțeleagă mai bine tendințele pieței; observă că un site web și o bază de date dedicate sunt online din aprilie 2013 și sunt pe deplin operaționale de la intrarea în vigoare a OCP revizuit, în beneficiul organismelor de cercetare, al părților interesate și al publicului larg prin îmbunătățirea accesului la informațiile și datele de piață;</w:t>
      </w:r>
    </w:p>
    <w:p w14:paraId="2D652981" w14:textId="2631B894" w:rsidR="00BC5BEB" w:rsidRPr="008C0FC3" w:rsidRDefault="00BC5BEB" w:rsidP="00BC5BEB">
      <w:pPr>
        <w:pStyle w:val="NormalHanging12a"/>
      </w:pPr>
      <w:r w:rsidRPr="008C0FC3">
        <w:t>17.</w:t>
      </w:r>
      <w:r w:rsidRPr="008C0FC3">
        <w:tab/>
        <w:t>ia act de faptul că EUMOFA a fost utilizat pentru a declanșa măsuri de criză pentru a aborda impactul pandemiei de COVID;</w:t>
      </w:r>
    </w:p>
    <w:p w14:paraId="1CF5F5A9" w14:textId="77777777" w:rsidR="00BC5BEB" w:rsidRPr="008C0FC3" w:rsidRDefault="00BC5BEB" w:rsidP="0095675E">
      <w:pPr>
        <w:pStyle w:val="Normal12a24b"/>
        <w:spacing w:before="0"/>
        <w:rPr>
          <w:i/>
        </w:rPr>
      </w:pPr>
      <w:r w:rsidRPr="008C0FC3">
        <w:rPr>
          <w:rStyle w:val="Bold"/>
          <w:i/>
        </w:rPr>
        <w:t>Concluzii</w:t>
      </w:r>
    </w:p>
    <w:p w14:paraId="22DE05ED" w14:textId="5D42B8DF" w:rsidR="00BC5BEB" w:rsidRPr="008C0FC3" w:rsidRDefault="00BC5BEB" w:rsidP="00BC5BEB">
      <w:pPr>
        <w:pStyle w:val="NormalHanging12a"/>
      </w:pPr>
      <w:r w:rsidRPr="008C0FC3">
        <w:t>18.</w:t>
      </w:r>
      <w:r w:rsidRPr="008C0FC3">
        <w:tab/>
        <w:t>salută progresele înregistrate în punerea în aplicare a normelor OCP; subliniază necesitatea unor eforturi suplimentare pentru a se asigura că consumatorii sunt informați în mod corespunzător, pentru a îmbunătăți etichetarea, pentru a mări transparența pieței și pentru a spori trasabilitatea produselor pescărești și de acvacultură;</w:t>
      </w:r>
    </w:p>
    <w:p w14:paraId="3A960B0C" w14:textId="5248402D" w:rsidR="00BC5BEB" w:rsidRPr="008C0FC3" w:rsidRDefault="00BC5BEB" w:rsidP="00BC5BEB">
      <w:pPr>
        <w:pStyle w:val="NormalHanging12a"/>
      </w:pPr>
      <w:r w:rsidRPr="008C0FC3">
        <w:t>19.</w:t>
      </w:r>
      <w:r w:rsidRPr="008C0FC3">
        <w:tab/>
        <w:t>consideră că Comisia și statele membre trebuie să depună mai multe eforturi pentru a realiza o punere în aplicare mai uniformă a Regulamentului OCP; este de părere că o punere în aplicare mai uniformă ar putea contribui la asigurarea încrederii consumatorilor în produsele alimentare de origine acvatică introduse pe piața unică;</w:t>
      </w:r>
    </w:p>
    <w:p w14:paraId="29329CCF" w14:textId="77F7B78A" w:rsidR="00BC5BEB" w:rsidRPr="008C0FC3" w:rsidRDefault="00BC5BEB" w:rsidP="00BC5BEB">
      <w:pPr>
        <w:pStyle w:val="NormalHanging12a"/>
      </w:pPr>
      <w:r w:rsidRPr="008C0FC3">
        <w:t>20.</w:t>
      </w:r>
      <w:r w:rsidRPr="008C0FC3">
        <w:tab/>
        <w:t>salută intenția Comisiei de a prezenta o propunere de cadru legislativ pentru sisteme alimentare durabile, cu scopul de a spori transparența și de a oferi mai multe informații consumatorilor; subliniază că trebuie să se asigure că acest lucru nu creează o sarcină administrativă suplimentară și se aliniază la condiția de durabilitate stabilită în legislația UE;</w:t>
      </w:r>
    </w:p>
    <w:p w14:paraId="15B675B0" w14:textId="00288828" w:rsidR="00BC5BEB" w:rsidRPr="008C0FC3" w:rsidRDefault="00BC5BEB" w:rsidP="00BC5BEB">
      <w:pPr>
        <w:pStyle w:val="NormalHanging12a"/>
      </w:pPr>
      <w:r w:rsidRPr="008C0FC3">
        <w:t>21.</w:t>
      </w:r>
      <w:r w:rsidRPr="008C0FC3">
        <w:tab/>
        <w:t>salută rezultatul negocierilor privind revizuirea Regulamentului privind controlul pescuitului, în special normele care vizează consolidarea dispozițiilor de trasabilitate pentru toate produsele pescărești și de acvacultură; consideră că aceste informații privind trasabilitatea vor fi foarte importante pentru consumatorii europeni; invită Comisia să propună măsuri suplimentare pentru a se asigura că aceste informații ajung la consumatorii finali într-un format simplu și accesibil;</w:t>
      </w:r>
    </w:p>
    <w:p w14:paraId="13CD952A" w14:textId="4E09336A" w:rsidR="00BC5BEB" w:rsidRPr="008C0FC3" w:rsidRDefault="00BC5BEB" w:rsidP="00BC5BEB">
      <w:pPr>
        <w:pStyle w:val="NormalHanging12a"/>
      </w:pPr>
      <w:r w:rsidRPr="008C0FC3">
        <w:t>22.</w:t>
      </w:r>
      <w:r w:rsidRPr="008C0FC3">
        <w:tab/>
        <w:t>consideră că statele membre ar trebui să utilizeze mai mult EUMOFA pentru a îmbunătăți și mai mult datele colectate în cadrul instrumentului; este de părere că EUMOFA ar putea fi utilizat mai mult pentru a analiza piața, în special atunci când există schimbări drastice, cum ar fi cele care au avut loc în timpul crizei provocate de pandemia de COVID, cu scopul de a activa instrumentele și opțiunile de criză pentru stabilizarea pieței;</w:t>
      </w:r>
    </w:p>
    <w:p w14:paraId="50E036E3" w14:textId="10BB5CDD" w:rsidR="00BC5BEB" w:rsidRPr="008C0FC3" w:rsidRDefault="00BC5BEB" w:rsidP="00BC5BEB">
      <w:pPr>
        <w:pStyle w:val="NormalHanging12a"/>
      </w:pPr>
      <w:r w:rsidRPr="008C0FC3">
        <w:t>23.</w:t>
      </w:r>
      <w:r w:rsidRPr="008C0FC3">
        <w:tab/>
        <w:t>este convins că îmbunătățirea trasabilității și a transparenței în lanțul de aprovizionare al sectorului alimentelor de origine acvatică este esențială pentru combaterea pescuitului INN;</w:t>
      </w:r>
    </w:p>
    <w:p w14:paraId="44A67902" w14:textId="6432189C" w:rsidR="00BC5BEB" w:rsidRPr="008C0FC3" w:rsidRDefault="00BC5BEB" w:rsidP="00BC5BEB">
      <w:pPr>
        <w:pStyle w:val="NormalHanging12a"/>
      </w:pPr>
      <w:r w:rsidRPr="008C0FC3">
        <w:t>24.</w:t>
      </w:r>
      <w:r w:rsidRPr="008C0FC3">
        <w:tab/>
        <w:t xml:space="preserve">își reiterează solicitarea ca criteriile de recunoaștere a organizațiilor de producători să fie adaptate astfel încât să țină cont mai bine de caracteristicile diferitelor organizații din statele membre care îndeplinesc sarcini care intră în mare parte în sfera de competență a </w:t>
      </w:r>
      <w:r w:rsidRPr="008C0FC3">
        <w:lastRenderedPageBreak/>
        <w:t xml:space="preserve">unei organizații de producători; subliniază, în acest sens, organizații precum </w:t>
      </w:r>
      <w:r w:rsidRPr="008C0FC3">
        <w:rPr>
          <w:i/>
        </w:rPr>
        <w:t>cofradías</w:t>
      </w:r>
      <w:r w:rsidRPr="008C0FC3">
        <w:t xml:space="preserve"> și </w:t>
      </w:r>
      <w:r w:rsidRPr="008C0FC3">
        <w:rPr>
          <w:i/>
        </w:rPr>
        <w:t>prud’homies de pêche</w:t>
      </w:r>
      <w:r w:rsidRPr="008C0FC3">
        <w:t>;</w:t>
      </w:r>
    </w:p>
    <w:p w14:paraId="417D13B3" w14:textId="77777777" w:rsidR="00BC5BEB" w:rsidRPr="008C0FC3" w:rsidRDefault="00BC5BEB" w:rsidP="00BC5BEB">
      <w:pPr>
        <w:pStyle w:val="NormalHanging12a"/>
        <w:jc w:val="center"/>
      </w:pPr>
      <w:r w:rsidRPr="008C0FC3">
        <w:t>°</w:t>
      </w:r>
    </w:p>
    <w:p w14:paraId="766988ED" w14:textId="77777777" w:rsidR="00BC5BEB" w:rsidRPr="008C0FC3" w:rsidRDefault="00BC5BEB" w:rsidP="00BC5BEB">
      <w:pPr>
        <w:pStyle w:val="NormalHanging12a"/>
        <w:jc w:val="center"/>
      </w:pPr>
      <w:r w:rsidRPr="008C0FC3">
        <w:t>°</w:t>
      </w:r>
      <w:r w:rsidRPr="008C0FC3">
        <w:tab/>
        <w:t>°</w:t>
      </w:r>
    </w:p>
    <w:p w14:paraId="49B6D034" w14:textId="77777777" w:rsidR="00BC5BEB" w:rsidRPr="008C0FC3" w:rsidRDefault="00BC5BEB" w:rsidP="00BC5BEB">
      <w:pPr>
        <w:pStyle w:val="NormalHanging12a"/>
      </w:pPr>
      <w:r w:rsidRPr="008C0FC3">
        <w:t>25.</w:t>
      </w:r>
      <w:r w:rsidRPr="008C0FC3">
        <w:tab/>
        <w:t>încredințează Președintei sarcina de a transmite prezenta rezoluție Consiliului și Comisiei, precum și guvernelor și parlamentelor statelor membre.</w:t>
      </w:r>
    </w:p>
    <w:p w14:paraId="055E2825" w14:textId="77777777" w:rsidR="00100069" w:rsidRPr="008C0FC3" w:rsidRDefault="00100069" w:rsidP="007126C9"/>
    <w:sectPr w:rsidR="00100069" w:rsidRPr="008C0FC3" w:rsidSect="00B24F54">
      <w:footnotePr>
        <w:numRestart w:val="eachSect"/>
      </w:footnotePr>
      <w:endnotePr>
        <w:numFmt w:val="decimal"/>
      </w:endnotePr>
      <w:pgSz w:w="11906" w:h="16838"/>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90D9D1" w14:textId="77777777" w:rsidR="00F67AFA" w:rsidRPr="008C0FC3" w:rsidRDefault="00F67AFA">
      <w:r w:rsidRPr="008C0FC3">
        <w:separator/>
      </w:r>
    </w:p>
  </w:endnote>
  <w:endnote w:type="continuationSeparator" w:id="0">
    <w:p w14:paraId="242D66D9" w14:textId="77777777" w:rsidR="00F67AFA" w:rsidRPr="008C0FC3" w:rsidRDefault="00F67AFA">
      <w:r w:rsidRPr="008C0F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05B20" w14:textId="4EDC9C7D" w:rsidR="008C0FC3" w:rsidRPr="008C0FC3" w:rsidRDefault="008C0FC3" w:rsidP="008C0FC3">
    <w:pPr>
      <w:pStyle w:val="EPFooter"/>
    </w:pPr>
    <w:r w:rsidRPr="008C0FC3">
      <w:t>PE</w:t>
    </w:r>
    <w:r w:rsidRPr="008C0FC3">
      <w:rPr>
        <w:rStyle w:val="HideTWBExt"/>
      </w:rPr>
      <w:t>&lt;NoPE&gt;</w:t>
    </w:r>
    <w:r w:rsidRPr="008C0FC3">
      <w:t>750.124</w:t>
    </w:r>
    <w:r w:rsidRPr="008C0FC3">
      <w:rPr>
        <w:rStyle w:val="HideTWBExt"/>
      </w:rPr>
      <w:t>&lt;/NoPE&gt;&lt;Version&gt;</w:t>
    </w:r>
    <w:r w:rsidRPr="008C0FC3">
      <w:t>v01-00</w:t>
    </w:r>
    <w:r w:rsidRPr="008C0FC3">
      <w:rPr>
        <w:rStyle w:val="HideTWBExt"/>
      </w:rPr>
      <w:t>&lt;/Version&gt;</w:t>
    </w:r>
    <w:r w:rsidRPr="008C0FC3">
      <w:tab/>
    </w:r>
    <w:r w:rsidRPr="008C0FC3">
      <w:fldChar w:fldCharType="begin"/>
    </w:r>
    <w:r w:rsidRPr="008C0FC3">
      <w:instrText xml:space="preserve"> PAGE  \* MERGEFORMAT </w:instrText>
    </w:r>
    <w:r w:rsidRPr="008C0FC3">
      <w:fldChar w:fldCharType="separate"/>
    </w:r>
    <w:r w:rsidR="00727701">
      <w:rPr>
        <w:noProof/>
      </w:rPr>
      <w:t>8</w:t>
    </w:r>
    <w:r w:rsidRPr="008C0FC3">
      <w:fldChar w:fldCharType="end"/>
    </w:r>
    <w:r w:rsidRPr="008C0FC3">
      <w:t>/</w:t>
    </w:r>
    <w:fldSimple w:instr=" NUMPAGES  \* MERGEFORMAT ">
      <w:r w:rsidR="00727701">
        <w:rPr>
          <w:noProof/>
        </w:rPr>
        <w:t>9</w:t>
      </w:r>
    </w:fldSimple>
    <w:r w:rsidRPr="008C0FC3">
      <w:tab/>
    </w:r>
    <w:r w:rsidRPr="008C0FC3">
      <w:rPr>
        <w:rStyle w:val="HideTWBExt"/>
      </w:rPr>
      <w:t>&lt;PathFdR&gt;</w:t>
    </w:r>
    <w:r w:rsidRPr="008C0FC3">
      <w:t>PR\1281732RO.docx</w:t>
    </w:r>
    <w:r w:rsidRPr="008C0FC3">
      <w:rPr>
        <w:rStyle w:val="HideTWBExt"/>
      </w:rPr>
      <w:t>&lt;/PathFdR&gt;</w:t>
    </w:r>
  </w:p>
  <w:p w14:paraId="08BBCAE1" w14:textId="655F104D" w:rsidR="00100069" w:rsidRPr="008C0FC3" w:rsidRDefault="008C0FC3" w:rsidP="008C0FC3">
    <w:pPr>
      <w:pStyle w:val="EPFooter2"/>
    </w:pPr>
    <w:r w:rsidRPr="008C0FC3">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E8A51" w14:textId="79879163" w:rsidR="008C0FC3" w:rsidRPr="008C0FC3" w:rsidRDefault="008C0FC3" w:rsidP="008C0FC3">
    <w:pPr>
      <w:pStyle w:val="EPFooter"/>
    </w:pPr>
    <w:r w:rsidRPr="008C0FC3">
      <w:rPr>
        <w:rStyle w:val="HideTWBExt"/>
      </w:rPr>
      <w:t>&lt;PathFdR&gt;</w:t>
    </w:r>
    <w:r w:rsidRPr="008C0FC3">
      <w:t>PR\1281732RO.docx</w:t>
    </w:r>
    <w:r w:rsidRPr="008C0FC3">
      <w:rPr>
        <w:rStyle w:val="HideTWBExt"/>
      </w:rPr>
      <w:t>&lt;/PathFdR&gt;</w:t>
    </w:r>
    <w:r w:rsidRPr="008C0FC3">
      <w:tab/>
    </w:r>
    <w:r w:rsidRPr="008C0FC3">
      <w:fldChar w:fldCharType="begin"/>
    </w:r>
    <w:r w:rsidRPr="008C0FC3">
      <w:instrText xml:space="preserve"> PAGE  \* MERGEFORMAT </w:instrText>
    </w:r>
    <w:r w:rsidRPr="008C0FC3">
      <w:fldChar w:fldCharType="separate"/>
    </w:r>
    <w:r w:rsidR="00727701">
      <w:rPr>
        <w:noProof/>
      </w:rPr>
      <w:t>9</w:t>
    </w:r>
    <w:r w:rsidRPr="008C0FC3">
      <w:fldChar w:fldCharType="end"/>
    </w:r>
    <w:r w:rsidRPr="008C0FC3">
      <w:t>/</w:t>
    </w:r>
    <w:fldSimple w:instr=" NUMPAGES  \* MERGEFORMAT ">
      <w:r w:rsidR="00727701">
        <w:rPr>
          <w:noProof/>
        </w:rPr>
        <w:t>9</w:t>
      </w:r>
    </w:fldSimple>
    <w:r w:rsidRPr="008C0FC3">
      <w:tab/>
      <w:t>PE</w:t>
    </w:r>
    <w:r w:rsidRPr="008C0FC3">
      <w:rPr>
        <w:rStyle w:val="HideTWBExt"/>
      </w:rPr>
      <w:t>&lt;NoPE&gt;</w:t>
    </w:r>
    <w:r w:rsidRPr="008C0FC3">
      <w:t>750.124</w:t>
    </w:r>
    <w:r w:rsidRPr="008C0FC3">
      <w:rPr>
        <w:rStyle w:val="HideTWBExt"/>
      </w:rPr>
      <w:t>&lt;/NoPE&gt;&lt;Version&gt;</w:t>
    </w:r>
    <w:r w:rsidRPr="008C0FC3">
      <w:t>v01-00</w:t>
    </w:r>
    <w:r w:rsidRPr="008C0FC3">
      <w:rPr>
        <w:rStyle w:val="HideTWBExt"/>
      </w:rPr>
      <w:t>&lt;/Version&gt;</w:t>
    </w:r>
  </w:p>
  <w:p w14:paraId="392EDE1D" w14:textId="486C7C16" w:rsidR="00100069" w:rsidRPr="008C0FC3" w:rsidRDefault="008C0FC3" w:rsidP="008C0FC3">
    <w:pPr>
      <w:pStyle w:val="EPFooter2"/>
    </w:pPr>
    <w:r w:rsidRPr="008C0FC3">
      <w:tab/>
    </w:r>
    <w:r w:rsidRPr="008C0FC3">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6F8C6" w14:textId="77777777" w:rsidR="008C0FC3" w:rsidRPr="008C0FC3" w:rsidRDefault="008C0FC3" w:rsidP="008C0FC3">
    <w:pPr>
      <w:pStyle w:val="EPFooter"/>
    </w:pPr>
    <w:r w:rsidRPr="008C0FC3">
      <w:rPr>
        <w:rStyle w:val="HideTWBExt"/>
      </w:rPr>
      <w:t>&lt;PathFdR&gt;</w:t>
    </w:r>
    <w:r w:rsidRPr="008C0FC3">
      <w:t>PR\1281732RO.docx</w:t>
    </w:r>
    <w:r w:rsidRPr="008C0FC3">
      <w:rPr>
        <w:rStyle w:val="HideTWBExt"/>
      </w:rPr>
      <w:t>&lt;/PathFdR&gt;</w:t>
    </w:r>
    <w:r w:rsidRPr="008C0FC3">
      <w:tab/>
    </w:r>
    <w:r w:rsidRPr="008C0FC3">
      <w:tab/>
      <w:t>PE</w:t>
    </w:r>
    <w:r w:rsidRPr="008C0FC3">
      <w:rPr>
        <w:rStyle w:val="HideTWBExt"/>
      </w:rPr>
      <w:t>&lt;NoPE&gt;</w:t>
    </w:r>
    <w:r w:rsidRPr="008C0FC3">
      <w:t>750.124</w:t>
    </w:r>
    <w:r w:rsidRPr="008C0FC3">
      <w:rPr>
        <w:rStyle w:val="HideTWBExt"/>
      </w:rPr>
      <w:t>&lt;/NoPE&gt;&lt;Version&gt;</w:t>
    </w:r>
    <w:r w:rsidRPr="008C0FC3">
      <w:t>v01-00</w:t>
    </w:r>
    <w:r w:rsidRPr="008C0FC3">
      <w:rPr>
        <w:rStyle w:val="HideTWBExt"/>
      </w:rPr>
      <w:t>&lt;/Version&gt;</w:t>
    </w:r>
  </w:p>
  <w:p w14:paraId="3347EA14" w14:textId="76BB9EBF" w:rsidR="00100069" w:rsidRPr="008C0FC3" w:rsidRDefault="008C0FC3" w:rsidP="008C0FC3">
    <w:pPr>
      <w:pStyle w:val="EPFooter2"/>
    </w:pPr>
    <w:r w:rsidRPr="008C0FC3">
      <w:t>RO</w:t>
    </w:r>
    <w:r w:rsidRPr="008C0FC3">
      <w:tab/>
    </w:r>
    <w:r w:rsidRPr="008C0FC3">
      <w:rPr>
        <w:b w:val="0"/>
        <w:i/>
        <w:color w:val="C0C0C0"/>
        <w:sz w:val="22"/>
      </w:rPr>
      <w:t>Unită în diversitate</w:t>
    </w:r>
    <w:r w:rsidRPr="008C0FC3">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338962" w14:textId="77777777" w:rsidR="00F67AFA" w:rsidRPr="008C0FC3" w:rsidRDefault="00F67AFA">
      <w:r w:rsidRPr="008C0FC3">
        <w:separator/>
      </w:r>
    </w:p>
  </w:footnote>
  <w:footnote w:type="continuationSeparator" w:id="0">
    <w:p w14:paraId="0067AEEE" w14:textId="77777777" w:rsidR="00F67AFA" w:rsidRPr="008C0FC3" w:rsidRDefault="00F67AFA">
      <w:r w:rsidRPr="008C0FC3">
        <w:continuationSeparator/>
      </w:r>
    </w:p>
  </w:footnote>
  <w:footnote w:id="1">
    <w:p w14:paraId="7F89CFBD" w14:textId="77777777" w:rsidR="00D81ACD" w:rsidRPr="008C0FC3" w:rsidRDefault="00D81ACD">
      <w:pPr>
        <w:pStyle w:val="FootnoteText"/>
      </w:pPr>
      <w:r w:rsidRPr="008C0FC3">
        <w:rPr>
          <w:rStyle w:val="FootnoteReference"/>
        </w:rPr>
        <w:footnoteRef/>
      </w:r>
      <w:r w:rsidRPr="008C0FC3">
        <w:t xml:space="preserve"> JO L 354, 28.12.2013, p. 1.</w:t>
      </w:r>
    </w:p>
  </w:footnote>
  <w:footnote w:id="2">
    <w:p w14:paraId="64F371C8" w14:textId="77777777" w:rsidR="00D81ACD" w:rsidRPr="008C0FC3" w:rsidRDefault="00D81ACD">
      <w:pPr>
        <w:pStyle w:val="FootnoteText"/>
      </w:pPr>
      <w:r w:rsidRPr="008C0FC3">
        <w:rPr>
          <w:rStyle w:val="FootnoteReference"/>
        </w:rPr>
        <w:footnoteRef/>
      </w:r>
      <w:r w:rsidRPr="008C0FC3">
        <w:t xml:space="preserve"> JO C 184, 5.5.2022, p.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E98ED" w14:textId="77777777" w:rsidR="00727701" w:rsidRDefault="007277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DAFB2" w14:textId="77777777" w:rsidR="00727701" w:rsidRDefault="007277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B7BCC" w14:textId="77777777" w:rsidR="00727701" w:rsidRDefault="007277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PECH"/>
    <w:docVar w:name="HEADINGMNU" w:val=" 1"/>
    <w:docVar w:name="LastEditedSection" w:val=" 1"/>
    <w:docVar w:name="MOTIONMNU" w:val=" 3"/>
    <w:docVar w:name="OPTHEADING1MNU" w:val=" 1"/>
    <w:docVar w:name="OPTHEADING2MNU" w:val=" 1"/>
    <w:docVar w:name="PAR1MNU" w:val=" 1"/>
    <w:docVar w:name="strDocTypeID" w:val="PR_INI_ImplReport"/>
    <w:docVar w:name="strSubDir" w:val="1281"/>
    <w:docVar w:name="TITLEMNU" w:val=" 1"/>
    <w:docVar w:name="TVTTITLE" w:val="Implementation of the Common Market Organisation (CMO) Regulation in fisheries and aquaculture - Regulation (EU) 1379/2013"/>
    <w:docVar w:name="TXTLANGUE" w:val="EN"/>
    <w:docVar w:name="TXTLANGUEMIN" w:val="en"/>
    <w:docVar w:name="TXTNRINI" w:val="2023/2049"/>
    <w:docVar w:name="TXTNRPE" w:val="750.124"/>
    <w:docVar w:name="TXTPEorAP" w:val="PE"/>
    <w:docVar w:name="TXTROUTE" w:val="PR\1281732EN.docx"/>
    <w:docVar w:name="TXTTITLE" w:val="Implementation of the Common Market Organisation (CMO) Regulation in fisheries and aquaculture - Regulation (EU) 1379/2013"/>
    <w:docVar w:name="TXTVERSION" w:val="01-00"/>
  </w:docVars>
  <w:rsids>
    <w:rsidRoot w:val="00F67AFA"/>
    <w:rsid w:val="000259EA"/>
    <w:rsid w:val="00040EAC"/>
    <w:rsid w:val="00057D69"/>
    <w:rsid w:val="00082B65"/>
    <w:rsid w:val="000C53D8"/>
    <w:rsid w:val="000F1377"/>
    <w:rsid w:val="00100069"/>
    <w:rsid w:val="001046B1"/>
    <w:rsid w:val="00115DF6"/>
    <w:rsid w:val="00141FC3"/>
    <w:rsid w:val="00153AB5"/>
    <w:rsid w:val="0017303E"/>
    <w:rsid w:val="001C35F3"/>
    <w:rsid w:val="001F5856"/>
    <w:rsid w:val="00240F48"/>
    <w:rsid w:val="002544DF"/>
    <w:rsid w:val="002643FA"/>
    <w:rsid w:val="002728D7"/>
    <w:rsid w:val="00274868"/>
    <w:rsid w:val="00277EDB"/>
    <w:rsid w:val="002C1B20"/>
    <w:rsid w:val="002C5A3A"/>
    <w:rsid w:val="002D4261"/>
    <w:rsid w:val="002D4D78"/>
    <w:rsid w:val="002D6782"/>
    <w:rsid w:val="003066F4"/>
    <w:rsid w:val="00316C50"/>
    <w:rsid w:val="00326F76"/>
    <w:rsid w:val="00367412"/>
    <w:rsid w:val="003E6413"/>
    <w:rsid w:val="00415FD1"/>
    <w:rsid w:val="00441215"/>
    <w:rsid w:val="0048149E"/>
    <w:rsid w:val="004B4D5E"/>
    <w:rsid w:val="004C68A7"/>
    <w:rsid w:val="004E0E94"/>
    <w:rsid w:val="004F6A16"/>
    <w:rsid w:val="005119D4"/>
    <w:rsid w:val="00534771"/>
    <w:rsid w:val="00550812"/>
    <w:rsid w:val="005A2942"/>
    <w:rsid w:val="005E6C15"/>
    <w:rsid w:val="006272CD"/>
    <w:rsid w:val="00631924"/>
    <w:rsid w:val="00692C3B"/>
    <w:rsid w:val="00705D44"/>
    <w:rsid w:val="00707E7F"/>
    <w:rsid w:val="007115BD"/>
    <w:rsid w:val="007126C9"/>
    <w:rsid w:val="00727701"/>
    <w:rsid w:val="00767DFF"/>
    <w:rsid w:val="0079204E"/>
    <w:rsid w:val="007A4135"/>
    <w:rsid w:val="007E300F"/>
    <w:rsid w:val="0082521C"/>
    <w:rsid w:val="00835773"/>
    <w:rsid w:val="00846CDA"/>
    <w:rsid w:val="008A1858"/>
    <w:rsid w:val="008C0FC3"/>
    <w:rsid w:val="008C4C65"/>
    <w:rsid w:val="008D66B5"/>
    <w:rsid w:val="008E7EB6"/>
    <w:rsid w:val="00915B29"/>
    <w:rsid w:val="009253E3"/>
    <w:rsid w:val="00956282"/>
    <w:rsid w:val="0095675E"/>
    <w:rsid w:val="009A3355"/>
    <w:rsid w:val="009A340D"/>
    <w:rsid w:val="009D7157"/>
    <w:rsid w:val="00A10B87"/>
    <w:rsid w:val="00A73E97"/>
    <w:rsid w:val="00AB20E4"/>
    <w:rsid w:val="00B24F54"/>
    <w:rsid w:val="00B97653"/>
    <w:rsid w:val="00BA2A57"/>
    <w:rsid w:val="00BB70F1"/>
    <w:rsid w:val="00BC5BEB"/>
    <w:rsid w:val="00BC7C60"/>
    <w:rsid w:val="00BF774C"/>
    <w:rsid w:val="00D004E0"/>
    <w:rsid w:val="00D32102"/>
    <w:rsid w:val="00D55C21"/>
    <w:rsid w:val="00D63CD1"/>
    <w:rsid w:val="00D81ACD"/>
    <w:rsid w:val="00DB0A6D"/>
    <w:rsid w:val="00DC527D"/>
    <w:rsid w:val="00DD2D8E"/>
    <w:rsid w:val="00DD5244"/>
    <w:rsid w:val="00DE3820"/>
    <w:rsid w:val="00DF2526"/>
    <w:rsid w:val="00E155CA"/>
    <w:rsid w:val="00E3537C"/>
    <w:rsid w:val="00E52050"/>
    <w:rsid w:val="00E61690"/>
    <w:rsid w:val="00E8000D"/>
    <w:rsid w:val="00EA1A4C"/>
    <w:rsid w:val="00EC5E45"/>
    <w:rsid w:val="00ED61D4"/>
    <w:rsid w:val="00EE0A27"/>
    <w:rsid w:val="00EE28D2"/>
    <w:rsid w:val="00EF42F3"/>
    <w:rsid w:val="00F03EB3"/>
    <w:rsid w:val="00F07A67"/>
    <w:rsid w:val="00F42F6E"/>
    <w:rsid w:val="00F67AFA"/>
    <w:rsid w:val="00F776D3"/>
    <w:rsid w:val="00F81706"/>
    <w:rsid w:val="00F833E7"/>
    <w:rsid w:val="00F93AF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70B77B"/>
  <w15:chartTrackingRefBased/>
  <w15:docId w15:val="{85419420-1295-4A71-8E35-CE0D4C8FB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2D8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277ED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D55C2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67412"/>
    <w:pPr>
      <w:spacing w:before="1080"/>
      <w:jc w:val="right"/>
    </w:pPr>
    <w:rPr>
      <w:rFonts w:ascii="Arial" w:hAnsi="Arial" w:cs="Arial"/>
      <w:b/>
    </w:rPr>
  </w:style>
  <w:style w:type="paragraph" w:customStyle="1" w:styleId="CoverDocType24a">
    <w:name w:val="CoverDocType24a"/>
    <w:basedOn w:val="Normal"/>
    <w:rsid w:val="00D55C2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253E3"/>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Subheading">
    <w:name w:val="Subheading"/>
    <w:basedOn w:val="Normal"/>
    <w:rsid w:val="0017303E"/>
    <w:pPr>
      <w:spacing w:before="480" w:after="240"/>
    </w:pPr>
    <w:rPr>
      <w:b/>
      <w:i/>
    </w:rPr>
  </w:style>
  <w:style w:type="paragraph" w:customStyle="1" w:styleId="EPFooter">
    <w:name w:val="EPFooter"/>
    <w:basedOn w:val="Normal"/>
    <w:rsid w:val="00D55C2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253E3"/>
    <w:rPr>
      <w:sz w:val="24"/>
    </w:rPr>
  </w:style>
  <w:style w:type="paragraph" w:customStyle="1" w:styleId="EPComma">
    <w:name w:val="EPComma"/>
    <w:basedOn w:val="Normal"/>
    <w:rsid w:val="00D004E0"/>
    <w:pPr>
      <w:spacing w:before="480" w:after="240"/>
    </w:pPr>
  </w:style>
  <w:style w:type="paragraph" w:customStyle="1" w:styleId="Normal12a24b">
    <w:name w:val="Normal12a24b"/>
    <w:basedOn w:val="Normal"/>
    <w:rsid w:val="00BC5BEB"/>
    <w:pPr>
      <w:snapToGrid w:val="0"/>
      <w:spacing w:before="360" w:after="240"/>
    </w:pPr>
    <w:rPr>
      <w:lang w:eastAsia="en-US"/>
    </w:rPr>
  </w:style>
  <w:style w:type="character" w:customStyle="1" w:styleId="Bold">
    <w:name w:val="Bold"/>
    <w:uiPriority w:val="1"/>
    <w:rsid w:val="00BC5BEB"/>
    <w:rPr>
      <w:b/>
      <w:bCs w:val="0"/>
    </w:rPr>
  </w:style>
  <w:style w:type="character" w:customStyle="1" w:styleId="NormalHanging12aChar">
    <w:name w:val="NormalHanging12a Char"/>
    <w:basedOn w:val="DefaultParagraphFont"/>
    <w:link w:val="NormalHanging12a"/>
    <w:locked/>
    <w:rsid w:val="00BC5BEB"/>
    <w:rPr>
      <w:sz w:val="24"/>
    </w:rPr>
  </w:style>
  <w:style w:type="paragraph" w:styleId="Footer">
    <w:name w:val="footer"/>
    <w:basedOn w:val="Normal"/>
    <w:link w:val="FooterChar"/>
    <w:semiHidden/>
    <w:rsid w:val="00DF2526"/>
    <w:pPr>
      <w:tabs>
        <w:tab w:val="center" w:pos="4513"/>
        <w:tab w:val="right" w:pos="9026"/>
      </w:tabs>
    </w:pPr>
  </w:style>
  <w:style w:type="character" w:customStyle="1" w:styleId="FooterChar">
    <w:name w:val="Footer Char"/>
    <w:basedOn w:val="DefaultParagraphFont"/>
    <w:link w:val="Footer"/>
    <w:semiHidden/>
    <w:rsid w:val="00DF2526"/>
    <w:rPr>
      <w:sz w:val="24"/>
    </w:rPr>
  </w:style>
  <w:style w:type="paragraph" w:styleId="BalloonText">
    <w:name w:val="Balloon Text"/>
    <w:basedOn w:val="Normal"/>
    <w:link w:val="BalloonTextChar"/>
    <w:semiHidden/>
    <w:unhideWhenUsed/>
    <w:rsid w:val="00D81ACD"/>
    <w:rPr>
      <w:rFonts w:ascii="Segoe UI" w:hAnsi="Segoe UI" w:cs="Segoe UI"/>
      <w:sz w:val="18"/>
      <w:szCs w:val="18"/>
    </w:rPr>
  </w:style>
  <w:style w:type="character" w:customStyle="1" w:styleId="BalloonTextChar">
    <w:name w:val="Balloon Text Char"/>
    <w:basedOn w:val="DefaultParagraphFont"/>
    <w:link w:val="BalloonText"/>
    <w:semiHidden/>
    <w:rsid w:val="00D81ACD"/>
    <w:rPr>
      <w:rFonts w:ascii="Segoe UI" w:hAnsi="Segoe UI" w:cs="Segoe UI"/>
      <w:sz w:val="18"/>
      <w:szCs w:val="18"/>
    </w:rPr>
  </w:style>
  <w:style w:type="paragraph" w:styleId="FootnoteText">
    <w:name w:val="footnote text"/>
    <w:basedOn w:val="Normal"/>
    <w:link w:val="FootnoteTextChar"/>
    <w:rsid w:val="00D81ACD"/>
    <w:rPr>
      <w:sz w:val="20"/>
    </w:rPr>
  </w:style>
  <w:style w:type="character" w:customStyle="1" w:styleId="FootnoteTextChar">
    <w:name w:val="Footnote Text Char"/>
    <w:basedOn w:val="DefaultParagraphFont"/>
    <w:link w:val="FootnoteText"/>
    <w:rsid w:val="00D81ACD"/>
  </w:style>
  <w:style w:type="character" w:styleId="FootnoteReference">
    <w:name w:val="footnote reference"/>
    <w:basedOn w:val="DefaultParagraphFont"/>
    <w:rsid w:val="00D81ACD"/>
    <w:rPr>
      <w:vertAlign w:val="superscript"/>
    </w:rPr>
  </w:style>
  <w:style w:type="character" w:styleId="CommentReference">
    <w:name w:val="annotation reference"/>
    <w:basedOn w:val="DefaultParagraphFont"/>
    <w:rsid w:val="001F5856"/>
    <w:rPr>
      <w:sz w:val="16"/>
      <w:szCs w:val="16"/>
    </w:rPr>
  </w:style>
  <w:style w:type="paragraph" w:styleId="CommentText">
    <w:name w:val="annotation text"/>
    <w:basedOn w:val="Normal"/>
    <w:link w:val="CommentTextChar"/>
    <w:rsid w:val="001F5856"/>
    <w:rPr>
      <w:sz w:val="20"/>
    </w:rPr>
  </w:style>
  <w:style w:type="character" w:customStyle="1" w:styleId="CommentTextChar">
    <w:name w:val="Comment Text Char"/>
    <w:basedOn w:val="DefaultParagraphFont"/>
    <w:link w:val="CommentText"/>
    <w:rsid w:val="001F5856"/>
  </w:style>
  <w:style w:type="paragraph" w:styleId="CommentSubject">
    <w:name w:val="annotation subject"/>
    <w:basedOn w:val="CommentText"/>
    <w:next w:val="CommentText"/>
    <w:link w:val="CommentSubjectChar"/>
    <w:semiHidden/>
    <w:unhideWhenUsed/>
    <w:rsid w:val="001F5856"/>
    <w:rPr>
      <w:b/>
      <w:bCs/>
    </w:rPr>
  </w:style>
  <w:style w:type="character" w:customStyle="1" w:styleId="CommentSubjectChar">
    <w:name w:val="Comment Subject Char"/>
    <w:basedOn w:val="CommentTextChar"/>
    <w:link w:val="CommentSubject"/>
    <w:semiHidden/>
    <w:rsid w:val="001F5856"/>
    <w:rPr>
      <w:b/>
      <w:bCs/>
    </w:rPr>
  </w:style>
  <w:style w:type="character" w:styleId="Hyperlink">
    <w:name w:val="Hyperlink"/>
    <w:basedOn w:val="DefaultParagraphFont"/>
    <w:rsid w:val="0079204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084446">
      <w:bodyDiv w:val="1"/>
      <w:marLeft w:val="0"/>
      <w:marRight w:val="0"/>
      <w:marTop w:val="0"/>
      <w:marBottom w:val="0"/>
      <w:divBdr>
        <w:top w:val="none" w:sz="0" w:space="0" w:color="auto"/>
        <w:left w:val="none" w:sz="0" w:space="0" w:color="auto"/>
        <w:bottom w:val="none" w:sz="0" w:space="0" w:color="auto"/>
        <w:right w:val="none" w:sz="0" w:space="0" w:color="auto"/>
      </w:divBdr>
    </w:div>
    <w:div w:id="440074447">
      <w:bodyDiv w:val="1"/>
      <w:marLeft w:val="0"/>
      <w:marRight w:val="0"/>
      <w:marTop w:val="0"/>
      <w:marBottom w:val="0"/>
      <w:divBdr>
        <w:top w:val="none" w:sz="0" w:space="0" w:color="auto"/>
        <w:left w:val="none" w:sz="0" w:space="0" w:color="auto"/>
        <w:bottom w:val="none" w:sz="0" w:space="0" w:color="auto"/>
        <w:right w:val="none" w:sz="0" w:space="0" w:color="auto"/>
      </w:divBdr>
    </w:div>
    <w:div w:id="575481957">
      <w:bodyDiv w:val="1"/>
      <w:marLeft w:val="0"/>
      <w:marRight w:val="0"/>
      <w:marTop w:val="0"/>
      <w:marBottom w:val="0"/>
      <w:divBdr>
        <w:top w:val="none" w:sz="0" w:space="0" w:color="auto"/>
        <w:left w:val="none" w:sz="0" w:space="0" w:color="auto"/>
        <w:bottom w:val="none" w:sz="0" w:space="0" w:color="auto"/>
        <w:right w:val="none" w:sz="0" w:space="0" w:color="auto"/>
      </w:divBdr>
    </w:div>
    <w:div w:id="606155325">
      <w:bodyDiv w:val="1"/>
      <w:marLeft w:val="0"/>
      <w:marRight w:val="0"/>
      <w:marTop w:val="0"/>
      <w:marBottom w:val="0"/>
      <w:divBdr>
        <w:top w:val="none" w:sz="0" w:space="0" w:color="auto"/>
        <w:left w:val="none" w:sz="0" w:space="0" w:color="auto"/>
        <w:bottom w:val="none" w:sz="0" w:space="0" w:color="auto"/>
        <w:right w:val="none" w:sz="0" w:space="0" w:color="auto"/>
      </w:divBdr>
    </w:div>
    <w:div w:id="1050571652">
      <w:bodyDiv w:val="1"/>
      <w:marLeft w:val="0"/>
      <w:marRight w:val="0"/>
      <w:marTop w:val="0"/>
      <w:marBottom w:val="0"/>
      <w:divBdr>
        <w:top w:val="none" w:sz="0" w:space="0" w:color="auto"/>
        <w:left w:val="none" w:sz="0" w:space="0" w:color="auto"/>
        <w:bottom w:val="none" w:sz="0" w:space="0" w:color="auto"/>
        <w:right w:val="none" w:sz="0" w:space="0" w:color="auto"/>
      </w:divBdr>
    </w:div>
    <w:div w:id="1203514329">
      <w:bodyDiv w:val="1"/>
      <w:marLeft w:val="0"/>
      <w:marRight w:val="0"/>
      <w:marTop w:val="0"/>
      <w:marBottom w:val="0"/>
      <w:divBdr>
        <w:top w:val="none" w:sz="0" w:space="0" w:color="auto"/>
        <w:left w:val="none" w:sz="0" w:space="0" w:color="auto"/>
        <w:bottom w:val="none" w:sz="0" w:space="0" w:color="auto"/>
        <w:right w:val="none" w:sz="0" w:space="0" w:color="auto"/>
      </w:divBdr>
    </w:div>
    <w:div w:id="1291979578">
      <w:bodyDiv w:val="1"/>
      <w:marLeft w:val="0"/>
      <w:marRight w:val="0"/>
      <w:marTop w:val="0"/>
      <w:marBottom w:val="0"/>
      <w:divBdr>
        <w:top w:val="none" w:sz="0" w:space="0" w:color="auto"/>
        <w:left w:val="none" w:sz="0" w:space="0" w:color="auto"/>
        <w:bottom w:val="none" w:sz="0" w:space="0" w:color="auto"/>
        <w:right w:val="none" w:sz="0" w:space="0" w:color="auto"/>
      </w:divBdr>
    </w:div>
    <w:div w:id="1384064242">
      <w:bodyDiv w:val="1"/>
      <w:marLeft w:val="0"/>
      <w:marRight w:val="0"/>
      <w:marTop w:val="0"/>
      <w:marBottom w:val="0"/>
      <w:divBdr>
        <w:top w:val="none" w:sz="0" w:space="0" w:color="auto"/>
        <w:left w:val="none" w:sz="0" w:space="0" w:color="auto"/>
        <w:bottom w:val="none" w:sz="0" w:space="0" w:color="auto"/>
        <w:right w:val="none" w:sz="0" w:space="0" w:color="auto"/>
      </w:divBdr>
    </w:div>
    <w:div w:id="1432503822">
      <w:bodyDiv w:val="1"/>
      <w:marLeft w:val="0"/>
      <w:marRight w:val="0"/>
      <w:marTop w:val="0"/>
      <w:marBottom w:val="0"/>
      <w:divBdr>
        <w:top w:val="none" w:sz="0" w:space="0" w:color="auto"/>
        <w:left w:val="none" w:sz="0" w:space="0" w:color="auto"/>
        <w:bottom w:val="none" w:sz="0" w:space="0" w:color="auto"/>
        <w:right w:val="none" w:sz="0" w:space="0" w:color="auto"/>
      </w:divBdr>
    </w:div>
    <w:div w:id="1451246410">
      <w:bodyDiv w:val="1"/>
      <w:marLeft w:val="0"/>
      <w:marRight w:val="0"/>
      <w:marTop w:val="0"/>
      <w:marBottom w:val="0"/>
      <w:divBdr>
        <w:top w:val="none" w:sz="0" w:space="0" w:color="auto"/>
        <w:left w:val="none" w:sz="0" w:space="0" w:color="auto"/>
        <w:bottom w:val="none" w:sz="0" w:space="0" w:color="auto"/>
        <w:right w:val="none" w:sz="0" w:space="0" w:color="auto"/>
      </w:divBdr>
    </w:div>
    <w:div w:id="1700735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2F1AF-640A-4FC7-9B72-5CB4F897A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2782</Words>
  <Characters>16666</Characters>
  <Application>Microsoft Office Word</Application>
  <DocSecurity>0</DocSecurity>
  <Lines>282</Lines>
  <Paragraphs>91</Paragraphs>
  <ScaleCrop>false</ScaleCrop>
  <HeadingPairs>
    <vt:vector size="2" baseType="variant">
      <vt:variant>
        <vt:lpstr>Title</vt:lpstr>
      </vt:variant>
      <vt:variant>
        <vt:i4>1</vt:i4>
      </vt:variant>
    </vt:vector>
  </HeadingPairs>
  <TitlesOfParts>
    <vt:vector size="1" baseType="lpstr">
      <vt:lpstr>PR_INI_ImplReport</vt:lpstr>
    </vt:vector>
  </TitlesOfParts>
  <Company/>
  <LinksUpToDate>false</LinksUpToDate>
  <CharactersWithSpaces>19357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PR_INI_ImplReport</dc:title>
  <dc:subject/>
  <dc:creator>MANYIK Krisztina</dc:creator>
  <cp:keywords/>
  <dc:description/>
  <cp:lastModifiedBy>OBADA Liliana</cp:lastModifiedBy>
  <cp:revision>2</cp:revision>
  <cp:lastPrinted>2023-06-29T10:27:00Z</cp:lastPrinted>
  <dcterms:created xsi:type="dcterms:W3CDTF">2023-07-11T12:34:00Z</dcterms:created>
  <dcterms:modified xsi:type="dcterms:W3CDTF">2023-07-11T12:34:00Z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Created with">
    <vt:lpwstr>9.15.0 Build [20230501]</vt:lpwstr>
  </property>
  <property fmtid="{D5CDD505-2E9C-101B-9397-08002B2CF9AE}" pid="4" name="LastEdited with">
    <vt:lpwstr>9.15.0 Build [20230501]</vt:lpwstr>
  </property>
  <property fmtid="{D5CDD505-2E9C-101B-9397-08002B2CF9AE}" pid="5" name="&lt;FdR&gt;">
    <vt:lpwstr>1281732</vt:lpwstr>
  </property>
  <property fmtid="{D5CDD505-2E9C-101B-9397-08002B2CF9AE}" pid="6" name="&lt;Type&gt;">
    <vt:lpwstr>PR</vt:lpwstr>
  </property>
  <property fmtid="{D5CDD505-2E9C-101B-9397-08002B2CF9AE}" pid="7" name="&lt;ModelCod&gt;">
    <vt:lpwstr>\\eiciBRUpr1\pdocep$\DocEP\DOCS\General\PR\PR_NonLeg\INI\PR_INI_ImplReport.dotx(17/04/2020 19:28:09)</vt:lpwstr>
  </property>
  <property fmtid="{D5CDD505-2E9C-101B-9397-08002B2CF9AE}" pid="8" name="&lt;ModelTra&gt;">
    <vt:lpwstr>\\eiciBRUpr1\pdocep$\DocEP\TRANSFIL\EN\PR_INI_ImplReport.EN(16/10/2020 18:33:06)</vt:lpwstr>
  </property>
  <property fmtid="{D5CDD505-2E9C-101B-9397-08002B2CF9AE}" pid="9" name="&lt;Model&gt;">
    <vt:lpwstr>PR_INI_ImplReport</vt:lpwstr>
  </property>
  <property fmtid="{D5CDD505-2E9C-101B-9397-08002B2CF9AE}" pid="10" name="FooterPath">
    <vt:lpwstr>PR\1281732RO.docx</vt:lpwstr>
  </property>
  <property fmtid="{D5CDD505-2E9C-101B-9397-08002B2CF9AE}" pid="11" name="PE number">
    <vt:lpwstr>750.124</vt:lpwstr>
  </property>
  <property fmtid="{D5CDD505-2E9C-101B-9397-08002B2CF9AE}" pid="12" name="SendToEpades">
    <vt:lpwstr>OK - 2023/06/27 14:45</vt:lpwstr>
  </property>
  <property fmtid="{D5CDD505-2E9C-101B-9397-08002B2CF9AE}" pid="13" name="Bookout">
    <vt:lpwstr>OK - 2023/07/11 14:34</vt:lpwstr>
  </property>
  <property fmtid="{D5CDD505-2E9C-101B-9397-08002B2CF9AE}" pid="14" name="SDLStudio">
    <vt:lpwstr/>
  </property>
</Properties>
</file>