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81BC4" w:rsidRPr="004F62DE" w:rsidTr="004B110E">
        <w:trPr>
          <w:trHeight w:hRule="exact" w:val="1418"/>
        </w:trPr>
        <w:tc>
          <w:tcPr>
            <w:tcW w:w="6804" w:type="dxa"/>
            <w:shd w:val="clear" w:color="auto" w:fill="auto"/>
            <w:vAlign w:val="center"/>
          </w:tcPr>
          <w:p w:rsidR="0049599D" w:rsidRPr="004F62DE" w:rsidRDefault="00F37C81" w:rsidP="004B110E">
            <w:pPr>
              <w:pStyle w:val="EPName"/>
            </w:pPr>
            <w:r w:rsidRPr="004F62DE">
              <w:t>Europa-Parlamentet</w:t>
            </w:r>
          </w:p>
          <w:p w:rsidR="0049599D" w:rsidRPr="004F62DE" w:rsidRDefault="00F37C81" w:rsidP="004B110E">
            <w:pPr>
              <w:pStyle w:val="EPTerm"/>
            </w:pPr>
            <w:r w:rsidRPr="004F62DE">
              <w:t>2019-2024</w:t>
            </w:r>
          </w:p>
        </w:tc>
        <w:tc>
          <w:tcPr>
            <w:tcW w:w="2268" w:type="dxa"/>
            <w:shd w:val="clear" w:color="auto" w:fill="auto"/>
          </w:tcPr>
          <w:p w:rsidR="0049599D" w:rsidRPr="004F62DE" w:rsidRDefault="00F37C81" w:rsidP="004B110E">
            <w:pPr>
              <w:pStyle w:val="EPLogo"/>
            </w:pPr>
            <w:r w:rsidRPr="004F62DE">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9599D" w:rsidRPr="004F62DE" w:rsidRDefault="0049599D" w:rsidP="0049599D">
      <w:pPr>
        <w:pStyle w:val="LineTop"/>
      </w:pPr>
    </w:p>
    <w:p w:rsidR="0049599D" w:rsidRPr="004F62DE" w:rsidRDefault="00F37C81" w:rsidP="0049599D">
      <w:pPr>
        <w:pStyle w:val="EPBody"/>
      </w:pPr>
      <w:r w:rsidRPr="004F62DE">
        <w:rPr>
          <w:rStyle w:val="HideTWBExt"/>
          <w:noProof w:val="0"/>
        </w:rPr>
        <w:t>&lt;</w:t>
      </w:r>
      <w:r w:rsidRPr="004F62DE">
        <w:rPr>
          <w:rStyle w:val="HideTWBExt"/>
          <w:i w:val="0"/>
          <w:noProof w:val="0"/>
        </w:rPr>
        <w:t>Commission</w:t>
      </w:r>
      <w:r w:rsidRPr="004F62DE">
        <w:rPr>
          <w:rStyle w:val="HideTWBExt"/>
          <w:noProof w:val="0"/>
        </w:rPr>
        <w:t>&gt;</w:t>
      </w:r>
      <w:r w:rsidRPr="004F62DE">
        <w:rPr>
          <w:rStyle w:val="HideTWBInt"/>
          <w:color w:val="auto"/>
        </w:rPr>
        <w:t>{PECH}</w:t>
      </w:r>
      <w:r w:rsidRPr="004F62DE">
        <w:t>Fiskeriudvalget</w:t>
      </w:r>
      <w:r w:rsidRPr="004F62DE">
        <w:rPr>
          <w:rStyle w:val="HideTWBExt"/>
          <w:noProof w:val="0"/>
        </w:rPr>
        <w:t>&lt;/</w:t>
      </w:r>
      <w:r w:rsidRPr="004F62DE">
        <w:rPr>
          <w:rStyle w:val="HideTWBExt"/>
          <w:i w:val="0"/>
          <w:noProof w:val="0"/>
        </w:rPr>
        <w:t>Commission</w:t>
      </w:r>
      <w:r w:rsidRPr="004F62DE">
        <w:rPr>
          <w:rStyle w:val="HideTWBExt"/>
          <w:noProof w:val="0"/>
        </w:rPr>
        <w:t>&gt;</w:t>
      </w:r>
    </w:p>
    <w:p w:rsidR="0049599D" w:rsidRPr="004F62DE" w:rsidRDefault="0049599D" w:rsidP="0049599D">
      <w:pPr>
        <w:pStyle w:val="LineBottom"/>
      </w:pPr>
    </w:p>
    <w:p w:rsidR="0049599D" w:rsidRPr="004F62DE" w:rsidRDefault="00F37C81" w:rsidP="0049599D">
      <w:pPr>
        <w:pStyle w:val="CoverReference"/>
      </w:pPr>
      <w:r w:rsidRPr="004F62DE">
        <w:rPr>
          <w:rStyle w:val="HideTWBExt"/>
          <w:b w:val="0"/>
          <w:noProof w:val="0"/>
        </w:rPr>
        <w:t>&lt;RefProc&gt;</w:t>
      </w:r>
      <w:r w:rsidRPr="004F62DE">
        <w:t>2022/0111</w:t>
      </w:r>
      <w:r w:rsidRPr="004F62DE">
        <w:rPr>
          <w:rStyle w:val="HideTWBExt"/>
          <w:b w:val="0"/>
          <w:noProof w:val="0"/>
        </w:rPr>
        <w:t>&lt;/RefProc&gt;&lt;RefTypeProc&gt;</w:t>
      </w:r>
      <w:r w:rsidRPr="004F62DE">
        <w:t>(COD)</w:t>
      </w:r>
      <w:r w:rsidRPr="004F62DE">
        <w:rPr>
          <w:rStyle w:val="HideTWBExt"/>
          <w:b w:val="0"/>
          <w:noProof w:val="0"/>
        </w:rPr>
        <w:t>&lt;/RefTypeProc&gt;</w:t>
      </w:r>
    </w:p>
    <w:p w:rsidR="0049599D" w:rsidRPr="004F62DE" w:rsidRDefault="00F37C81" w:rsidP="0049599D">
      <w:pPr>
        <w:pStyle w:val="CoverDate"/>
      </w:pPr>
      <w:r w:rsidRPr="004F62DE">
        <w:rPr>
          <w:rStyle w:val="HideTWBExt"/>
          <w:noProof w:val="0"/>
        </w:rPr>
        <w:t>&lt;Date&gt;</w:t>
      </w:r>
      <w:r w:rsidRPr="004F62DE">
        <w:rPr>
          <w:rStyle w:val="HideTWBInt"/>
          <w:color w:val="auto"/>
        </w:rPr>
        <w:t>{2</w:t>
      </w:r>
      <w:r w:rsidR="006E1E32" w:rsidRPr="004F62DE">
        <w:rPr>
          <w:rStyle w:val="HideTWBInt"/>
          <w:color w:val="auto"/>
        </w:rPr>
        <w:t>8/08</w:t>
      </w:r>
      <w:r w:rsidRPr="004F62DE">
        <w:rPr>
          <w:rStyle w:val="HideTWBInt"/>
          <w:color w:val="auto"/>
        </w:rPr>
        <w:t>/2023}</w:t>
      </w:r>
      <w:r w:rsidR="006E1E32" w:rsidRPr="004F62DE">
        <w:t>28.8</w:t>
      </w:r>
      <w:r w:rsidRPr="004F62DE">
        <w:t>.2023</w:t>
      </w:r>
      <w:r w:rsidRPr="004F62DE">
        <w:rPr>
          <w:rStyle w:val="HideTWBExt"/>
          <w:noProof w:val="0"/>
        </w:rPr>
        <w:t>&lt;/Date&gt;</w:t>
      </w:r>
    </w:p>
    <w:p w:rsidR="0049599D" w:rsidRPr="004F62DE" w:rsidRDefault="00F37C81" w:rsidP="0049599D">
      <w:pPr>
        <w:pStyle w:val="CoverDocType"/>
      </w:pPr>
      <w:r w:rsidRPr="004F62DE">
        <w:rPr>
          <w:rStyle w:val="HideTWBExt"/>
          <w:b w:val="0"/>
          <w:noProof w:val="0"/>
        </w:rPr>
        <w:t>&lt;RefProcLect&gt;</w:t>
      </w:r>
      <w:r w:rsidRPr="004F62DE">
        <w:t>***I</w:t>
      </w:r>
      <w:r w:rsidRPr="004F62DE">
        <w:rPr>
          <w:rStyle w:val="HideTWBExt"/>
          <w:b w:val="0"/>
          <w:noProof w:val="0"/>
        </w:rPr>
        <w:t>&lt;/RefProcLect&gt;</w:t>
      </w:r>
    </w:p>
    <w:p w:rsidR="0049599D" w:rsidRPr="004F62DE" w:rsidRDefault="00F37C81" w:rsidP="0049599D">
      <w:pPr>
        <w:pStyle w:val="CoverDocType24a"/>
      </w:pPr>
      <w:r w:rsidRPr="004F62DE">
        <w:rPr>
          <w:rStyle w:val="HideTWBExt"/>
          <w:b w:val="0"/>
          <w:noProof w:val="0"/>
        </w:rPr>
        <w:t>&lt;TitreType&gt;</w:t>
      </w:r>
      <w:r w:rsidRPr="004F62DE">
        <w:t>UDKAST TIL BETÆNKNING</w:t>
      </w:r>
      <w:r w:rsidRPr="004F62DE">
        <w:rPr>
          <w:rStyle w:val="HideTWBExt"/>
          <w:b w:val="0"/>
          <w:noProof w:val="0"/>
        </w:rPr>
        <w:t>&lt;/TitreType&gt;</w:t>
      </w:r>
    </w:p>
    <w:p w:rsidR="0049599D" w:rsidRPr="004F62DE" w:rsidRDefault="00F37C81" w:rsidP="0049599D">
      <w:pPr>
        <w:pStyle w:val="CoverNormal"/>
      </w:pPr>
      <w:r w:rsidRPr="004F62DE">
        <w:rPr>
          <w:rStyle w:val="HideTWBExt"/>
          <w:noProof w:val="0"/>
        </w:rPr>
        <w:t>&lt;Titre&gt;</w:t>
      </w:r>
      <w:r w:rsidRPr="004F62DE">
        <w:t>om forslag til Europa-Parlamentets og Rådets forordning om ændring af forordning (EU) 2017/2107 om fastsættelse af de forvaltnings-, bevarelses- og kontrolforanstaltninger, der skal anvendes i konventionsområdet for Den Internationale Kommission for Bevarelse af Tunfiskebestanden i Atlanterhavet (ICCAT) og forordning (EU) ../2022 om indførelse af en flerårig forvaltningsplan for almindelig tun i det østlige Atlanterhav og Middelhavet</w:t>
      </w:r>
      <w:r w:rsidRPr="004F62DE">
        <w:rPr>
          <w:rStyle w:val="HideTWBExt"/>
          <w:noProof w:val="0"/>
        </w:rPr>
        <w:t>&lt;/Titre&gt;</w:t>
      </w:r>
    </w:p>
    <w:p w:rsidR="0049599D" w:rsidRPr="004F62DE" w:rsidRDefault="00F37C81" w:rsidP="0049599D">
      <w:pPr>
        <w:pStyle w:val="CoverNormal24a"/>
      </w:pPr>
      <w:r w:rsidRPr="004F62DE">
        <w:rPr>
          <w:rStyle w:val="HideTWBExt"/>
          <w:noProof w:val="0"/>
        </w:rPr>
        <w:t>&lt;DocRef&gt;</w:t>
      </w:r>
      <w:r w:rsidRPr="004F62DE">
        <w:t>(COM(2022)0171 – C9</w:t>
      </w:r>
      <w:r w:rsidRPr="004F62DE">
        <w:noBreakHyphen/>
        <w:t>0151/2022 – 2022/0111(COD))</w:t>
      </w:r>
      <w:r w:rsidRPr="004F62DE">
        <w:rPr>
          <w:rStyle w:val="HideTWBExt"/>
          <w:noProof w:val="0"/>
        </w:rPr>
        <w:t>&lt;/DocRef&gt;</w:t>
      </w:r>
    </w:p>
    <w:p w:rsidR="0049599D" w:rsidRPr="004F62DE" w:rsidRDefault="00F37C81" w:rsidP="0049599D">
      <w:pPr>
        <w:pStyle w:val="CoverNormal24a"/>
      </w:pPr>
      <w:r w:rsidRPr="004F62DE">
        <w:rPr>
          <w:rStyle w:val="HideTWBExt"/>
          <w:noProof w:val="0"/>
        </w:rPr>
        <w:t>&lt;Commission&gt;</w:t>
      </w:r>
      <w:r w:rsidRPr="004F62DE">
        <w:rPr>
          <w:rStyle w:val="HideTWBInt"/>
          <w:color w:val="auto"/>
        </w:rPr>
        <w:t>{PECH}</w:t>
      </w:r>
      <w:r w:rsidRPr="004F62DE">
        <w:t>Fiskeriudvalget</w:t>
      </w:r>
      <w:r w:rsidRPr="004F62DE">
        <w:rPr>
          <w:rStyle w:val="HideTWBExt"/>
          <w:noProof w:val="0"/>
        </w:rPr>
        <w:t>&lt;/Commission&gt;</w:t>
      </w:r>
    </w:p>
    <w:p w:rsidR="0049599D" w:rsidRPr="004F62DE" w:rsidRDefault="00F37C81" w:rsidP="0049599D">
      <w:pPr>
        <w:pStyle w:val="CoverNormal24a"/>
      </w:pPr>
      <w:r w:rsidRPr="004F62DE">
        <w:t xml:space="preserve">Ordfører: </w:t>
      </w:r>
      <w:r w:rsidRPr="004F62DE">
        <w:rPr>
          <w:rStyle w:val="HideTWBExt"/>
          <w:noProof w:val="0"/>
        </w:rPr>
        <w:t>&lt;Depute&gt;</w:t>
      </w:r>
      <w:r w:rsidRPr="004F62DE">
        <w:t>Clara Aguilera</w:t>
      </w:r>
      <w:r w:rsidRPr="004F62DE">
        <w:rPr>
          <w:rStyle w:val="HideTWBExt"/>
          <w:noProof w:val="0"/>
        </w:rPr>
        <w:t>&lt;/Depute&gt;</w:t>
      </w:r>
    </w:p>
    <w:p w:rsidR="0049599D" w:rsidRPr="004F62DE" w:rsidRDefault="0049599D" w:rsidP="0049599D">
      <w:pPr>
        <w:pStyle w:val="CoverNormal"/>
      </w:pPr>
    </w:p>
    <w:p w:rsidR="0049599D" w:rsidRPr="004F62DE" w:rsidRDefault="00F37C81" w:rsidP="0049599D">
      <w:r w:rsidRPr="004F62DE">
        <w:br w:type="page"/>
      </w:r>
      <w:r w:rsidR="004F62DE" w:rsidRPr="004F62DE">
        <w:lastRenderedPageBreak/>
        <w:fldChar w:fldCharType="begin"/>
      </w:r>
      <w:r w:rsidR="004F62DE" w:rsidRPr="004F62DE">
        <w:instrText xml:space="preserve"> TITLE  \* MERGEFORMAT </w:instrText>
      </w:r>
      <w:r w:rsidR="004F62DE" w:rsidRPr="004F62DE">
        <w:fldChar w:fldCharType="separate"/>
      </w:r>
      <w:r w:rsidR="004F62DE">
        <w:t>PR_COD_1amCom</w:t>
      </w:r>
      <w:r w:rsidR="004F62DE" w:rsidRPr="004F62DE">
        <w:fldChar w:fldCharType="end"/>
      </w:r>
    </w:p>
    <w:p w:rsidR="0049599D" w:rsidRPr="004F62DE" w:rsidRDefault="0049599D" w:rsidP="0049599D"/>
    <w:p w:rsidR="0049599D" w:rsidRPr="004F62DE" w:rsidRDefault="0049599D" w:rsidP="0049599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81BC4" w:rsidRPr="004F62DE" w:rsidTr="004B110E">
        <w:tc>
          <w:tcPr>
            <w:tcW w:w="5811" w:type="dxa"/>
          </w:tcPr>
          <w:p w:rsidR="0049599D" w:rsidRPr="004F62DE" w:rsidRDefault="00F37C81" w:rsidP="004B110E">
            <w:pPr>
              <w:pStyle w:val="Lgendetitre"/>
            </w:pPr>
            <w:r w:rsidRPr="004F62DE">
              <w:t>Tegnforklaring</w:t>
            </w:r>
          </w:p>
        </w:tc>
      </w:tr>
      <w:tr w:rsidR="00781BC4" w:rsidRPr="004F62DE" w:rsidTr="004B110E">
        <w:trPr>
          <w:cantSplit/>
          <w:trHeight w:val="1807"/>
        </w:trPr>
        <w:tc>
          <w:tcPr>
            <w:tcW w:w="5811" w:type="dxa"/>
            <w:tcBorders>
              <w:bottom w:val="single" w:sz="4" w:space="0" w:color="auto"/>
            </w:tcBorders>
          </w:tcPr>
          <w:p w:rsidR="0049599D" w:rsidRPr="004F62DE" w:rsidRDefault="00F37C81" w:rsidP="004B110E">
            <w:pPr>
              <w:pStyle w:val="Lgendesigne"/>
            </w:pPr>
            <w:r w:rsidRPr="004F62DE">
              <w:tab/>
              <w:t>*</w:t>
            </w:r>
            <w:r w:rsidRPr="004F62DE">
              <w:tab/>
              <w:t>Høringsprocedure</w:t>
            </w:r>
          </w:p>
          <w:p w:rsidR="0049599D" w:rsidRPr="004F62DE" w:rsidRDefault="00F37C81" w:rsidP="004B110E">
            <w:pPr>
              <w:pStyle w:val="Lgendesigne"/>
            </w:pPr>
            <w:r w:rsidRPr="004F62DE">
              <w:tab/>
              <w:t>***</w:t>
            </w:r>
            <w:r w:rsidRPr="004F62DE">
              <w:tab/>
              <w:t>Godkendelsesprocedure</w:t>
            </w:r>
          </w:p>
          <w:p w:rsidR="0049599D" w:rsidRPr="004F62DE" w:rsidRDefault="00F37C81" w:rsidP="004B110E">
            <w:pPr>
              <w:pStyle w:val="Lgendesigne"/>
            </w:pPr>
            <w:r w:rsidRPr="004F62DE">
              <w:tab/>
              <w:t>***I</w:t>
            </w:r>
            <w:r w:rsidRPr="004F62DE">
              <w:tab/>
              <w:t>Almindelig lovgivningsprocedure (førstebehandling)</w:t>
            </w:r>
          </w:p>
          <w:p w:rsidR="0049599D" w:rsidRPr="004F62DE" w:rsidRDefault="00F37C81" w:rsidP="004B110E">
            <w:pPr>
              <w:pStyle w:val="Lgendesigne"/>
            </w:pPr>
            <w:r w:rsidRPr="004F62DE">
              <w:tab/>
              <w:t>***II</w:t>
            </w:r>
            <w:r w:rsidRPr="004F62DE">
              <w:tab/>
              <w:t>Almindelig lovgivningsprocedure (andenbehandling)</w:t>
            </w:r>
          </w:p>
          <w:p w:rsidR="0049599D" w:rsidRPr="004F62DE" w:rsidRDefault="00F37C81" w:rsidP="004B110E">
            <w:pPr>
              <w:pStyle w:val="Lgendesigne"/>
            </w:pPr>
            <w:r w:rsidRPr="004F62DE">
              <w:tab/>
              <w:t>***III</w:t>
            </w:r>
            <w:r w:rsidRPr="004F62DE">
              <w:tab/>
              <w:t>Almindelig lovgivningsprocedure (tredjebehandling)</w:t>
            </w:r>
          </w:p>
          <w:p w:rsidR="0049599D" w:rsidRPr="004F62DE" w:rsidRDefault="0049599D" w:rsidP="004B110E">
            <w:pPr>
              <w:pStyle w:val="Lgendestandard"/>
            </w:pPr>
          </w:p>
          <w:p w:rsidR="0049599D" w:rsidRPr="004F62DE" w:rsidRDefault="00F37C81" w:rsidP="004B110E">
            <w:pPr>
              <w:pStyle w:val="Lgendestandard"/>
            </w:pPr>
            <w:r w:rsidRPr="004F62DE">
              <w:t>(Proceduren afhænger af, hvilket retsgrundlag der er valgt i udkastet til retsakt)</w:t>
            </w:r>
          </w:p>
          <w:p w:rsidR="0049599D" w:rsidRPr="004F62DE" w:rsidRDefault="0049599D" w:rsidP="004B110E">
            <w:pPr>
              <w:pStyle w:val="Lgendestandard"/>
            </w:pPr>
          </w:p>
        </w:tc>
      </w:tr>
    </w:tbl>
    <w:p w:rsidR="0049599D" w:rsidRPr="004F62DE" w:rsidRDefault="0049599D" w:rsidP="0049599D"/>
    <w:p w:rsidR="0049599D" w:rsidRPr="004F62DE" w:rsidRDefault="0049599D" w:rsidP="0049599D"/>
    <w:p w:rsidR="0049599D" w:rsidRPr="004F62DE" w:rsidRDefault="0049599D" w:rsidP="0049599D"/>
    <w:p w:rsidR="0049599D" w:rsidRPr="004F62DE" w:rsidRDefault="0049599D" w:rsidP="0049599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81BC4" w:rsidRPr="004F62DE" w:rsidTr="004B110E">
        <w:tc>
          <w:tcPr>
            <w:tcW w:w="5811" w:type="dxa"/>
          </w:tcPr>
          <w:p w:rsidR="0049599D" w:rsidRPr="004F62DE" w:rsidRDefault="00F37C81" w:rsidP="004B110E">
            <w:pPr>
              <w:pStyle w:val="Lgendetitre"/>
            </w:pPr>
            <w:r w:rsidRPr="004F62DE">
              <w:t>Ændringsforslag til et udkast til retsakt</w:t>
            </w:r>
          </w:p>
        </w:tc>
      </w:tr>
      <w:tr w:rsidR="00781BC4" w:rsidRPr="004F62DE" w:rsidTr="004B110E">
        <w:trPr>
          <w:trHeight w:val="4496"/>
        </w:trPr>
        <w:tc>
          <w:tcPr>
            <w:tcW w:w="5811" w:type="dxa"/>
          </w:tcPr>
          <w:p w:rsidR="0049599D" w:rsidRPr="004F62DE" w:rsidRDefault="00F37C81" w:rsidP="004B110E">
            <w:pPr>
              <w:pStyle w:val="Lgendestandard"/>
              <w:rPr>
                <w:szCs w:val="24"/>
              </w:rPr>
            </w:pPr>
            <w:r w:rsidRPr="004F62DE">
              <w:rPr>
                <w:b/>
              </w:rPr>
              <w:t>Ændringsforslag fra Europa-Parlamentet opstillet i to kolonner</w:t>
            </w:r>
          </w:p>
          <w:p w:rsidR="0049599D" w:rsidRPr="004F62DE" w:rsidRDefault="0049599D" w:rsidP="004B110E">
            <w:pPr>
              <w:pStyle w:val="Lgendestandard"/>
              <w:rPr>
                <w:szCs w:val="24"/>
              </w:rPr>
            </w:pPr>
          </w:p>
          <w:p w:rsidR="0049599D" w:rsidRPr="004F62DE" w:rsidRDefault="00F37C81" w:rsidP="004B110E">
            <w:pPr>
              <w:pStyle w:val="Lgendestandard"/>
              <w:rPr>
                <w:szCs w:val="24"/>
              </w:rPr>
            </w:pPr>
            <w:r w:rsidRPr="004F62DE">
              <w:t xml:space="preserve">Tekst, der udgår, er markeret med </w:t>
            </w:r>
            <w:r w:rsidRPr="004F62DE">
              <w:rPr>
                <w:b/>
                <w:bCs/>
                <w:i/>
              </w:rPr>
              <w:t>fede typer og kursiv</w:t>
            </w:r>
            <w:r w:rsidRPr="004F62DE">
              <w:t xml:space="preserve"> i venstre kolonne. Tekst, der udskiftes, er markeret med </w:t>
            </w:r>
            <w:r w:rsidRPr="004F62DE">
              <w:rPr>
                <w:b/>
                <w:bCs/>
                <w:i/>
              </w:rPr>
              <w:t>fede typer og kursiv</w:t>
            </w:r>
            <w:r w:rsidRPr="004F62DE">
              <w:t xml:space="preserve"> i begge kolonner. Ny tekst er markeret med </w:t>
            </w:r>
            <w:r w:rsidRPr="004F62DE">
              <w:rPr>
                <w:b/>
                <w:bCs/>
                <w:i/>
              </w:rPr>
              <w:t>fede typer og kursiv</w:t>
            </w:r>
            <w:r w:rsidRPr="004F62DE">
              <w:t xml:space="preserve"> i højre kolonne.</w:t>
            </w:r>
          </w:p>
          <w:p w:rsidR="0049599D" w:rsidRPr="004F62DE" w:rsidRDefault="0049599D" w:rsidP="004B110E">
            <w:pPr>
              <w:pStyle w:val="Lgendestandard"/>
              <w:rPr>
                <w:szCs w:val="24"/>
              </w:rPr>
            </w:pPr>
          </w:p>
          <w:p w:rsidR="0049599D" w:rsidRPr="004F62DE" w:rsidRDefault="00F37C81" w:rsidP="004B110E">
            <w:pPr>
              <w:pStyle w:val="Lgendestandard"/>
              <w:rPr>
                <w:szCs w:val="24"/>
              </w:rPr>
            </w:pPr>
            <w:r w:rsidRPr="004F62DE">
              <w:t>Den første og 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rsidR="0049599D" w:rsidRPr="004F62DE" w:rsidRDefault="0049599D" w:rsidP="004B110E">
            <w:pPr>
              <w:pStyle w:val="Lgendestandard"/>
              <w:rPr>
                <w:szCs w:val="24"/>
              </w:rPr>
            </w:pPr>
          </w:p>
          <w:p w:rsidR="0049599D" w:rsidRPr="004F62DE" w:rsidRDefault="00F37C81" w:rsidP="004B110E">
            <w:pPr>
              <w:pStyle w:val="Lgendestandard"/>
              <w:rPr>
                <w:b/>
                <w:szCs w:val="24"/>
              </w:rPr>
            </w:pPr>
            <w:r w:rsidRPr="004F62DE">
              <w:rPr>
                <w:b/>
              </w:rPr>
              <w:t>Ændringsforslag fra Europa-Parlamentet i form af en konsolideret tekst</w:t>
            </w:r>
          </w:p>
          <w:p w:rsidR="0049599D" w:rsidRPr="004F62DE" w:rsidRDefault="0049599D" w:rsidP="004B110E">
            <w:pPr>
              <w:pStyle w:val="Lgendestandard"/>
              <w:rPr>
                <w:szCs w:val="24"/>
              </w:rPr>
            </w:pPr>
          </w:p>
          <w:p w:rsidR="0049599D" w:rsidRPr="004F62DE" w:rsidRDefault="00F37C81" w:rsidP="004B110E">
            <w:pPr>
              <w:pStyle w:val="Lgendestandard"/>
              <w:rPr>
                <w:szCs w:val="24"/>
              </w:rPr>
            </w:pPr>
            <w:r w:rsidRPr="004F62DE">
              <w:t xml:space="preserve">Ny tekst er markeret med </w:t>
            </w:r>
            <w:r w:rsidRPr="004F62DE">
              <w:rPr>
                <w:b/>
                <w:bCs/>
                <w:i/>
              </w:rPr>
              <w:t>fede typer og kursiv</w:t>
            </w:r>
            <w:r w:rsidRPr="004F62DE">
              <w:t xml:space="preserve">. Tekst, som er bortfaldet, markeres med symbolet ▌eller med overstregning. Ved udskiftninger markeres den nye tekst med </w:t>
            </w:r>
            <w:r w:rsidRPr="004F62DE">
              <w:rPr>
                <w:b/>
                <w:bCs/>
                <w:i/>
              </w:rPr>
              <w:t>fede typer og kursiv</w:t>
            </w:r>
            <w:r w:rsidRPr="004F62DE">
              <w:t xml:space="preserve">, og den udskiftede tekst slettes eller overstreges. </w:t>
            </w:r>
          </w:p>
          <w:p w:rsidR="0049599D" w:rsidRPr="004F62DE" w:rsidRDefault="00F37C81" w:rsidP="004B110E">
            <w:pPr>
              <w:pStyle w:val="Lgendestandard"/>
            </w:pPr>
            <w:r w:rsidRPr="004F62DE">
              <w:t>Som en undtagelse bliver rent tekniske justeringer, der er foretaget af de berørte tjenestegrene med henblik på udarbejdelsen af den endelige tekst, ikke markeret.</w:t>
            </w:r>
          </w:p>
          <w:p w:rsidR="0049599D" w:rsidRPr="004F62DE" w:rsidRDefault="0049599D" w:rsidP="004B110E">
            <w:pPr>
              <w:pStyle w:val="Lgendestandard"/>
            </w:pPr>
          </w:p>
        </w:tc>
      </w:tr>
    </w:tbl>
    <w:p w:rsidR="0049599D" w:rsidRPr="004F62DE" w:rsidRDefault="0049599D" w:rsidP="0049599D"/>
    <w:p w:rsidR="0049599D" w:rsidRPr="004F62DE" w:rsidRDefault="0049599D" w:rsidP="0049599D">
      <w:pPr>
        <w:widowControl/>
        <w:tabs>
          <w:tab w:val="center" w:pos="4677"/>
        </w:tabs>
      </w:pPr>
    </w:p>
    <w:p w:rsidR="0049599D" w:rsidRPr="004F62DE" w:rsidRDefault="00F37C81" w:rsidP="0049599D">
      <w:pPr>
        <w:pStyle w:val="TOCHeading"/>
      </w:pPr>
      <w:r w:rsidRPr="004F62DE">
        <w:br w:type="page"/>
        <w:t>INDHOLD</w:t>
      </w:r>
    </w:p>
    <w:p w:rsidR="0049599D" w:rsidRPr="004F62DE" w:rsidRDefault="00F37C81" w:rsidP="0049599D">
      <w:pPr>
        <w:pStyle w:val="TOCPage"/>
      </w:pPr>
      <w:r w:rsidRPr="004F62DE">
        <w:t>Side</w:t>
      </w:r>
    </w:p>
    <w:p w:rsidR="004F62DE" w:rsidRDefault="00F37C81">
      <w:pPr>
        <w:pStyle w:val="TOC1"/>
        <w:tabs>
          <w:tab w:val="right" w:leader="dot" w:pos="9060"/>
        </w:tabs>
        <w:rPr>
          <w:rFonts w:asciiTheme="minorHAnsi" w:eastAsiaTheme="minorEastAsia" w:hAnsiTheme="minorHAnsi" w:cstheme="minorBidi"/>
          <w:noProof/>
          <w:sz w:val="22"/>
          <w:szCs w:val="22"/>
          <w:lang w:val="en-GB"/>
        </w:rPr>
      </w:pPr>
      <w:r w:rsidRPr="004F62DE">
        <w:rPr>
          <w:b/>
        </w:rPr>
        <w:fldChar w:fldCharType="begin"/>
      </w:r>
      <w:r w:rsidRPr="004F62DE">
        <w:rPr>
          <w:b/>
        </w:rPr>
        <w:instrText xml:space="preserve"> TOC \t "PageHeading</w:instrText>
      </w:r>
      <w:r w:rsidR="004F62DE" w:rsidRPr="004F62DE">
        <w:rPr>
          <w:b/>
        </w:rPr>
        <w:instrText>;</w:instrText>
      </w:r>
      <w:r w:rsidRPr="004F62DE">
        <w:rPr>
          <w:b/>
        </w:rPr>
        <w:instrText xml:space="preserve">1" </w:instrText>
      </w:r>
      <w:r w:rsidRPr="004F62DE">
        <w:rPr>
          <w:b/>
        </w:rPr>
        <w:fldChar w:fldCharType="separate"/>
      </w:r>
      <w:r w:rsidR="004F62DE">
        <w:rPr>
          <w:noProof/>
        </w:rPr>
        <w:t>FORSLAG TIL EUROPA-PARLAMENTETS LOVGIVNINGSMÆSSIGE BESLUTNING</w:t>
      </w:r>
      <w:r w:rsidR="004F62DE">
        <w:rPr>
          <w:noProof/>
        </w:rPr>
        <w:tab/>
      </w:r>
      <w:r w:rsidR="004F62DE">
        <w:rPr>
          <w:noProof/>
        </w:rPr>
        <w:fldChar w:fldCharType="begin"/>
      </w:r>
      <w:r w:rsidR="004F62DE">
        <w:rPr>
          <w:noProof/>
        </w:rPr>
        <w:instrText xml:space="preserve"> PAGEREF _Toc144908666 \h </w:instrText>
      </w:r>
      <w:r w:rsidR="004F62DE">
        <w:rPr>
          <w:noProof/>
        </w:rPr>
      </w:r>
      <w:r w:rsidR="004F62DE">
        <w:rPr>
          <w:noProof/>
        </w:rPr>
        <w:fldChar w:fldCharType="separate"/>
      </w:r>
      <w:r w:rsidR="004F62DE">
        <w:rPr>
          <w:noProof/>
        </w:rPr>
        <w:t>5</w:t>
      </w:r>
      <w:r w:rsidR="004F62DE">
        <w:rPr>
          <w:noProof/>
        </w:rPr>
        <w:fldChar w:fldCharType="end"/>
      </w:r>
    </w:p>
    <w:p w:rsidR="004F62DE" w:rsidRDefault="004F62DE">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_Toc144908667 \h </w:instrText>
      </w:r>
      <w:r>
        <w:rPr>
          <w:noProof/>
        </w:rPr>
      </w:r>
      <w:r>
        <w:rPr>
          <w:noProof/>
        </w:rPr>
        <w:fldChar w:fldCharType="separate"/>
      </w:r>
      <w:r>
        <w:rPr>
          <w:noProof/>
        </w:rPr>
        <w:t>105</w:t>
      </w:r>
      <w:r>
        <w:rPr>
          <w:noProof/>
        </w:rPr>
        <w:fldChar w:fldCharType="end"/>
      </w:r>
    </w:p>
    <w:p w:rsidR="0049599D" w:rsidRPr="004F62DE" w:rsidRDefault="00F37C81" w:rsidP="0049599D">
      <w:r w:rsidRPr="004F62DE">
        <w:rPr>
          <w:b/>
        </w:rPr>
        <w:fldChar w:fldCharType="end"/>
      </w:r>
    </w:p>
    <w:p w:rsidR="0049599D" w:rsidRPr="004F62DE" w:rsidRDefault="00F37C81" w:rsidP="0049599D">
      <w:pPr>
        <w:pStyle w:val="PageHeading"/>
      </w:pPr>
      <w:r w:rsidRPr="004F62DE">
        <w:br w:type="page"/>
      </w:r>
      <w:r w:rsidRPr="004F62DE">
        <w:br w:type="page"/>
      </w:r>
      <w:bookmarkStart w:id="0" w:name="_Toc144908666"/>
      <w:r w:rsidRPr="004F62DE">
        <w:t>FORSLAG TIL EUROPA-PARLAMENTETS LOVGIVNINGSMÆSSIGE BESLUTNING</w:t>
      </w:r>
      <w:bookmarkEnd w:id="0"/>
    </w:p>
    <w:p w:rsidR="0049599D" w:rsidRPr="004F62DE" w:rsidRDefault="00F37C81" w:rsidP="0049599D">
      <w:pPr>
        <w:pStyle w:val="NormalBold"/>
      </w:pPr>
      <w:r w:rsidRPr="004F62DE">
        <w:t>om forslag til Europa-Parlamentets og Rådets forordning om ændring af forordning (EU) 2017/2107 om fastsættelse af de forvaltnings-, bevarelses- og kontrolforanstaltninger, der skal anvendes i konventionsområdet for Den Internationale Kommission for Bevarelse af Tunfiskebestanden i Atlanterhavet (ICCAT) og forordning (EU) ../2022 om indførelse af en flerårig forvaltningsplan for almindelig tun i det østlige Atlanterhav og Middelhavet</w:t>
      </w:r>
    </w:p>
    <w:p w:rsidR="0049599D" w:rsidRPr="004F62DE" w:rsidRDefault="00F37C81" w:rsidP="0049599D">
      <w:pPr>
        <w:pStyle w:val="NormalBold12a"/>
      </w:pPr>
      <w:r w:rsidRPr="004F62DE">
        <w:t>(COM(2022)0171 – C9</w:t>
      </w:r>
      <w:r w:rsidRPr="004F62DE">
        <w:noBreakHyphen/>
        <w:t>0151/2022 – 2022/0111(COD))</w:t>
      </w:r>
    </w:p>
    <w:p w:rsidR="0049599D" w:rsidRPr="004F62DE" w:rsidRDefault="00F37C81" w:rsidP="0049599D">
      <w:pPr>
        <w:pStyle w:val="NormalBold"/>
      </w:pPr>
      <w:r w:rsidRPr="004F62DE">
        <w:t>(Almindelig lovgivningsprocedure: førstebehandling)</w:t>
      </w:r>
    </w:p>
    <w:p w:rsidR="0049599D" w:rsidRPr="004F62DE" w:rsidRDefault="00F37C81" w:rsidP="0049599D">
      <w:pPr>
        <w:pStyle w:val="EPComma"/>
      </w:pPr>
      <w:r w:rsidRPr="004F62DE">
        <w:rPr>
          <w:i/>
        </w:rPr>
        <w:t>Europa-Parlamentet</w:t>
      </w:r>
      <w:r w:rsidRPr="004F62DE">
        <w:t>,</w:t>
      </w:r>
    </w:p>
    <w:p w:rsidR="0049599D" w:rsidRPr="004F62DE" w:rsidRDefault="00F37C81" w:rsidP="0049599D">
      <w:pPr>
        <w:pStyle w:val="NormalHanging12a"/>
      </w:pPr>
      <w:r w:rsidRPr="004F62DE">
        <w:t>–</w:t>
      </w:r>
      <w:r w:rsidRPr="004F62DE">
        <w:tab/>
        <w:t>der henviser til Kommissionens forslag til Europa-Parlamentet og Rådet (COM(2022)0171),</w:t>
      </w:r>
    </w:p>
    <w:p w:rsidR="0049599D" w:rsidRPr="004F62DE" w:rsidRDefault="00F37C81" w:rsidP="0049599D">
      <w:pPr>
        <w:pStyle w:val="NormalHanging12a"/>
      </w:pPr>
      <w:r w:rsidRPr="004F62DE">
        <w:t>–</w:t>
      </w:r>
      <w:r w:rsidRPr="004F62DE">
        <w:tab/>
        <w:t>der henviser til artikel 294, stk. 2, og artikel 43, stk. 2 i traktaten om Den Europæiske Unions funktionsmåde, på grundlag af hvilke Kommissionen har forelagt forslaget for Europa-Parlamentet (C9</w:t>
      </w:r>
      <w:r w:rsidRPr="004F62DE">
        <w:noBreakHyphen/>
        <w:t>0151/2022),</w:t>
      </w:r>
    </w:p>
    <w:p w:rsidR="0049599D" w:rsidRPr="004F62DE" w:rsidRDefault="00F37C81" w:rsidP="0049599D">
      <w:pPr>
        <w:pStyle w:val="NormalHanging12a"/>
      </w:pPr>
      <w:r w:rsidRPr="004F62DE">
        <w:t>–</w:t>
      </w:r>
      <w:r w:rsidRPr="004F62DE">
        <w:tab/>
        <w:t>der henviser til artikel 294, stk. 3, i traktaten om Den Europæiske Unions funktionsmåde,</w:t>
      </w:r>
    </w:p>
    <w:p w:rsidR="0049599D" w:rsidRPr="004F62DE" w:rsidRDefault="00F37C81" w:rsidP="0049599D">
      <w:pPr>
        <w:pStyle w:val="NormalHanging12a"/>
      </w:pPr>
      <w:r w:rsidRPr="004F62DE">
        <w:t>–</w:t>
      </w:r>
      <w:r w:rsidRPr="004F62DE">
        <w:tab/>
        <w:t>der henviser til udtalelse fra Det Europæiske Økonomiske og Sociale Udvalg</w:t>
      </w:r>
      <w:r w:rsidRPr="004F62DE">
        <w:rPr>
          <w:rStyle w:val="FootnoteReference"/>
        </w:rPr>
        <w:footnoteReference w:id="1"/>
      </w:r>
      <w:r w:rsidRPr="004F62DE">
        <w:t>,</w:t>
      </w:r>
    </w:p>
    <w:p w:rsidR="0049599D" w:rsidRPr="004F62DE" w:rsidRDefault="00F37C81" w:rsidP="0049599D">
      <w:pPr>
        <w:pStyle w:val="NormalHanging12a"/>
      </w:pPr>
      <w:r w:rsidRPr="004F62DE">
        <w:t>–</w:t>
      </w:r>
      <w:r w:rsidRPr="004F62DE">
        <w:tab/>
        <w:t>der henviser til forretningsordenens artikel 59,</w:t>
      </w:r>
    </w:p>
    <w:p w:rsidR="0049599D" w:rsidRPr="004F62DE" w:rsidRDefault="00F37C81" w:rsidP="0049599D">
      <w:pPr>
        <w:pStyle w:val="NormalHanging12a"/>
      </w:pPr>
      <w:r w:rsidRPr="004F62DE">
        <w:t>–</w:t>
      </w:r>
      <w:r w:rsidRPr="004F62DE">
        <w:tab/>
        <w:t>der henviser til betænkning fra Fiskeriudvalget (A9</w:t>
      </w:r>
      <w:r w:rsidRPr="004F62DE">
        <w:noBreakHyphen/>
        <w:t>0000/2023),</w:t>
      </w:r>
    </w:p>
    <w:p w:rsidR="0049599D" w:rsidRPr="004F62DE" w:rsidRDefault="00F37C81" w:rsidP="0049599D">
      <w:pPr>
        <w:pStyle w:val="NormalHanging12a"/>
      </w:pPr>
      <w:r w:rsidRPr="004F62DE">
        <w:t>1.</w:t>
      </w:r>
      <w:r w:rsidRPr="004F62DE">
        <w:tab/>
        <w:t>vedtager nedenstående holdning ved førstebehandling;</w:t>
      </w:r>
    </w:p>
    <w:p w:rsidR="0049599D" w:rsidRPr="004F62DE" w:rsidRDefault="00F37C81" w:rsidP="0049599D">
      <w:pPr>
        <w:pStyle w:val="NormalHanging12a"/>
      </w:pPr>
      <w:r w:rsidRPr="004F62DE">
        <w:t>2.</w:t>
      </w:r>
      <w:r w:rsidRPr="004F62DE">
        <w:tab/>
        <w:t>anmoder om fornyet forelæggelse, hvis Kommissionen erstatter, i væsentlig grad ændrer eller agter i væsentlig grad at ændre sit forslag;</w:t>
      </w:r>
    </w:p>
    <w:p w:rsidR="0049599D" w:rsidRPr="004F62DE" w:rsidRDefault="00F37C81" w:rsidP="0049599D">
      <w:pPr>
        <w:pStyle w:val="NormalHanging12a"/>
      </w:pPr>
      <w:r w:rsidRPr="004F62DE">
        <w:t>3.</w:t>
      </w:r>
      <w:r w:rsidRPr="004F62DE">
        <w:tab/>
        <w:t>pålægger sin formand at sende Europa-Parlamentets holdning til Rådet og Kommissionen samt til de nationale parlamenter.</w:t>
      </w:r>
    </w:p>
    <w:p w:rsidR="0049599D" w:rsidRPr="004F62DE" w:rsidRDefault="00F37C81">
      <w:pPr>
        <w:widowControl/>
      </w:pPr>
      <w:r w:rsidRPr="004F62DE">
        <w:br w:type="page"/>
      </w:r>
    </w:p>
    <w:p w:rsidR="0049599D" w:rsidRPr="004F62DE" w:rsidRDefault="0049599D" w:rsidP="0049599D"/>
    <w:p w:rsidR="0049599D" w:rsidRPr="004F62DE" w:rsidRDefault="00F37C81" w:rsidP="0049599D">
      <w:pPr>
        <w:pStyle w:val="AMNumberTabs0"/>
        <w:keepNext/>
      </w:pPr>
      <w:r w:rsidRPr="004F62DE">
        <w:rPr>
          <w:rStyle w:val="HideTWBExt"/>
          <w:b w:val="0"/>
          <w:noProof w:val="0"/>
        </w:rPr>
        <w:t>&lt;RepeatBlock-Amend&gt;&lt;Amend&gt;</w:t>
      </w:r>
      <w:r w:rsidRPr="004F62DE">
        <w:t>Ændringsforslag</w:t>
      </w:r>
      <w:r w:rsidRPr="004F62DE">
        <w:tab/>
      </w:r>
      <w:r w:rsidRPr="004F62DE">
        <w:tab/>
      </w:r>
      <w:r w:rsidRPr="004F62DE">
        <w:rPr>
          <w:rStyle w:val="HideTWBExt"/>
          <w:b w:val="0"/>
          <w:noProof w:val="0"/>
        </w:rPr>
        <w:t>&lt;NumAm&gt;</w:t>
      </w:r>
      <w:r w:rsidRPr="004F62DE">
        <w:t>1</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Betragtning 1</w:t>
      </w:r>
      <w:r w:rsidRPr="004F62D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(1)</w:t>
            </w:r>
            <w:r w:rsidRPr="004F62DE">
              <w:tab/>
              <w:t>Siden vedtagelsen af Europa-Parlamentets og Rådets forordning (EU) 2017/2107</w:t>
            </w:r>
            <w:r w:rsidRPr="004F62DE">
              <w:rPr>
                <w:vertAlign w:val="superscript"/>
              </w:rPr>
              <w:t>2</w:t>
            </w:r>
            <w:r w:rsidRPr="004F62DE">
              <w:t xml:space="preserve"> har Den Internationale Kommission for Bevarelse af Tunfiskebestanden i Atlanterhavet (ICCAT) på sine årsmøder i 2017, 2018, 2019 </w:t>
            </w:r>
            <w:r w:rsidRPr="004F62DE">
              <w:rPr>
                <w:b/>
                <w:i/>
              </w:rPr>
              <w:t xml:space="preserve">og </w:t>
            </w:r>
            <w:r w:rsidRPr="004F62DE">
              <w:t xml:space="preserve">2021 vedtaget en række juridisk bindende foranstaltninger til bevarelse af fiskeressourcer under sit kompetenceområde. </w:t>
            </w:r>
            <w:r w:rsidRPr="004F62DE">
              <w:rPr>
                <w:b/>
                <w:i/>
              </w:rPr>
              <w:t>Desuden har EU endnu ikke gennemført juridisk bindende foranstaltninger, som blev vedtaget på ICCAT's årsmøde i 2006 vedrørende opdræt af almindelig tun.</w:t>
            </w:r>
          </w:p>
        </w:tc>
        <w:tc>
          <w:tcPr>
            <w:tcW w:w="4876" w:type="dxa"/>
          </w:tcPr>
          <w:p w:rsidR="0049599D" w:rsidRPr="004F62DE" w:rsidRDefault="00F37C81" w:rsidP="004B110E">
            <w:pPr>
              <w:pStyle w:val="Normal6"/>
              <w:rPr>
                <w:szCs w:val="24"/>
              </w:rPr>
            </w:pPr>
            <w:r w:rsidRPr="004F62DE">
              <w:t>(1)</w:t>
            </w:r>
            <w:r w:rsidRPr="004F62DE">
              <w:tab/>
              <w:t>Siden vedtagelsen af Europa-Parlamentets og Rådets forordning (EU) 2017/2107</w:t>
            </w:r>
            <w:r w:rsidRPr="004F62DE">
              <w:rPr>
                <w:vertAlign w:val="superscript"/>
              </w:rPr>
              <w:t>2</w:t>
            </w:r>
            <w:r w:rsidRPr="004F62DE">
              <w:t xml:space="preserve"> har Den Internationale Kommission for Bevarelse af Tunfiskebestanden i Atlanterhavet (ICCAT) på sine årsmøder i 2017, 2018, 2019</w:t>
            </w:r>
            <w:r w:rsidRPr="004F62DE">
              <w:rPr>
                <w:b/>
                <w:i/>
              </w:rPr>
              <w:t xml:space="preserve">, </w:t>
            </w:r>
            <w:r w:rsidRPr="004F62DE">
              <w:t xml:space="preserve">2021 </w:t>
            </w:r>
            <w:r w:rsidRPr="004F62DE">
              <w:rPr>
                <w:b/>
                <w:i/>
              </w:rPr>
              <w:t xml:space="preserve">og 2022 </w:t>
            </w:r>
            <w:r w:rsidRPr="004F62DE">
              <w:t>vedtaget en række juridisk bindende foranstaltninger til bevarelse af fiskeressourcer under sit kompetenceområde.</w:t>
            </w:r>
          </w:p>
        </w:tc>
      </w:tr>
      <w:tr w:rsidR="00781BC4" w:rsidRPr="004F62DE" w:rsidTr="004B110E">
        <w:trPr>
          <w:jc w:val="center"/>
        </w:trPr>
        <w:tc>
          <w:tcPr>
            <w:tcW w:w="4876" w:type="dxa"/>
          </w:tcPr>
          <w:p w:rsidR="0049599D" w:rsidRPr="004F62DE" w:rsidRDefault="00F37C81" w:rsidP="004B110E">
            <w:pPr>
              <w:pStyle w:val="Normal6"/>
            </w:pPr>
            <w:r w:rsidRPr="004F62DE">
              <w:t>__________________</w:t>
            </w:r>
          </w:p>
        </w:tc>
        <w:tc>
          <w:tcPr>
            <w:tcW w:w="4876" w:type="dxa"/>
          </w:tcPr>
          <w:p w:rsidR="0049599D" w:rsidRPr="004F62DE" w:rsidRDefault="00F37C81" w:rsidP="004B110E">
            <w:pPr>
              <w:pStyle w:val="Normal6"/>
              <w:rPr>
                <w:szCs w:val="24"/>
              </w:rPr>
            </w:pPr>
            <w:r w:rsidRPr="004F62DE">
              <w:t>__________________</w:t>
            </w:r>
          </w:p>
        </w:tc>
      </w:tr>
      <w:tr w:rsidR="00781BC4" w:rsidRPr="004F62DE" w:rsidTr="004B110E">
        <w:trPr>
          <w:jc w:val="center"/>
        </w:trPr>
        <w:tc>
          <w:tcPr>
            <w:tcW w:w="4876" w:type="dxa"/>
          </w:tcPr>
          <w:p w:rsidR="0049599D" w:rsidRPr="004F62DE" w:rsidRDefault="00F37C81" w:rsidP="004B110E">
            <w:pPr>
              <w:pStyle w:val="Normal6"/>
            </w:pPr>
            <w:r w:rsidRPr="004F62DE">
              <w:rPr>
                <w:vertAlign w:val="superscript"/>
              </w:rPr>
              <w:t>2</w:t>
            </w:r>
            <w:r w:rsidRPr="004F62DE">
              <w:t xml:space="preserve"> Europa-Parlamentets og Rådets forordning (EU) 2017/2107 af 15. november 2017 om fastsættelse af de forvaltnings-, bevarelses- og kontrolforanstaltninger, der skal anvendes i konventionsområdet for Den Internationale Kommission for Bevarelse af Tunfiskebestanden i Atlanterhavet (ICCAT), og om ændring af Rådets forordning (EF) nr. 1936/2001, (EF) nr. 1984/2003 og (EF) nr. 520/2007 (EUT L 315 af 30.11.2017, s. 1).</w:t>
            </w:r>
          </w:p>
        </w:tc>
        <w:tc>
          <w:tcPr>
            <w:tcW w:w="4876" w:type="dxa"/>
          </w:tcPr>
          <w:p w:rsidR="0049599D" w:rsidRPr="004F62DE" w:rsidRDefault="00F37C81" w:rsidP="004B110E">
            <w:pPr>
              <w:pStyle w:val="Normal6"/>
              <w:rPr>
                <w:szCs w:val="24"/>
              </w:rPr>
            </w:pPr>
            <w:r w:rsidRPr="004F62DE">
              <w:rPr>
                <w:vertAlign w:val="superscript"/>
              </w:rPr>
              <w:t>2</w:t>
            </w:r>
            <w:r w:rsidRPr="004F62DE">
              <w:t xml:space="preserve"> Europa-Parlamentets og Rådets forordning (EU) 2017/2107 af 15. november 2017 om fastsættelse af de forvaltnings-, bevarelses- og kontrolforanstaltninger, der skal anvendes i konventionsområdet for Den Internationale Kommission for Bevarelse af Tunfiskebestanden i Atlanterhavet (ICCAT), og om ændring af Rådets forordning (EF) nr. 1936/2001, (EF) nr. 1984/2003 og (EF) nr. 520/2007 (EUT L 315 af 30.11.2017, s. 1).</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Dette udkast til betænkning indeholder også et forslag til gennemførelse af ICCAT-henstillinger fra årsmøderne i 2021 og 2022.</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2</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Betragtning 2</w:t>
      </w:r>
      <w:r w:rsidRPr="004F62D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(2)</w:t>
            </w:r>
            <w:r w:rsidRPr="004F62DE">
              <w:tab/>
              <w:t xml:space="preserve">Forordning (EU) 2017/2107 bør derfor ændres med henblik på at gennemføre ICCAT-foranstaltninger for tropisk tun, </w:t>
            </w:r>
            <w:r w:rsidRPr="004F62DE">
              <w:rPr>
                <w:b/>
                <w:i/>
              </w:rPr>
              <w:t>nordlig</w:t>
            </w:r>
            <w:r w:rsidRPr="004F62DE">
              <w:t xml:space="preserve"> og </w:t>
            </w:r>
            <w:r w:rsidRPr="004F62DE">
              <w:rPr>
                <w:b/>
                <w:i/>
              </w:rPr>
              <w:t>sydlig</w:t>
            </w:r>
            <w:r w:rsidRPr="004F62DE">
              <w:t xml:space="preserve"> hvid tun, atlantisk sejlfisk, blå og hvid marlin, indberetning af data om sejlfiskarter, kortfinnet makohaj samt observationsprogrammer, videnskabelige observatørers ansvar og en ajourført liste over ICCAT-arter i EU-retten.</w:t>
            </w:r>
          </w:p>
        </w:tc>
        <w:tc>
          <w:tcPr>
            <w:tcW w:w="4876" w:type="dxa"/>
          </w:tcPr>
          <w:p w:rsidR="0049599D" w:rsidRPr="004F62DE" w:rsidRDefault="00F37C81" w:rsidP="004B110E">
            <w:pPr>
              <w:pStyle w:val="Normal6"/>
              <w:rPr>
                <w:szCs w:val="24"/>
              </w:rPr>
            </w:pPr>
            <w:r w:rsidRPr="004F62DE">
              <w:t>(2)</w:t>
            </w:r>
            <w:r w:rsidRPr="004F62DE">
              <w:tab/>
              <w:t xml:space="preserve">Forordning (EU) 2017/2107 bør derfor ændres med henblik på at gennemføre ICCAT-foranstaltninger for tropisk tun, </w:t>
            </w:r>
            <w:r w:rsidRPr="004F62DE">
              <w:rPr>
                <w:b/>
                <w:i/>
              </w:rPr>
              <w:t>hvid tun i Middelhavet, nordatlantisk</w:t>
            </w:r>
            <w:r w:rsidRPr="004F62DE">
              <w:t xml:space="preserve"> og </w:t>
            </w:r>
            <w:r w:rsidRPr="004F62DE">
              <w:rPr>
                <w:b/>
                <w:i/>
              </w:rPr>
              <w:t xml:space="preserve">sydatlantisk </w:t>
            </w:r>
            <w:r w:rsidRPr="004F62DE">
              <w:t xml:space="preserve">hvid tun, atlantisk sejlfisk, blå og hvid marlin, indberetning af data om sejlfiskarter, </w:t>
            </w:r>
            <w:r w:rsidRPr="004F62DE">
              <w:rPr>
                <w:b/>
                <w:i/>
              </w:rPr>
              <w:t xml:space="preserve">nordatlantisk og sydatlantisk </w:t>
            </w:r>
            <w:r w:rsidRPr="004F62DE">
              <w:t>kortfinnet makohaj</w:t>
            </w:r>
            <w:r w:rsidRPr="004F62DE">
              <w:rPr>
                <w:b/>
                <w:i/>
              </w:rPr>
              <w:t>, bifangst af skildpadder og bestemmelser vedrørende ulovligt, urapporteret og ureguleret fiskeri (IUU-fiskeri)</w:t>
            </w:r>
            <w:r w:rsidRPr="004F62DE">
              <w:t xml:space="preserve"> samt observationsprogrammer, </w:t>
            </w:r>
            <w:r w:rsidRPr="004F62DE">
              <w:rPr>
                <w:b/>
                <w:i/>
              </w:rPr>
              <w:t xml:space="preserve">der omfatter </w:t>
            </w:r>
            <w:r w:rsidRPr="004F62DE">
              <w:t>videnskabelige observatørers ansvar og en ajourført liste over ICCAT-arter i EU-retten.</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Der er medtaget nye bestemmelser om ICCAT-forordningen i dette udkast til betænkning med henblik på at ajourføre gennemførelsen med de seneste henstillinger, der er vedtaget i ICCAT.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3</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Betragtning 3</w:t>
      </w:r>
      <w:r w:rsidRPr="004F62D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(3)</w:t>
            </w:r>
            <w:r w:rsidRPr="004F62DE">
              <w:tab/>
              <w:t>Forordning (EU) XX/2022</w:t>
            </w:r>
            <w:r w:rsidRPr="004F62DE">
              <w:rPr>
                <w:vertAlign w:val="superscript"/>
              </w:rPr>
              <w:t>3</w:t>
            </w:r>
            <w:r w:rsidRPr="004F62DE">
              <w:t xml:space="preserve"> bør ændres med henblik på i EU-lovgivningen at gennemføre bestemmelser </w:t>
            </w:r>
            <w:r w:rsidRPr="004F62DE">
              <w:rPr>
                <w:b/>
                <w:i/>
              </w:rPr>
              <w:t>vedrørende akvakulturbrug-medlemsstaternes overførselserklæringer og visse forpligtelser vedrørende</w:t>
            </w:r>
            <w:r w:rsidRPr="004F62DE">
              <w:t xml:space="preserve"> anbringelse i bur.</w:t>
            </w:r>
          </w:p>
        </w:tc>
        <w:tc>
          <w:tcPr>
            <w:tcW w:w="4876" w:type="dxa"/>
          </w:tcPr>
          <w:p w:rsidR="0049599D" w:rsidRPr="004F62DE" w:rsidRDefault="00F37C81" w:rsidP="004B110E">
            <w:pPr>
              <w:pStyle w:val="Normal6"/>
              <w:rPr>
                <w:szCs w:val="24"/>
              </w:rPr>
            </w:pPr>
            <w:r w:rsidRPr="004F62DE">
              <w:t>(3)</w:t>
            </w:r>
            <w:r w:rsidRPr="004F62DE">
              <w:tab/>
              <w:t>Forordning (EU) XX/2022</w:t>
            </w:r>
            <w:r w:rsidRPr="004F62DE">
              <w:rPr>
                <w:vertAlign w:val="superscript"/>
              </w:rPr>
              <w:t xml:space="preserve"> 3</w:t>
            </w:r>
            <w:r w:rsidRPr="004F62DE">
              <w:t xml:space="preserve"> bør ændres med henblik på i EU-lovgivningen at gennemføre bestemmelser </w:t>
            </w:r>
            <w:r w:rsidRPr="004F62DE">
              <w:rPr>
                <w:b/>
                <w:i/>
              </w:rPr>
              <w:t xml:space="preserve">om forvaltning af almindelig tun vedrørende definitioner, kvoteoverførsler, opbevaringsforbud, sportsfiskeri og rekreativt fiskeri, registrering af akvakulturbrug, rapportering, overførselstilladelser, identifikatorer for anbringelse i bur, tilladelser til </w:t>
            </w:r>
            <w:r w:rsidRPr="004F62DE">
              <w:t>anbringelse i bur</w:t>
            </w:r>
            <w:r w:rsidRPr="004F62DE">
              <w:rPr>
                <w:b/>
                <w:i/>
              </w:rPr>
              <w:t>, anbringelse i bur og videoovervågning heraf, kontrol med anbringelse i bur og høstkontrolaktiviteter på akvakulturbrugene efter anbringelse i bur</w:t>
            </w:r>
            <w:r w:rsidRPr="004F62DE">
              <w:t>.</w:t>
            </w:r>
          </w:p>
        </w:tc>
      </w:tr>
      <w:tr w:rsidR="00781BC4" w:rsidRPr="004F62DE" w:rsidTr="004B110E">
        <w:trPr>
          <w:jc w:val="center"/>
        </w:trPr>
        <w:tc>
          <w:tcPr>
            <w:tcW w:w="4876" w:type="dxa"/>
          </w:tcPr>
          <w:p w:rsidR="0049599D" w:rsidRPr="004F62DE" w:rsidRDefault="00F37C81" w:rsidP="004B110E">
            <w:pPr>
              <w:pStyle w:val="Normal6"/>
            </w:pPr>
            <w:r w:rsidRPr="004F62DE">
              <w:t>__________________</w:t>
            </w:r>
          </w:p>
        </w:tc>
        <w:tc>
          <w:tcPr>
            <w:tcW w:w="4876" w:type="dxa"/>
          </w:tcPr>
          <w:p w:rsidR="0049599D" w:rsidRPr="004F62DE" w:rsidRDefault="00F37C81" w:rsidP="004B110E">
            <w:pPr>
              <w:pStyle w:val="Normal6"/>
              <w:rPr>
                <w:szCs w:val="24"/>
              </w:rPr>
            </w:pPr>
            <w:r w:rsidRPr="004F62DE">
              <w:t>__________________</w:t>
            </w:r>
          </w:p>
        </w:tc>
      </w:tr>
      <w:tr w:rsidR="00781BC4" w:rsidRPr="004F62DE" w:rsidTr="004B110E">
        <w:trPr>
          <w:jc w:val="center"/>
        </w:trPr>
        <w:tc>
          <w:tcPr>
            <w:tcW w:w="4876" w:type="dxa"/>
          </w:tcPr>
          <w:p w:rsidR="0049599D" w:rsidRPr="004F62DE" w:rsidRDefault="00F37C81" w:rsidP="004B110E">
            <w:pPr>
              <w:pStyle w:val="Normal6"/>
            </w:pPr>
            <w:r w:rsidRPr="004F62DE">
              <w:rPr>
                <w:vertAlign w:val="superscript"/>
              </w:rPr>
              <w:t>3</w:t>
            </w:r>
            <w:r w:rsidRPr="004F62DE">
              <w:t xml:space="preserve"> </w:t>
            </w:r>
            <w:r w:rsidRPr="004F62DE">
              <w:rPr>
                <w:b/>
                <w:i/>
              </w:rPr>
              <w:t xml:space="preserve">Forslag, som endnu ikke er vedtaget af medlovgiverne – COM (2019) 619 final </w:t>
            </w:r>
            <w:r w:rsidRPr="004F62DE">
              <w:t xml:space="preserve">af </w:t>
            </w:r>
            <w:r w:rsidRPr="004F62DE">
              <w:rPr>
                <w:b/>
                <w:i/>
              </w:rPr>
              <w:t>28. november 2019</w:t>
            </w:r>
            <w:r w:rsidRPr="004F62DE">
              <w:t>.</w:t>
            </w:r>
          </w:p>
        </w:tc>
        <w:tc>
          <w:tcPr>
            <w:tcW w:w="4876" w:type="dxa"/>
          </w:tcPr>
          <w:p w:rsidR="0049599D" w:rsidRPr="004F62DE" w:rsidRDefault="00F37C81" w:rsidP="004B110E">
            <w:pPr>
              <w:pStyle w:val="Normal6"/>
              <w:rPr>
                <w:szCs w:val="24"/>
              </w:rPr>
            </w:pPr>
            <w:r w:rsidRPr="004F62DE">
              <w:rPr>
                <w:vertAlign w:val="superscript"/>
              </w:rPr>
              <w:t>3</w:t>
            </w:r>
            <w:r w:rsidRPr="004F62DE">
              <w:t xml:space="preserve"> </w:t>
            </w:r>
            <w:r w:rsidRPr="004F62DE">
              <w:rPr>
                <w:b/>
                <w:i/>
              </w:rPr>
              <w:t xml:space="preserve">EUT C </w:t>
            </w:r>
            <w:r w:rsidRPr="004F62DE">
              <w:t xml:space="preserve">af </w:t>
            </w:r>
            <w:r w:rsidRPr="004F62DE">
              <w:rPr>
                <w:b/>
                <w:i/>
              </w:rPr>
              <w:t>[...], s. [...]</w:t>
            </w:r>
            <w:r w:rsidRPr="004F62DE">
              <w: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Der er medtaget nye bestemmelser om den flerårige forvaltningsplan for almindelig tun i dette udkast til betænkning med henblik på at ajourføre forordningen med de seneste henstillinger, der er vedtaget i ICCAT.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4</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Betragtning 4</w:t>
      </w:r>
      <w:r w:rsidRPr="004F62D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(4)</w:t>
            </w:r>
            <w:r w:rsidRPr="004F62DE">
              <w:tab/>
              <w:t xml:space="preserve">Visse bestemmelser i ICCAT-henstillingerne vil sandsynligvis blive ændret på ICCAT's kommende årsmøder på grund af indførelsen af nye tekniske foranstaltninger og forvaltningsforanstaltninger for de fiskerier, der er omfattet af ICCAT-konventionen. For hurtigt at kunne gennemføre kommende ændringer af ICCAT's henstillinger i EU-retten, før fangstsæsonen indledes, bør beføjelsen til at vedtage retsakter derfor delegeres til Kommissionen i overensstemmelse med artikel 290 i traktaten om Den Europæiske Unions funktionsmåde, for så vidt angår </w:t>
            </w:r>
            <w:r w:rsidRPr="004F62DE">
              <w:rPr>
                <w:b/>
                <w:i/>
              </w:rPr>
              <w:t>følgende aspekter: kapacitetsbegrænsninger for tropisk tun og rapporteringen om de årlige planer for fiskerikapacitet for arten, årlig overførsel for storøjet tun, nord- og sydatlantisk hvid tun og nord- og sydatlantisk sværdfisk, forvaltningsplaner for anordninger til tiltrækning af fisk (FAD'er), antal instrumentbøjer, krav vedrørende FAD'er oplysninger, som fartøjer skal indgive om FAD'er, perioder, hvor FAD'er er forbudt, begrænsning af antallet af fartøjer, der fisker efter nordatlantisk hvid tun, forvaltningsplan for nordatlantisk sværdfisk,</w:t>
            </w:r>
            <w:r w:rsidRPr="004F62DE">
              <w:t xml:space="preserve"> betingelser for tilladelse til at fange og beholde kortfinnet makohaj om bord,</w:t>
            </w:r>
            <w:r w:rsidRPr="004F62DE">
              <w:rPr>
                <w:b/>
                <w:i/>
              </w:rPr>
              <w:t xml:space="preserve"> krav, som har til formål at sikre, at havskildpadders overlevelseschancer øges mest muligt, mindste procentdel af fangstrejserne, der skal være omfattet af observatørdækning, og måling heraf samt ændring af listen over ICCAT-arter</w:t>
            </w:r>
            <w:r w:rsidRPr="004F62DE">
              <w:t>.</w:t>
            </w:r>
          </w:p>
        </w:tc>
        <w:tc>
          <w:tcPr>
            <w:tcW w:w="4876" w:type="dxa"/>
          </w:tcPr>
          <w:p w:rsidR="0049599D" w:rsidRPr="004F62DE" w:rsidRDefault="00F37C81" w:rsidP="005904E7">
            <w:pPr>
              <w:pStyle w:val="Normal6"/>
              <w:rPr>
                <w:szCs w:val="24"/>
              </w:rPr>
            </w:pPr>
            <w:r w:rsidRPr="004F62DE">
              <w:t>(4)</w:t>
            </w:r>
            <w:r w:rsidRPr="004F62DE">
              <w:tab/>
              <w:t>Visse bestemmelser i ICCAT-henstillingerne vil sandsynligvis blive ændret på ICCAT's kommende årsmøder på grund af indførelsen af nye tekniske foranstaltninger og forvaltningsforanstaltninger for de fiskerier, der er omfattet af ICCAT-konventionen. For hurtigt at kunne gennemføre kommende ændringer af ICCAT's henstillinger i EU-retten, før fangstsæsonen indledes, bør beføjelsen til at vedtage retsakter derfor delegeres til Kommissionen i overensstemmelse med artikel 290 i traktaten om Den Europæiske Unions funktionsmåde, for så vidt angår betingelser for tilladelse til at fange og beholde kortfinnet makohaj om bord,</w:t>
            </w:r>
            <w:r w:rsidRPr="004F62DE">
              <w:rPr>
                <w:b/>
                <w:i/>
              </w:rPr>
              <w:t xml:space="preserve"> samt for forvaltning af almindelig tun, rapporteringsfrister, fangstperioder, indholdet af overførselserklæringer og bestemmelser om pasning, undtagelser for udpegning af fangstområder, fiskerfartøjer og </w:t>
            </w:r>
            <w:r w:rsidRPr="004F62DE">
              <w:rPr>
                <w:b/>
                <w:i/>
              </w:rPr>
              <w:noBreakHyphen/>
              <w:t>redskaber og undtagelser for fiskeri efter almindelig tun til opdrætsformål, betingelser for tildeling af regionale observatører til akvakulturbrug og medlemsstaternes pligter og indholdet af den årlige rapport om anbringelse i bur</w:t>
            </w:r>
            <w:r w:rsidRPr="004F62DE">
              <w: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Opdatering med nye bestemmelser.</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5</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1 – litra b</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4 – stk. 1 – nr. 24</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24)</w:t>
            </w:r>
            <w:r w:rsidRPr="004F62DE">
              <w:tab/>
              <w:t>"anordning til tiltrækning af fisk" (FAD): en permanent, halvpermanent eller midlertidig genstand, konstruktion eller anordning fremstillet af et hvilket som helst menneskeskabt eller naturligt materiale, der udsættes og/eller spores og anvendes til at tiltrække fisk med henblik på efterfølgende fangst. FAD'er kan enten være forankrede (aFAD'er) eller drivende (dFAD'er)"</w:t>
            </w:r>
          </w:p>
        </w:tc>
        <w:tc>
          <w:tcPr>
            <w:tcW w:w="4876" w:type="dxa"/>
          </w:tcPr>
          <w:p w:rsidR="0049599D" w:rsidRPr="004F62DE" w:rsidRDefault="00F37C81" w:rsidP="004B110E">
            <w:pPr>
              <w:pStyle w:val="Normal6"/>
              <w:rPr>
                <w:szCs w:val="24"/>
              </w:rPr>
            </w:pPr>
            <w:r w:rsidRPr="004F62DE">
              <w:tab/>
            </w:r>
            <w:r w:rsidRPr="004F62DE">
              <w:rPr>
                <w:i/>
                <w:iCs/>
              </w:rPr>
              <w:t>(Vedrører ikke den danske tekst)</w:t>
            </w:r>
            <w:r w:rsidR="00AE68A5" w:rsidRPr="004F62DE">
              <w:t xml:space="preserve"> </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Sproglig ændring.</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6</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1 – litra d</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4 – stk. 1 – nr. 31</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31)</w:t>
            </w:r>
            <w:r w:rsidRPr="004F62DE">
              <w:tab/>
              <w:t>"31) "flydende genstand": enhver naturlig eller kunstig (i eller under vandoverfladen) flydende genstand, som ikke kan bevæge sig af sig selv"</w:t>
            </w:r>
          </w:p>
        </w:tc>
        <w:tc>
          <w:tcPr>
            <w:tcW w:w="4876" w:type="dxa"/>
          </w:tcPr>
          <w:p w:rsidR="0049599D" w:rsidRPr="004F62DE" w:rsidRDefault="00F37C81" w:rsidP="005904E7">
            <w:pPr>
              <w:pStyle w:val="Normal6"/>
              <w:rPr>
                <w:szCs w:val="24"/>
              </w:rPr>
            </w:pPr>
            <w:r w:rsidRPr="004F62DE">
              <w:t>31)</w:t>
            </w:r>
            <w:r w:rsidRPr="004F62DE">
              <w:tab/>
              <w:t>"31) "flydende genstand": enhver naturlig eller kunstig (i eller under vandoverfladen) flydende genstand, som ikke kan bevæge sig af sig selv"</w:t>
            </w:r>
            <w:r w:rsidRPr="004F62DE">
              <w:rPr>
                <w:b/>
                <w:i/>
              </w:rPr>
              <w:t>. FAD'er er flydende genstande, der er menneskeskabte og bevidst udsættes og/eller spores. Heltømmer er flydende genstande, der ved et uheld går tabt fra antropogene og naturlige kilder</w:t>
            </w:r>
            <w:r w:rsidRPr="004F62DE">
              <w: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21-01 omfatter ovenstående tekst, der er tilføjet i definitionen af flydende genstande.</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7</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1 – litra f a (nyt)</w:t>
      </w:r>
      <w:r w:rsidRPr="004F62DE">
        <w:rPr>
          <w:rStyle w:val="HideTWBExt"/>
          <w:b w:val="0"/>
          <w:noProof w:val="0"/>
        </w:rPr>
        <w:t>&lt;/Article&gt;</w:t>
      </w:r>
    </w:p>
    <w:p w:rsidR="00254B4E" w:rsidRPr="004F62DE" w:rsidRDefault="00F37C81" w:rsidP="00254B4E">
      <w:pPr>
        <w:keepNext/>
      </w:pPr>
      <w:r w:rsidRPr="004F62DE">
        <w:rPr>
          <w:rStyle w:val="HideTWBExt"/>
          <w:noProof w:val="0"/>
        </w:rPr>
        <w:t>&lt;DocAmend2&gt;</w:t>
      </w:r>
      <w:r w:rsidRPr="004F62DE">
        <w:t>Forordning (EU) 2017/2107</w:t>
      </w:r>
      <w:r w:rsidRPr="004F62DE">
        <w:rPr>
          <w:rStyle w:val="HideTWBExt"/>
          <w:noProof w:val="0"/>
        </w:rPr>
        <w:t>&lt;/DocAmend2&gt;</w:t>
      </w:r>
    </w:p>
    <w:p w:rsidR="00254B4E" w:rsidRPr="004F62DE" w:rsidRDefault="00F37C81" w:rsidP="00254B4E">
      <w:pPr>
        <w:keepNext/>
      </w:pPr>
      <w:r w:rsidRPr="004F62DE">
        <w:rPr>
          <w:rStyle w:val="HideTWBExt"/>
          <w:noProof w:val="0"/>
        </w:rPr>
        <w:t>&lt;Article2&gt;</w:t>
      </w:r>
      <w:r w:rsidRPr="004F62DE">
        <w:t>Artikel 4 – stk. 1 – nr. 34 (nyt)</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254B4E">
        <w:trPr>
          <w:jc w:val="center"/>
        </w:trPr>
        <w:tc>
          <w:tcPr>
            <w:tcW w:w="9752" w:type="dxa"/>
            <w:gridSpan w:val="2"/>
          </w:tcPr>
          <w:p w:rsidR="0049599D" w:rsidRPr="004F62DE" w:rsidRDefault="0049599D" w:rsidP="00254B4E">
            <w:pPr>
              <w:keepNext/>
            </w:pPr>
          </w:p>
        </w:tc>
      </w:tr>
      <w:tr w:rsidR="00781BC4" w:rsidRPr="004F62DE" w:rsidTr="00254B4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254B4E">
        <w:trPr>
          <w:jc w:val="center"/>
        </w:trPr>
        <w:tc>
          <w:tcPr>
            <w:tcW w:w="4876" w:type="dxa"/>
          </w:tcPr>
          <w:p w:rsidR="0049599D" w:rsidRPr="004F62DE" w:rsidRDefault="0049599D" w:rsidP="004B110E">
            <w:pPr>
              <w:pStyle w:val="Normal6"/>
            </w:pPr>
          </w:p>
        </w:tc>
        <w:tc>
          <w:tcPr>
            <w:tcW w:w="4876" w:type="dxa"/>
          </w:tcPr>
          <w:p w:rsidR="0049599D" w:rsidRPr="004F62DE" w:rsidRDefault="00F37C81" w:rsidP="005904E7">
            <w:pPr>
              <w:pStyle w:val="Normal6"/>
              <w:rPr>
                <w:szCs w:val="24"/>
              </w:rPr>
            </w:pPr>
            <w:r w:rsidRPr="004F62DE">
              <w:rPr>
                <w:b/>
                <w:i/>
              </w:rPr>
              <w:t>fa)</w:t>
            </w:r>
            <w:r w:rsidRPr="004F62DE">
              <w:rPr>
                <w:b/>
                <w:i/>
              </w:rPr>
              <w:tab/>
              <w:t>Følgende litra indsættes:</w:t>
            </w:r>
          </w:p>
        </w:tc>
      </w:tr>
      <w:tr w:rsidR="00781BC4" w:rsidRPr="004F62DE" w:rsidTr="00254B4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"34)</w:t>
            </w:r>
            <w:r w:rsidRPr="004F62DE">
              <w:rPr>
                <w:b/>
                <w:i/>
              </w:rPr>
              <w:tab/>
              <w:t>"Langliner på lavt vand": langliner, hvor størstedelen af krogene, når de anvendes, er på en dybde på mindre end 100 meter"</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Henstilling 22-12.</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8</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1 – litra f b (nyt)</w:t>
      </w:r>
      <w:r w:rsidRPr="004F62DE">
        <w:rPr>
          <w:rStyle w:val="HideTWBExt"/>
          <w:b w:val="0"/>
          <w:noProof w:val="0"/>
        </w:rPr>
        <w:t>&lt;/Article&gt;</w:t>
      </w:r>
    </w:p>
    <w:p w:rsidR="00254B4E" w:rsidRPr="004F62DE" w:rsidRDefault="00F37C81" w:rsidP="00254B4E">
      <w:pPr>
        <w:keepNext/>
      </w:pPr>
      <w:r w:rsidRPr="004F62DE">
        <w:rPr>
          <w:rStyle w:val="HideTWBExt"/>
          <w:noProof w:val="0"/>
        </w:rPr>
        <w:t>&lt;DocAmend2&gt;</w:t>
      </w:r>
      <w:r w:rsidRPr="004F62DE">
        <w:t>Forordning (EU) 2017/2107</w:t>
      </w:r>
      <w:r w:rsidRPr="004F62DE">
        <w:rPr>
          <w:rStyle w:val="HideTWBExt"/>
          <w:noProof w:val="0"/>
        </w:rPr>
        <w:t>&lt;/DocAmend2&gt;</w:t>
      </w:r>
    </w:p>
    <w:p w:rsidR="00254B4E" w:rsidRPr="004F62DE" w:rsidRDefault="00F37C81" w:rsidP="00254B4E">
      <w:pPr>
        <w:keepNext/>
      </w:pPr>
      <w:r w:rsidRPr="004F62DE">
        <w:rPr>
          <w:rStyle w:val="HideTWBExt"/>
          <w:noProof w:val="0"/>
        </w:rPr>
        <w:t>&lt;Article2&gt;</w:t>
      </w:r>
      <w:r w:rsidRPr="004F62DE">
        <w:t>Artikel 4 – stk. 1 – nr. 35 (nyt)</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254B4E">
        <w:trPr>
          <w:jc w:val="center"/>
        </w:trPr>
        <w:tc>
          <w:tcPr>
            <w:tcW w:w="9752" w:type="dxa"/>
            <w:gridSpan w:val="2"/>
          </w:tcPr>
          <w:p w:rsidR="0049599D" w:rsidRPr="004F62DE" w:rsidRDefault="0049599D" w:rsidP="00254B4E">
            <w:pPr>
              <w:keepNext/>
            </w:pPr>
          </w:p>
        </w:tc>
      </w:tr>
      <w:tr w:rsidR="00781BC4" w:rsidRPr="004F62DE" w:rsidTr="00254B4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254B4E">
        <w:trPr>
          <w:jc w:val="center"/>
        </w:trPr>
        <w:tc>
          <w:tcPr>
            <w:tcW w:w="4876" w:type="dxa"/>
          </w:tcPr>
          <w:p w:rsidR="0049599D" w:rsidRPr="004F62DE" w:rsidRDefault="0049599D" w:rsidP="004B110E">
            <w:pPr>
              <w:pStyle w:val="Normal6"/>
            </w:pPr>
          </w:p>
        </w:tc>
        <w:tc>
          <w:tcPr>
            <w:tcW w:w="4876" w:type="dxa"/>
          </w:tcPr>
          <w:p w:rsidR="0049599D" w:rsidRPr="004F62DE" w:rsidRDefault="00F37C81" w:rsidP="005904E7">
            <w:pPr>
              <w:pStyle w:val="Normal6"/>
              <w:rPr>
                <w:szCs w:val="24"/>
              </w:rPr>
            </w:pPr>
            <w:r w:rsidRPr="004F62DE">
              <w:rPr>
                <w:b/>
                <w:i/>
              </w:rPr>
              <w:t>fb)</w:t>
            </w:r>
            <w:r w:rsidRPr="004F62DE">
              <w:rPr>
                <w:b/>
                <w:i/>
              </w:rPr>
              <w:tab/>
              <w:t>Følgende litra indsættes:</w:t>
            </w:r>
          </w:p>
        </w:tc>
      </w:tr>
      <w:tr w:rsidR="00781BC4" w:rsidRPr="004F62DE" w:rsidTr="00254B4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"35)</w:t>
            </w:r>
            <w:r w:rsidRPr="004F62DE">
              <w:rPr>
                <w:b/>
                <w:i/>
              </w:rPr>
              <w:tab/>
              <w:t>"cirkelkrog": en krog, hvor spidsen peger vinkelret tilbage mod skaftet, så krogen danner en cirkel eller oval form, og krogens spids ikke forskydes mere end ti grader."</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Henstilling 22-12.</w:t>
      </w:r>
    </w:p>
    <w:p w:rsidR="004B110E" w:rsidRPr="004F62DE" w:rsidRDefault="00F37C81" w:rsidP="004B110E">
      <w:r w:rsidRPr="004F62DE">
        <w:rPr>
          <w:rStyle w:val="HideTWBExt"/>
          <w:noProof w:val="0"/>
        </w:rPr>
        <w:t>&lt;/Amend&gt;</w:t>
      </w:r>
    </w:p>
    <w:p w:rsidR="004B110E" w:rsidRPr="004F62DE" w:rsidRDefault="004B110E" w:rsidP="0049599D">
      <w:pPr>
        <w:pStyle w:val="Normal12Italic"/>
        <w:rPr>
          <w:noProof w:val="0"/>
        </w:rPr>
      </w:pP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9</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2</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5 a – stk. 1</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1.</w:t>
            </w:r>
            <w:r w:rsidRPr="004F62DE">
              <w:tab/>
              <w:t xml:space="preserve">Senest den 31. januar hvert år </w:t>
            </w:r>
            <w:r w:rsidRPr="004F62DE">
              <w:rPr>
                <w:b/>
                <w:i/>
              </w:rPr>
              <w:t>udarbejder</w:t>
            </w:r>
            <w:r w:rsidRPr="004F62DE">
              <w:t xml:space="preserve"> medlemsstaterne </w:t>
            </w:r>
            <w:r w:rsidRPr="004F62DE">
              <w:rPr>
                <w:b/>
                <w:i/>
              </w:rPr>
              <w:t>en årlig kapacitets-/fiskeriplan</w:t>
            </w:r>
            <w:r w:rsidRPr="004F62DE">
              <w:t>.</w:t>
            </w:r>
          </w:p>
        </w:tc>
        <w:tc>
          <w:tcPr>
            <w:tcW w:w="4876" w:type="dxa"/>
          </w:tcPr>
          <w:p w:rsidR="0049599D" w:rsidRPr="004F62DE" w:rsidRDefault="00F37C81" w:rsidP="004B110E">
            <w:pPr>
              <w:pStyle w:val="Normal6"/>
              <w:rPr>
                <w:szCs w:val="24"/>
              </w:rPr>
            </w:pPr>
            <w:r w:rsidRPr="004F62DE">
              <w:t>1.</w:t>
            </w:r>
            <w:r w:rsidRPr="004F62DE">
              <w:tab/>
              <w:t xml:space="preserve">Senest den 31. januar hvert år </w:t>
            </w:r>
            <w:r w:rsidRPr="004F62DE">
              <w:rPr>
                <w:b/>
                <w:i/>
              </w:rPr>
              <w:t xml:space="preserve">fastlægger </w:t>
            </w:r>
            <w:r w:rsidRPr="004F62DE">
              <w:t xml:space="preserve">medlemsstaterne </w:t>
            </w:r>
            <w:r w:rsidRPr="004F62DE">
              <w:rPr>
                <w:b/>
                <w:i/>
              </w:rPr>
              <w:t>årlige kapacitets-/fiskeriplaner</w:t>
            </w:r>
            <w:r w:rsidRPr="004F62DE">
              <w: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Sproglig præcisering.</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10</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2</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 xml:space="preserve"> Forordning (EU) 2017/2107 </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 xml:space="preserve"> Artikel 5 a – stk. 5 a (nyt)</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5a.</w:t>
            </w:r>
            <w:r w:rsidRPr="004F62DE">
              <w:rPr>
                <w:b/>
                <w:i/>
              </w:rPr>
              <w:tab/>
              <w:t>Medlemsstaterne indberetter hver tredje måned mængden af tropisk tun pr. art, der er fanget af fartøjer, der fører deres flag, til Kommissionen senest 15 kalenderdage efter udløbet af den periode, hvor fangsterne blev taget, dvs. senest den 15. april, den 15. juli og den 15. oktober hvert år og senest den 15. januar det følgende år, medmindre sådanne oplysninger sendes månedligt til Kommissionen. Disse kvartalsrapporter sendes ved hjælp af det format, der skal anvendes til overførsel af aggregerede fangstdata. Kommissionen sender disse oplysninger til ICCAT's sekretariat hvert år senest den 30. april, den 30. juli og den 30. oktober og den 30. januar det følgende år.</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22-01.</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11</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2 a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 xml:space="preserve"> Forordning (EU) 2017/2107 </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 xml:space="preserve">Artikel 5 b (ny) </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5904E7">
            <w:pPr>
              <w:pStyle w:val="Normal6"/>
              <w:rPr>
                <w:szCs w:val="24"/>
              </w:rPr>
            </w:pPr>
            <w:r w:rsidRPr="004F62DE">
              <w:rPr>
                <w:b/>
                <w:i/>
              </w:rPr>
              <w:t>2a)</w:t>
            </w:r>
            <w:r w:rsidRPr="004F62DE">
              <w:rPr>
                <w:b/>
                <w:i/>
              </w:rPr>
              <w:tab/>
              <w:t>Følgende artikel indsættes: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5b</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Rekreativt fiskeri efter hvid tun i Middelhavet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Fysiske eller juridiske personer, der udøver rekreativt fiskeri, må ikke fange, opbevare om bord, omlade eller lande mere end tre individer af hvid middelhavstun pr. fartøj pr. dag.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Det er forbudt at markedsføre eller sælge hvid tun fanget i rekreativt fiskeri.</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DC02B3">
            <w:pPr>
              <w:pStyle w:val="Normal6"/>
              <w:rPr>
                <w:szCs w:val="24"/>
              </w:rPr>
            </w:pPr>
            <w:r w:rsidRPr="004F62DE">
              <w:rPr>
                <w:b/>
                <w:i/>
              </w:rPr>
              <w:t>3.</w:t>
            </w:r>
            <w:r w:rsidRPr="004F62DE">
              <w:rPr>
                <w:b/>
                <w:i/>
              </w:rPr>
              <w:tab/>
              <w:t>Medlemsstaterne forelægger Kommissionen og ICCAT's sekretariat en liste over alle fartøjer til rekreativt fiskeri, der har tilladelse til at fange hvid tun i Middelhavet, mindst 15 dage før udøvelsen af aktiviteterne. Fartøjer, der ikke er opført på denne liste, har ikke tilladelse til at fange hvid tun i Middelhavet."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22-05 i overensstemmelse med artikel 55, stk. 3, i forordning (EF) nr. 1224/2009.</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12</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3</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6a – stk. 2</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2.</w:t>
            </w:r>
            <w:r w:rsidRPr="004F62DE">
              <w:tab/>
            </w:r>
            <w:r w:rsidRPr="004F62DE">
              <w:rPr>
                <w:b/>
                <w:i/>
              </w:rPr>
              <w:t>Ingen</w:t>
            </w:r>
            <w:r w:rsidRPr="004F62DE">
              <w:t xml:space="preserve"> tropisk tun fanget af et EU-notfartøj må smides ud i løbet af et sæt, når først nettet er helt lukket, og når mere end halvdelen af nettet er blevet halet ind. </w:t>
            </w:r>
            <w:r w:rsidRPr="004F62DE">
              <w:rPr>
                <w:b/>
                <w:i/>
              </w:rPr>
              <w:t>Hvis der er</w:t>
            </w:r>
            <w:r w:rsidRPr="004F62DE">
              <w:t xml:space="preserve"> et teknisk problem i forbindelse med </w:t>
            </w:r>
            <w:r w:rsidRPr="004F62DE">
              <w:rPr>
                <w:b/>
                <w:i/>
              </w:rPr>
              <w:t>proceduren for</w:t>
            </w:r>
            <w:r w:rsidRPr="004F62DE">
              <w:t xml:space="preserve"> lukning eller indhaling af nettet, </w:t>
            </w:r>
            <w:r w:rsidRPr="004F62DE">
              <w:rPr>
                <w:b/>
                <w:i/>
              </w:rPr>
              <w:t>således at denne regel ikke kan anvendes,</w:t>
            </w:r>
            <w:r w:rsidRPr="004F62DE">
              <w:t xml:space="preserve"> bestræber besætningen sig på at sætte tunen ud igen hurtigst muligt.</w:t>
            </w:r>
          </w:p>
        </w:tc>
        <w:tc>
          <w:tcPr>
            <w:tcW w:w="4876" w:type="dxa"/>
          </w:tcPr>
          <w:p w:rsidR="0049599D" w:rsidRPr="004F62DE" w:rsidRDefault="00F37C81" w:rsidP="00DC02B3">
            <w:pPr>
              <w:pStyle w:val="Normal6"/>
              <w:rPr>
                <w:szCs w:val="24"/>
              </w:rPr>
            </w:pPr>
            <w:r w:rsidRPr="004F62DE">
              <w:t>2.</w:t>
            </w:r>
            <w:r w:rsidRPr="004F62DE">
              <w:tab/>
              <w:t xml:space="preserve">Tropisk tun fanget af et EU-notfartøj må </w:t>
            </w:r>
            <w:r w:rsidRPr="004F62DE">
              <w:rPr>
                <w:b/>
                <w:i/>
              </w:rPr>
              <w:t xml:space="preserve">ikke </w:t>
            </w:r>
            <w:r w:rsidRPr="004F62DE">
              <w:t xml:space="preserve">smides ud i løbet af et sæt, når først nettet er helt lukket, og når mere end halvdelen af nettet er blevet halet ind. </w:t>
            </w:r>
            <w:r w:rsidRPr="004F62DE">
              <w:rPr>
                <w:b/>
                <w:i/>
              </w:rPr>
              <w:t xml:space="preserve">I tilfælde af </w:t>
            </w:r>
            <w:r w:rsidRPr="004F62DE">
              <w:t xml:space="preserve">et teknisk problem i forbindelse med lukning eller indhaling af nettet, bestræber </w:t>
            </w:r>
            <w:r w:rsidRPr="004F62DE">
              <w:rPr>
                <w:b/>
                <w:i/>
              </w:rPr>
              <w:t xml:space="preserve">førerne eller </w:t>
            </w:r>
            <w:r w:rsidRPr="004F62DE">
              <w:t xml:space="preserve">besætningen </w:t>
            </w:r>
            <w:r w:rsidRPr="004F62DE">
              <w:rPr>
                <w:b/>
                <w:i/>
              </w:rPr>
              <w:t xml:space="preserve">på deres vegne </w:t>
            </w:r>
            <w:r w:rsidRPr="004F62DE">
              <w:t>sig på at sætte tunen ud igen hurtigst muligt.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Sproglige ændringer foreslået for at tydeliggøre denne bestemmelse. Desuden kan besætningen ikke være ansvarlig for at overholde denne bestemmelse; det bør være føreren.</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13</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7 – litra a</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9 – stk. 4</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4.</w:t>
            </w:r>
            <w:r w:rsidRPr="004F62DE">
              <w:tab/>
              <w:t xml:space="preserve">Medlemsstaterne sikrer, at der for hvert fartøj med bøjer i drift højst er 300 FAD'er i brug på </w:t>
            </w:r>
            <w:r w:rsidRPr="004F62DE">
              <w:rPr>
                <w:b/>
                <w:i/>
              </w:rPr>
              <w:t>et hvilket som helst</w:t>
            </w:r>
            <w:r w:rsidRPr="004F62DE">
              <w:t xml:space="preserve"> tidspunkt."</w:t>
            </w:r>
          </w:p>
        </w:tc>
        <w:tc>
          <w:tcPr>
            <w:tcW w:w="4876" w:type="dxa"/>
          </w:tcPr>
          <w:p w:rsidR="0049599D" w:rsidRPr="004F62DE" w:rsidRDefault="00F37C81" w:rsidP="004B110E">
            <w:pPr>
              <w:pStyle w:val="Normal6"/>
              <w:rPr>
                <w:szCs w:val="24"/>
              </w:rPr>
            </w:pPr>
            <w:r w:rsidRPr="004F62DE">
              <w:t>4.</w:t>
            </w:r>
            <w:r w:rsidRPr="004F62DE">
              <w:tab/>
              <w:t xml:space="preserve">Medlemsstaterne sikrer, at der for hvert fartøj med bøjer i drift højst er 300 FAD'er i brug på </w:t>
            </w:r>
            <w:r w:rsidRPr="004F62DE">
              <w:rPr>
                <w:b/>
                <w:i/>
              </w:rPr>
              <w:t xml:space="preserve">samme </w:t>
            </w:r>
            <w:r w:rsidRPr="004F62DE">
              <w:t>tidspunkt."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Sproglig præcisering.</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14</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8</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10 – stk. 2 – indledning</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2.</w:t>
            </w:r>
            <w:r w:rsidRPr="004F62DE">
              <w:tab/>
              <w:t xml:space="preserve">"2. Når medlemsstaterne anvender eller udformer FAD'er, </w:t>
            </w:r>
            <w:r w:rsidRPr="004F62DE">
              <w:rPr>
                <w:b/>
                <w:i/>
              </w:rPr>
              <w:t xml:space="preserve">sikrer </w:t>
            </w:r>
            <w:r w:rsidRPr="004F62DE">
              <w:t>de:</w:t>
            </w:r>
          </w:p>
        </w:tc>
        <w:tc>
          <w:tcPr>
            <w:tcW w:w="4876" w:type="dxa"/>
          </w:tcPr>
          <w:p w:rsidR="0049599D" w:rsidRPr="004F62DE" w:rsidRDefault="00F37C81" w:rsidP="004B110E">
            <w:pPr>
              <w:pStyle w:val="Normal6"/>
              <w:rPr>
                <w:szCs w:val="24"/>
              </w:rPr>
            </w:pPr>
            <w:r w:rsidRPr="004F62DE">
              <w:t>2.</w:t>
            </w:r>
            <w:r w:rsidRPr="004F62DE">
              <w:tab/>
              <w:t xml:space="preserve">"2. Når medlemsstaterne anvender eller udformer FAD'er, </w:t>
            </w:r>
            <w:r w:rsidRPr="004F62DE">
              <w:rPr>
                <w:b/>
                <w:bCs/>
                <w:i/>
                <w:iCs/>
              </w:rPr>
              <w:t>skal</w:t>
            </w:r>
            <w:r w:rsidRPr="004F62DE">
              <w:t xml:space="preserve"> de:</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21-01 er omsat på en mere præcis måde.</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15</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8</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10 – stk. 2 – litra a</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a)</w:t>
            </w:r>
            <w:r w:rsidRPr="004F62DE">
              <w:tab/>
              <w:t xml:space="preserve">at ingen FAD'er, der anvendes, medfører indfiltring, i overensstemmelse med bilag 5 </w:t>
            </w:r>
            <w:r w:rsidRPr="004F62DE">
              <w:rPr>
                <w:b/>
                <w:i/>
              </w:rPr>
              <w:t xml:space="preserve">i </w:t>
            </w:r>
            <w:r w:rsidRPr="004F62DE">
              <w:t>henstilling 19-02</w:t>
            </w:r>
          </w:p>
        </w:tc>
        <w:tc>
          <w:tcPr>
            <w:tcW w:w="4876" w:type="dxa"/>
          </w:tcPr>
          <w:p w:rsidR="0049599D" w:rsidRPr="004F62DE" w:rsidRDefault="00F37C81" w:rsidP="00DC02B3">
            <w:pPr>
              <w:pStyle w:val="Normal6"/>
              <w:rPr>
                <w:szCs w:val="24"/>
              </w:rPr>
            </w:pPr>
            <w:r w:rsidRPr="004F62DE">
              <w:t>a)</w:t>
            </w:r>
            <w:r w:rsidRPr="004F62DE">
              <w:tab/>
            </w:r>
            <w:r w:rsidRPr="004F62DE">
              <w:rPr>
                <w:b/>
                <w:i/>
              </w:rPr>
              <w:t xml:space="preserve">sikre, </w:t>
            </w:r>
            <w:r w:rsidRPr="004F62DE">
              <w:t xml:space="preserve">at ingen FAD'er, der anvendes, medfører indfiltring, i overensstemmelse med bilag 5 </w:t>
            </w:r>
            <w:r w:rsidRPr="004F62DE">
              <w:rPr>
                <w:b/>
                <w:i/>
              </w:rPr>
              <w:t xml:space="preserve">til </w:t>
            </w:r>
            <w:r w:rsidRPr="004F62DE">
              <w:t>henstilling 19-02</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21-01 er omsat på en mere præcis måde.</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16</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8</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10 – stk. 2 – litra b</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b)</w:t>
            </w:r>
            <w:r w:rsidRPr="004F62DE">
              <w:tab/>
              <w:t>at alle FAD'er er konstrueret af bionedbrydelige materialer, herunder ikke-plastmaterialer, med undtagelse af materialer, der anvendes til konstruktionen af bøjer til sporing af FAD'er.</w:t>
            </w:r>
          </w:p>
        </w:tc>
        <w:tc>
          <w:tcPr>
            <w:tcW w:w="4876" w:type="dxa"/>
          </w:tcPr>
          <w:p w:rsidR="0049599D" w:rsidRPr="004F62DE" w:rsidRDefault="00F37C81" w:rsidP="00C84F42">
            <w:pPr>
              <w:pStyle w:val="Normal6"/>
              <w:rPr>
                <w:szCs w:val="24"/>
              </w:rPr>
            </w:pPr>
            <w:r w:rsidRPr="004F62DE">
              <w:t>b)</w:t>
            </w:r>
            <w:r w:rsidRPr="004F62DE">
              <w:tab/>
            </w:r>
            <w:r w:rsidRPr="004F62DE">
              <w:rPr>
                <w:b/>
                <w:i/>
              </w:rPr>
              <w:t xml:space="preserve">bestræbe sig på, </w:t>
            </w:r>
            <w:r w:rsidRPr="004F62DE">
              <w:t>at alle FAD'er er konstrueret af bionedbrydelige materialer, herunder ikke-plastmaterialer, med undtagelse af materialer, der anvendes til konstruktionen af bøjer til sporing af FAD'er.</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21-01 er omsat på en mere præcis måde.</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17</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11</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14 – stk. 1</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1.</w:t>
            </w:r>
            <w:r w:rsidRPr="004F62DE">
              <w:tab/>
              <w:t xml:space="preserve">Medlemsstaterne sikrer, at </w:t>
            </w:r>
            <w:r w:rsidRPr="004F62DE">
              <w:rPr>
                <w:b/>
                <w:i/>
              </w:rPr>
              <w:t xml:space="preserve">deres </w:t>
            </w:r>
            <w:r w:rsidRPr="004F62DE">
              <w:t>fartøjer ikke udsætter drivende FAD'er i løbet af en periode på 15 dage før starten på de perioder, hvor der i henhold til EU-lovgivningen er lukket for fiskeri.</w:t>
            </w:r>
          </w:p>
        </w:tc>
        <w:tc>
          <w:tcPr>
            <w:tcW w:w="4876" w:type="dxa"/>
          </w:tcPr>
          <w:p w:rsidR="0049599D" w:rsidRPr="004F62DE" w:rsidRDefault="00F37C81" w:rsidP="004B110E">
            <w:pPr>
              <w:pStyle w:val="Normal6"/>
              <w:rPr>
                <w:szCs w:val="24"/>
              </w:rPr>
            </w:pPr>
            <w:r w:rsidRPr="004F62DE">
              <w:t>1.</w:t>
            </w:r>
            <w:r w:rsidRPr="004F62DE">
              <w:tab/>
              <w:t>Medlemsstaterne sikrer, at fartøjer</w:t>
            </w:r>
            <w:r w:rsidRPr="004F62DE">
              <w:rPr>
                <w:b/>
                <w:i/>
              </w:rPr>
              <w:t>, der fører deres flag,</w:t>
            </w:r>
            <w:r w:rsidRPr="004F62DE">
              <w:t xml:space="preserve"> ikke udsætter drivende FAD'er i løbet af en periode på 15 dage før starten på de perioder, hvor der i henhold til EU-lovgivningen er lukket for fiskeri.</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Sproglig præcisering.</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18</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11</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14 – stk. 2 – indledning</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2.</w:t>
            </w:r>
            <w:r w:rsidRPr="004F62DE">
              <w:tab/>
            </w:r>
            <w:r w:rsidRPr="004F62DE">
              <w:rPr>
                <w:b/>
                <w:bCs/>
                <w:i/>
                <w:iCs/>
              </w:rPr>
              <w:t>Medlemsstater</w:t>
            </w:r>
            <w:r w:rsidRPr="004F62DE">
              <w:t xml:space="preserve">, </w:t>
            </w:r>
            <w:r w:rsidRPr="004F62DE">
              <w:rPr>
                <w:b/>
                <w:i/>
              </w:rPr>
              <w:t>hvis</w:t>
            </w:r>
            <w:r w:rsidRPr="004F62DE">
              <w:t xml:space="preserve"> fartøjer </w:t>
            </w:r>
            <w:r w:rsidRPr="004F62DE">
              <w:rPr>
                <w:b/>
                <w:i/>
              </w:rPr>
              <w:t>fisker</w:t>
            </w:r>
            <w:r w:rsidRPr="004F62DE">
              <w:t xml:space="preserve"> efter tropisk tun, </w:t>
            </w:r>
            <w:r w:rsidRPr="004F62DE">
              <w:rPr>
                <w:b/>
                <w:i/>
              </w:rPr>
              <w:t>skal</w:t>
            </w:r>
            <w:r w:rsidRPr="004F62DE">
              <w:t>:</w:t>
            </w:r>
          </w:p>
        </w:tc>
        <w:tc>
          <w:tcPr>
            <w:tcW w:w="4876" w:type="dxa"/>
          </w:tcPr>
          <w:p w:rsidR="0049599D" w:rsidRPr="004F62DE" w:rsidRDefault="00F37C81" w:rsidP="004B110E">
            <w:pPr>
              <w:pStyle w:val="Normal6"/>
              <w:rPr>
                <w:szCs w:val="24"/>
              </w:rPr>
            </w:pPr>
            <w:r w:rsidRPr="004F62DE">
              <w:t>2.</w:t>
            </w:r>
            <w:r w:rsidRPr="004F62DE">
              <w:tab/>
            </w:r>
            <w:r w:rsidRPr="004F62DE">
              <w:rPr>
                <w:b/>
                <w:bCs/>
                <w:i/>
                <w:iCs/>
              </w:rPr>
              <w:t>Medlemsstaterne</w:t>
            </w:r>
            <w:r w:rsidRPr="004F62DE">
              <w:t xml:space="preserve"> </w:t>
            </w:r>
            <w:r w:rsidRPr="004F62DE">
              <w:rPr>
                <w:b/>
                <w:i/>
              </w:rPr>
              <w:t>sikrer</w:t>
            </w:r>
            <w:r w:rsidRPr="004F62DE">
              <w:t xml:space="preserve">, </w:t>
            </w:r>
            <w:r w:rsidRPr="004F62DE">
              <w:rPr>
                <w:b/>
                <w:i/>
              </w:rPr>
              <w:t xml:space="preserve">at </w:t>
            </w:r>
            <w:r w:rsidRPr="004F62DE">
              <w:t>fartøjer</w:t>
            </w:r>
            <w:r w:rsidRPr="004F62DE">
              <w:rPr>
                <w:b/>
                <w:i/>
              </w:rPr>
              <w:t xml:space="preserve">, der fører deres flag, og som har tilladelse til at fiske </w:t>
            </w:r>
            <w:r w:rsidRPr="004F62DE">
              <w:t xml:space="preserve">efter tropisk tun, </w:t>
            </w:r>
            <w:r w:rsidRPr="004F62DE">
              <w:rPr>
                <w:b/>
                <w:i/>
              </w:rPr>
              <w:t>fastsætter en minimumsobservatørdækning som følger</w:t>
            </w:r>
            <w:r w:rsidRPr="004F62DE">
              <w: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Sproglig præcisering.</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19</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20</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27 – overskrift</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 xml:space="preserve">Artikel </w:t>
            </w:r>
            <w:r w:rsidRPr="004F62DE">
              <w:rPr>
                <w:b/>
                <w:bCs/>
                <w:i/>
                <w:iCs/>
              </w:rPr>
              <w:t>27a</w:t>
            </w:r>
          </w:p>
        </w:tc>
        <w:tc>
          <w:tcPr>
            <w:tcW w:w="4876" w:type="dxa"/>
          </w:tcPr>
          <w:p w:rsidR="0049599D" w:rsidRPr="004F62DE" w:rsidRDefault="00F37C81" w:rsidP="004B110E">
            <w:pPr>
              <w:pStyle w:val="Normal6"/>
              <w:rPr>
                <w:szCs w:val="24"/>
              </w:rPr>
            </w:pPr>
            <w:r w:rsidRPr="004F62DE">
              <w:t xml:space="preserve">Artikel </w:t>
            </w:r>
            <w:r w:rsidRPr="004F62DE">
              <w:rPr>
                <w:b/>
                <w:bCs/>
                <w:i/>
                <w:iCs/>
              </w:rPr>
              <w:t>27</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Sproglig præcisering.</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20</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20</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27 – stk. 1</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1.</w:t>
            </w:r>
            <w:r w:rsidRPr="004F62DE">
              <w:tab/>
              <w:t xml:space="preserve">Uanset artikel 15, stk. 1, i forordning (EU) nr. 1380/2013 skal medlemsstaterne, når </w:t>
            </w:r>
            <w:r w:rsidRPr="004F62DE">
              <w:rPr>
                <w:b/>
                <w:i/>
              </w:rPr>
              <w:t>80 % af</w:t>
            </w:r>
            <w:r w:rsidRPr="004F62DE">
              <w:t xml:space="preserve"> deres kvote er opbrugt, sikre, at fartøjer, der fører deres flag, genudsætter alle individer af blå marlin (Makaira nigricans), hvid marlin (Tetrapturus albidus) og rundskællet spydfisk (Tetrapturus georgei), der er levende, når de hales om bord.</w:t>
            </w:r>
          </w:p>
        </w:tc>
        <w:tc>
          <w:tcPr>
            <w:tcW w:w="4876" w:type="dxa"/>
          </w:tcPr>
          <w:p w:rsidR="0049599D" w:rsidRPr="004F62DE" w:rsidRDefault="00F37C81" w:rsidP="004B110E">
            <w:pPr>
              <w:pStyle w:val="Normal6"/>
              <w:rPr>
                <w:szCs w:val="24"/>
              </w:rPr>
            </w:pPr>
            <w:r w:rsidRPr="004F62DE">
              <w:t>1.</w:t>
            </w:r>
            <w:r w:rsidRPr="004F62DE">
              <w:tab/>
              <w:t xml:space="preserve">Uanset artikel 15, stk. 1, i forordning (EU) nr. 1380/2013 skal medlemsstaterne, når deres kvote er </w:t>
            </w:r>
            <w:r w:rsidRPr="004F62DE">
              <w:rPr>
                <w:b/>
                <w:i/>
              </w:rPr>
              <w:t xml:space="preserve">næsten </w:t>
            </w:r>
            <w:r w:rsidRPr="004F62DE">
              <w:t xml:space="preserve">opbrugt, </w:t>
            </w:r>
            <w:r w:rsidRPr="004F62DE">
              <w:rPr>
                <w:b/>
                <w:i/>
              </w:rPr>
              <w:t xml:space="preserve">passende foranstaltninger til at </w:t>
            </w:r>
            <w:r w:rsidRPr="004F62DE">
              <w:t>sikre, at fartøjer, der fører deres flag, genudsætter alle individer af blå marlin (Makaira nigricans), hvid marlin (Tetrapturus albidus) og rundskællet spydfisk (Tetrapturus georgei), der er levende, når de hales om bord.</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18-04 er omsat på en mere præcis måde.</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21</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20</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27 – stk. 3</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3.</w:t>
            </w:r>
            <w:r w:rsidRPr="004F62DE">
              <w:tab/>
              <w:t xml:space="preserve">Medlemsstaterne opfordrer til gennemførelsen af de minimumsstandarder vedrørende sikker håndtering og procedurer for udsætning i live, der er angivet i bilag 1 til henstilling 19-05, ved at udarbejde retningslinjer for deres flåder. </w:t>
            </w:r>
            <w:r w:rsidRPr="004F62DE">
              <w:rPr>
                <w:b/>
                <w:i/>
              </w:rPr>
              <w:t>Fiskerfartøjerne</w:t>
            </w:r>
            <w:r w:rsidRPr="004F62DE">
              <w:t xml:space="preserve"> skal på dækket have en løfteanordning, en boltsaks, en krogløsner og en linekappeanordning, som er let tilgængelige for besætningen, til på sikker vis at genudsætte levende marliner, der er fanget.</w:t>
            </w:r>
          </w:p>
        </w:tc>
        <w:tc>
          <w:tcPr>
            <w:tcW w:w="4876" w:type="dxa"/>
          </w:tcPr>
          <w:p w:rsidR="0049599D" w:rsidRPr="004F62DE" w:rsidRDefault="00F37C81" w:rsidP="004B110E">
            <w:pPr>
              <w:pStyle w:val="Normal6"/>
              <w:rPr>
                <w:szCs w:val="24"/>
              </w:rPr>
            </w:pPr>
            <w:r w:rsidRPr="004F62DE">
              <w:t>3.</w:t>
            </w:r>
            <w:r w:rsidRPr="004F62DE">
              <w:tab/>
              <w:t xml:space="preserve">Medlemsstaterne opfordrer til gennemførelsen af de minimumsstandarder vedrørende sikker håndtering og procedurer for udsætning i live, der er angivet i bilag 1 til henstilling 19-05, ved at udarbejde retningslinjer for deres flåder. </w:t>
            </w:r>
            <w:r w:rsidRPr="004F62DE">
              <w:rPr>
                <w:b/>
                <w:i/>
              </w:rPr>
              <w:t xml:space="preserve">EU-fiskerfartøjer </w:t>
            </w:r>
            <w:r w:rsidRPr="004F62DE">
              <w:t>skal på dækket have en løfteanordning, en boltsaks, en krogløsner og en linekappeanordning, som er let tilgængelige for besætningen, til på sikker vis at genudsætte levende marliner, der er fanget.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Sproglig præcisering.</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22</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20</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27 – stk. 4</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4.</w:t>
            </w:r>
            <w:r w:rsidRPr="004F62DE">
              <w:tab/>
              <w:t xml:space="preserve">Medlemsstaterne sikrer, at kaptajnen og besætningsmedlemmerne om bord på deres fiskerfartøjer er tilstrækkeligt uddannet i, bekendt med og anvender forsvarlige beskyttelses-, identifikations-, håndterings- og genudsætningsteknikker, og sikrer, at der om bord befinder sig alt nødvendigt udstyr til sikker genudsætning af marliner i overensstemmelse med </w:t>
            </w:r>
            <w:r w:rsidRPr="004F62DE">
              <w:rPr>
                <w:b/>
                <w:i/>
              </w:rPr>
              <w:t>de</w:t>
            </w:r>
            <w:r w:rsidRPr="004F62DE">
              <w:t xml:space="preserve"> minimumsstandarder vedrørende procedurer for sikker håndtering, der er</w:t>
            </w:r>
            <w:r w:rsidRPr="004F62DE">
              <w:rPr>
                <w:b/>
                <w:i/>
              </w:rPr>
              <w:t xml:space="preserve"> angivet </w:t>
            </w:r>
            <w:r w:rsidRPr="004F62DE">
              <w:t xml:space="preserve">i </w:t>
            </w:r>
            <w:r w:rsidRPr="004F62DE">
              <w:rPr>
                <w:b/>
                <w:i/>
              </w:rPr>
              <w:t>bilag 1 til henstilling 19-05, ved at udarbejde retningslinjer for deres flåder</w:t>
            </w:r>
            <w:r w:rsidRPr="004F62DE">
              <w:t>.</w:t>
            </w:r>
          </w:p>
        </w:tc>
        <w:tc>
          <w:tcPr>
            <w:tcW w:w="4876" w:type="dxa"/>
          </w:tcPr>
          <w:p w:rsidR="0049599D" w:rsidRPr="004F62DE" w:rsidRDefault="00F37C81" w:rsidP="004B110E">
            <w:pPr>
              <w:pStyle w:val="Normal6"/>
              <w:rPr>
                <w:szCs w:val="24"/>
              </w:rPr>
            </w:pPr>
            <w:r w:rsidRPr="004F62DE">
              <w:t>4.</w:t>
            </w:r>
            <w:r w:rsidRPr="004F62DE">
              <w:tab/>
              <w:t xml:space="preserve">Medlemsstaterne sikrer, at kaptajnen og besætningsmedlemmerne om bord på deres fiskerfartøjer er tilstrækkeligt uddannet i, bekendt med og anvender forsvarlige beskyttelses-, identifikations-, håndterings- og genudsætningsteknikker, og sikrer, at der om bord befinder sig alt nødvendigt udstyr til sikker genudsætning af marliner i overensstemmelse med </w:t>
            </w:r>
            <w:r w:rsidRPr="004F62DE">
              <w:rPr>
                <w:b/>
                <w:i/>
              </w:rPr>
              <w:t xml:space="preserve">retningslinjerne for </w:t>
            </w:r>
            <w:r w:rsidRPr="004F62DE">
              <w:t xml:space="preserve">minimumsstandarder vedrørende procedurer for sikker håndtering, der er </w:t>
            </w:r>
            <w:r w:rsidRPr="004F62DE">
              <w:rPr>
                <w:b/>
                <w:i/>
              </w:rPr>
              <w:t>omhandlet</w:t>
            </w:r>
            <w:r w:rsidRPr="004F62DE">
              <w:t xml:space="preserve"> i </w:t>
            </w:r>
            <w:r w:rsidRPr="004F62DE">
              <w:rPr>
                <w:b/>
                <w:i/>
              </w:rPr>
              <w:t>stk. 3</w:t>
            </w:r>
            <w:r w:rsidRPr="004F62DE">
              <w: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Retningslinjerne for minimumsstandarder vedrørende procedurer for sikker håndtering er allerede nævnt i stk. 3.</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23</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20</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27 – stk. 6</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6.</w:t>
            </w:r>
            <w:r w:rsidRPr="004F62DE">
              <w:tab/>
              <w:t xml:space="preserve">Medlemsstaterne kan tillade </w:t>
            </w:r>
            <w:r w:rsidRPr="004F62DE">
              <w:rPr>
                <w:b/>
                <w:i/>
              </w:rPr>
              <w:t>deres</w:t>
            </w:r>
            <w:r w:rsidRPr="004F62DE">
              <w:t xml:space="preserve"> pelagiske langlinefartøjer og notfartøjer at fiske efter, opbevare om bord, omlade eller lande blå marlin og hvid marlin/rundskællet spydfisk, som er døde, inden for rammerne af deres landingsbegrænsning."</w:t>
            </w:r>
          </w:p>
        </w:tc>
        <w:tc>
          <w:tcPr>
            <w:tcW w:w="4876" w:type="dxa"/>
          </w:tcPr>
          <w:p w:rsidR="0049599D" w:rsidRPr="004F62DE" w:rsidRDefault="00F37C81" w:rsidP="004B110E">
            <w:pPr>
              <w:pStyle w:val="Normal6"/>
              <w:rPr>
                <w:szCs w:val="24"/>
              </w:rPr>
            </w:pPr>
            <w:r w:rsidRPr="004F62DE">
              <w:t>6.</w:t>
            </w:r>
            <w:r w:rsidRPr="004F62DE">
              <w:tab/>
              <w:t>Medlemsstaterne kan tillade pelagiske langlinefartøjer og notfartøjer</w:t>
            </w:r>
            <w:r w:rsidRPr="004F62DE">
              <w:rPr>
                <w:b/>
                <w:i/>
              </w:rPr>
              <w:t>, der fører deres flag,</w:t>
            </w:r>
            <w:r w:rsidRPr="004F62DE">
              <w:t xml:space="preserve"> at fiske efter, opbevare om bord, omlade eller lande blå marlin og hvid marlin/rundskællet spydfisk, som er døde, inden for rammerne af deres landingsbegrænsning."</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Sproglig præcisering.</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24</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21</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29 – stk. 5</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5.</w:t>
            </w:r>
            <w:r w:rsidRPr="004F62DE">
              <w:tab/>
              <w:t>I rekreativt fiskeri genudsættes alle fisk, der genudsættes, på en måde, som forårsager mindst mulig skade."</w:t>
            </w:r>
          </w:p>
        </w:tc>
        <w:tc>
          <w:tcPr>
            <w:tcW w:w="4876" w:type="dxa"/>
          </w:tcPr>
          <w:p w:rsidR="0049599D" w:rsidRPr="004F62DE" w:rsidRDefault="00F37C81" w:rsidP="004B110E">
            <w:pPr>
              <w:pStyle w:val="Normal6"/>
              <w:rPr>
                <w:szCs w:val="24"/>
              </w:rPr>
            </w:pPr>
            <w:r w:rsidRPr="004F62DE">
              <w:t>5.</w:t>
            </w:r>
            <w:r w:rsidRPr="004F62DE">
              <w:tab/>
            </w:r>
            <w:r w:rsidRPr="004F62DE">
              <w:rPr>
                <w:b/>
                <w:i/>
              </w:rPr>
              <w:t>Medlemsstaterne træffer passende foranstaltninger til at sikre, at</w:t>
            </w:r>
            <w:r w:rsidRPr="004F62DE">
              <w:t xml:space="preserve"> i rekreativt fiskeri genudsættes alle fisk, der genudsættes, på en måde, som forårsager mindst mulig skade."</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Henstilling 19-05 specificerer, at CPC'er skal træffe passende foranstaltninger for at sikre denne bestemmelse.</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25</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24</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33</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A31D6F">
        <w:trPr>
          <w:jc w:val="center"/>
        </w:trPr>
        <w:tc>
          <w:tcPr>
            <w:tcW w:w="9752" w:type="dxa"/>
            <w:gridSpan w:val="2"/>
          </w:tcPr>
          <w:p w:rsidR="0049599D" w:rsidRPr="004F62DE" w:rsidRDefault="0049599D" w:rsidP="004B110E">
            <w:pPr>
              <w:keepNext/>
            </w:pPr>
          </w:p>
        </w:tc>
      </w:tr>
      <w:tr w:rsidR="00781BC4" w:rsidRPr="004F62DE" w:rsidTr="00A31D6F">
        <w:trPr>
          <w:trHeight w:val="1228"/>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A31D6F">
        <w:trPr>
          <w:jc w:val="center"/>
        </w:trPr>
        <w:tc>
          <w:tcPr>
            <w:tcW w:w="4876" w:type="dxa"/>
          </w:tcPr>
          <w:p w:rsidR="0049599D" w:rsidRPr="004F62DE" w:rsidRDefault="00F37C81" w:rsidP="00A31D6F">
            <w:pPr>
              <w:pStyle w:val="Normal6"/>
              <w:jc w:val="center"/>
            </w:pPr>
            <w:r w:rsidRPr="004F62DE">
              <w:t>Artikel 33</w:t>
            </w:r>
          </w:p>
        </w:tc>
        <w:tc>
          <w:tcPr>
            <w:tcW w:w="4876" w:type="dxa"/>
          </w:tcPr>
          <w:p w:rsidR="0049599D" w:rsidRPr="004F62DE" w:rsidRDefault="00F37C81" w:rsidP="00A31D6F">
            <w:pPr>
              <w:pStyle w:val="Normal6"/>
              <w:jc w:val="center"/>
              <w:rPr>
                <w:szCs w:val="24"/>
              </w:rPr>
            </w:pPr>
            <w:r w:rsidRPr="004F62DE">
              <w:t>Artikel 33</w:t>
            </w:r>
          </w:p>
        </w:tc>
      </w:tr>
      <w:tr w:rsidR="00781BC4" w:rsidRPr="004F62DE" w:rsidTr="00A31D6F">
        <w:trPr>
          <w:jc w:val="center"/>
        </w:trPr>
        <w:tc>
          <w:tcPr>
            <w:tcW w:w="4876" w:type="dxa"/>
          </w:tcPr>
          <w:p w:rsidR="0049599D" w:rsidRPr="004F62DE" w:rsidRDefault="00F37C81" w:rsidP="00A31D6F">
            <w:pPr>
              <w:pStyle w:val="Normal6"/>
              <w:jc w:val="center"/>
            </w:pPr>
            <w:r w:rsidRPr="004F62DE">
              <w:t>Kortfinnet makohaj (Isurus oxyrinchus)</w:t>
            </w:r>
          </w:p>
        </w:tc>
        <w:tc>
          <w:tcPr>
            <w:tcW w:w="4876" w:type="dxa"/>
          </w:tcPr>
          <w:p w:rsidR="0049599D" w:rsidRPr="004F62DE" w:rsidRDefault="00F37C81" w:rsidP="00A31D6F">
            <w:pPr>
              <w:pStyle w:val="Normal6"/>
              <w:jc w:val="center"/>
              <w:rPr>
                <w:szCs w:val="24"/>
              </w:rPr>
            </w:pPr>
            <w:r w:rsidRPr="004F62DE">
              <w:rPr>
                <w:b/>
                <w:i/>
              </w:rPr>
              <w:t xml:space="preserve">Nordatlantisk </w:t>
            </w:r>
            <w:r w:rsidRPr="004F62DE">
              <w:t>kortfinnet makohaj (Isurus oxyrinchus)</w:t>
            </w:r>
          </w:p>
        </w:tc>
      </w:tr>
      <w:tr w:rsidR="00781BC4" w:rsidRPr="004F62DE" w:rsidTr="00A31D6F">
        <w:trPr>
          <w:jc w:val="center"/>
        </w:trPr>
        <w:tc>
          <w:tcPr>
            <w:tcW w:w="4876" w:type="dxa"/>
          </w:tcPr>
          <w:p w:rsidR="0049599D" w:rsidRPr="004F62DE" w:rsidRDefault="00F37C81" w:rsidP="004B110E">
            <w:pPr>
              <w:pStyle w:val="Normal6"/>
              <w:rPr>
                <w:b/>
                <w:i/>
              </w:rPr>
            </w:pPr>
            <w:r w:rsidRPr="004F62DE">
              <w:rPr>
                <w:b/>
                <w:i/>
              </w:rPr>
              <w:t xml:space="preserve">1. </w:t>
            </w:r>
            <w:r w:rsidRPr="004F62DE">
              <w:rPr>
                <w:b/>
                <w:i/>
              </w:rPr>
              <w:tab/>
              <w:t xml:space="preserve">EU-fiskerfartøjer genudsætter straks </w:t>
            </w:r>
            <w:r w:rsidRPr="004F62DE">
              <w:t xml:space="preserve">nordatlantisk kortfinnet makohaj </w:t>
            </w:r>
            <w:r w:rsidRPr="004F62DE">
              <w:rPr>
                <w:b/>
                <w:i/>
              </w:rPr>
              <w:t>på en måde</w:t>
            </w:r>
            <w:r w:rsidRPr="004F62DE">
              <w:t xml:space="preserve">, der </w:t>
            </w:r>
            <w:r w:rsidRPr="004F62DE">
              <w:rPr>
                <w:b/>
                <w:i/>
              </w:rPr>
              <w:t>forårsager mindst mulig skade, idet der tages behørigt hensyn ti0 besætningsmedlemmernes sikkerhed</w:t>
            </w:r>
            <w:r w:rsidRPr="004F62DE">
              <w:t>.</w:t>
            </w:r>
          </w:p>
        </w:tc>
        <w:tc>
          <w:tcPr>
            <w:tcW w:w="4876" w:type="dxa"/>
          </w:tcPr>
          <w:p w:rsidR="0049599D" w:rsidRPr="004F62DE" w:rsidRDefault="00F37C81" w:rsidP="004B110E">
            <w:pPr>
              <w:pStyle w:val="Normal6"/>
              <w:rPr>
                <w:szCs w:val="24"/>
              </w:rPr>
            </w:pPr>
            <w:r w:rsidRPr="004F62DE">
              <w:rPr>
                <w:b/>
                <w:i/>
              </w:rPr>
              <w:t>1.</w:t>
            </w:r>
            <w:r w:rsidRPr="004F62DE">
              <w:rPr>
                <w:b/>
                <w:i/>
              </w:rPr>
              <w:tab/>
            </w:r>
            <w:r w:rsidRPr="004F62DE">
              <w:t xml:space="preserve">Nordatlantisk kortfinnet makohaj, der </w:t>
            </w:r>
            <w:r w:rsidRPr="004F62DE">
              <w:rPr>
                <w:b/>
                <w:i/>
              </w:rPr>
              <w:t>fanges på EU-fiskerfartøjer, må ikke komme til skade og skal straks genudsættes i havet under behørig hensyntagen til besætningsmedlemmernes sikkerhed</w:t>
            </w:r>
            <w:r w:rsidRPr="004F62DE">
              <w:t>.</w:t>
            </w:r>
          </w:p>
        </w:tc>
      </w:tr>
      <w:tr w:rsidR="00781BC4" w:rsidRPr="004F62DE" w:rsidTr="00A31D6F">
        <w:trPr>
          <w:jc w:val="center"/>
        </w:trPr>
        <w:tc>
          <w:tcPr>
            <w:tcW w:w="4876" w:type="dxa"/>
          </w:tcPr>
          <w:p w:rsidR="0049599D" w:rsidRPr="004F62DE" w:rsidRDefault="00F37C81" w:rsidP="004B110E">
            <w:pPr>
              <w:pStyle w:val="Normal6"/>
            </w:pPr>
            <w:r w:rsidRPr="004F62DE">
              <w:rPr>
                <w:b/>
                <w:i/>
              </w:rPr>
              <w:t xml:space="preserve">2. </w:t>
            </w:r>
            <w:r w:rsidRPr="004F62DE">
              <w:rPr>
                <w:b/>
                <w:i/>
              </w:rPr>
              <w:tab/>
              <w:t>Uanset stk. 1 kan medlemsstaterne give deres fartøjer tilladelse til at fiske efter og beholde om bord, omlade eller lande nordatlantisk kortfinnet makohaj, forudsat at:</w:t>
            </w:r>
          </w:p>
        </w:tc>
        <w:tc>
          <w:tcPr>
            <w:tcW w:w="4876" w:type="dxa"/>
          </w:tcPr>
          <w:p w:rsidR="0049599D" w:rsidRPr="004F62DE" w:rsidRDefault="00F37C81">
            <w:pPr>
              <w:pStyle w:val="Normal6"/>
              <w:rPr>
                <w:szCs w:val="24"/>
              </w:rPr>
            </w:pPr>
            <w:r w:rsidRPr="004F62DE">
              <w:rPr>
                <w:b/>
                <w:i/>
              </w:rPr>
              <w:t>2.</w:t>
            </w:r>
            <w:r w:rsidRPr="004F62DE">
              <w:rPr>
                <w:b/>
                <w:i/>
              </w:rPr>
              <w:tab/>
              <w:t>Medlemsstaterne sikrer, at deres fartøjer anvender minimumsstandarderne vedrørende procedurer for sikker håndtering og udsætning af nordatlantisk kortfinnet makohaj som fastsat i bilag IX.</w:t>
            </w:r>
          </w:p>
        </w:tc>
      </w:tr>
      <w:tr w:rsidR="00781BC4" w:rsidRPr="004F62DE" w:rsidTr="00704275">
        <w:trPr>
          <w:jc w:val="center"/>
        </w:trPr>
        <w:tc>
          <w:tcPr>
            <w:tcW w:w="4876" w:type="dxa"/>
          </w:tcPr>
          <w:p w:rsidR="00704275" w:rsidRPr="004F62DE" w:rsidRDefault="00F37C81" w:rsidP="00704275">
            <w:pPr>
              <w:pStyle w:val="Normal6"/>
              <w:rPr>
                <w:b/>
                <w:i/>
              </w:rPr>
            </w:pPr>
            <w:r w:rsidRPr="004F62DE">
              <w:rPr>
                <w:b/>
                <w:i/>
              </w:rPr>
              <w:t xml:space="preserve">i) </w:t>
            </w:r>
            <w:r w:rsidRPr="004F62DE">
              <w:rPr>
                <w:b/>
                <w:i/>
              </w:rPr>
              <w:tab/>
              <w:t>den kortfinnede makohaj er død, når den bringes op langs med fartøjet for at blive taget om bord</w:t>
            </w:r>
          </w:p>
        </w:tc>
        <w:tc>
          <w:tcPr>
            <w:tcW w:w="4876" w:type="dxa"/>
          </w:tcPr>
          <w:p w:rsidR="00704275" w:rsidRPr="004F62DE" w:rsidRDefault="00704275" w:rsidP="004B110E">
            <w:pPr>
              <w:pStyle w:val="Normal6"/>
              <w:rPr>
                <w:b/>
                <w:i/>
              </w:rPr>
            </w:pPr>
          </w:p>
        </w:tc>
      </w:tr>
      <w:tr w:rsidR="00781BC4" w:rsidRPr="004F62DE" w:rsidTr="00704275">
        <w:trPr>
          <w:jc w:val="center"/>
        </w:trPr>
        <w:tc>
          <w:tcPr>
            <w:tcW w:w="4876" w:type="dxa"/>
          </w:tcPr>
          <w:p w:rsidR="00704275" w:rsidRPr="004F62DE" w:rsidRDefault="00F37C81" w:rsidP="004B110E">
            <w:pPr>
              <w:pStyle w:val="Normal6"/>
              <w:rPr>
                <w:b/>
                <w:i/>
              </w:rPr>
            </w:pPr>
            <w:r w:rsidRPr="004F62DE">
              <w:rPr>
                <w:b/>
                <w:i/>
              </w:rPr>
              <w:t xml:space="preserve">ii) </w:t>
            </w:r>
            <w:r w:rsidRPr="004F62DE">
              <w:rPr>
                <w:b/>
                <w:i/>
              </w:rPr>
              <w:tab/>
              <w:t>antallet af kortfinnede makohajer, der opbevares om bord, ikke overstiger fiskerfartøjets gennemsnitlige landinger af kortfinnet makohaj, mens en observatør er om bord, og at dette kontrolleres ved hjælp af de obligatoriske logbøger og landingsinspektioner, som udføres på grundlag af en risikovurdering.</w:t>
            </w:r>
          </w:p>
        </w:tc>
        <w:tc>
          <w:tcPr>
            <w:tcW w:w="4876" w:type="dxa"/>
          </w:tcPr>
          <w:p w:rsidR="00704275" w:rsidRPr="004F62DE" w:rsidRDefault="00704275" w:rsidP="004B110E">
            <w:pPr>
              <w:pStyle w:val="Normal6"/>
              <w:rPr>
                <w:b/>
                <w:i/>
              </w:rPr>
            </w:pPr>
          </w:p>
        </w:tc>
      </w:tr>
      <w:tr w:rsidR="00781BC4" w:rsidRPr="004F62DE" w:rsidTr="00704275">
        <w:trPr>
          <w:jc w:val="center"/>
        </w:trPr>
        <w:tc>
          <w:tcPr>
            <w:tcW w:w="4876" w:type="dxa"/>
          </w:tcPr>
          <w:p w:rsidR="00704275" w:rsidRPr="004F62DE" w:rsidRDefault="00F37C81" w:rsidP="004B110E">
            <w:pPr>
              <w:pStyle w:val="Normal6"/>
              <w:rPr>
                <w:b/>
                <w:i/>
              </w:rPr>
            </w:pPr>
            <w:r w:rsidRPr="004F62DE">
              <w:rPr>
                <w:b/>
                <w:i/>
              </w:rPr>
              <w:t xml:space="preserve">3. </w:t>
            </w:r>
            <w:r w:rsidRPr="004F62DE">
              <w:rPr>
                <w:b/>
                <w:i/>
              </w:rPr>
              <w:tab/>
              <w:t>For fartøjer med en længde over 12 m kan medlemsstaterne kun give deres fartøjer tilladelse til at fiske efter og beholde om bord, omlade eller lande nordatlantisk kortfinnet makohaj, hvis, ud over betingelserne i stk. 2:</w:t>
            </w:r>
          </w:p>
        </w:tc>
        <w:tc>
          <w:tcPr>
            <w:tcW w:w="4876" w:type="dxa"/>
          </w:tcPr>
          <w:p w:rsidR="00704275" w:rsidRPr="004F62DE" w:rsidRDefault="00F37C81" w:rsidP="004B110E">
            <w:pPr>
              <w:pStyle w:val="Normal6"/>
              <w:rPr>
                <w:b/>
                <w:i/>
              </w:rPr>
            </w:pPr>
            <w:r w:rsidRPr="004F62DE">
              <w:rPr>
                <w:b/>
                <w:i/>
              </w:rPr>
              <w:t>3.</w:t>
            </w:r>
            <w:r w:rsidRPr="004F62DE">
              <w:rPr>
                <w:b/>
                <w:i/>
              </w:rPr>
              <w:tab/>
              <w:t>Fra og med 2023 og derefter hvert år validerer Kommissionen mængden af den tilladte opbevaring i det efterfølgende år på grundlag af den bedste tilgængelige videnskabelige rådgivning.</w:t>
            </w:r>
          </w:p>
        </w:tc>
      </w:tr>
      <w:tr w:rsidR="00781BC4" w:rsidRPr="004F62DE" w:rsidTr="00704275">
        <w:trPr>
          <w:jc w:val="center"/>
        </w:trPr>
        <w:tc>
          <w:tcPr>
            <w:tcW w:w="4876" w:type="dxa"/>
          </w:tcPr>
          <w:p w:rsidR="00704275" w:rsidRPr="004F62DE" w:rsidRDefault="00F37C81" w:rsidP="004B110E">
            <w:pPr>
              <w:pStyle w:val="Normal6"/>
              <w:rPr>
                <w:b/>
                <w:i/>
              </w:rPr>
            </w:pPr>
            <w:r w:rsidRPr="004F62DE">
              <w:rPr>
                <w:b/>
                <w:i/>
              </w:rPr>
              <w:t xml:space="preserve">a) </w:t>
            </w:r>
            <w:r w:rsidRPr="004F62DE">
              <w:rPr>
                <w:b/>
                <w:i/>
              </w:rPr>
              <w:tab/>
              <w:t xml:space="preserve">fartøjet har enten en observatør eller et fungerende elektronisk overvågningssystem om bord, som kan fastslå, om fiskene er døde eller levende </w:t>
            </w:r>
          </w:p>
        </w:tc>
        <w:tc>
          <w:tcPr>
            <w:tcW w:w="4876" w:type="dxa"/>
          </w:tcPr>
          <w:p w:rsidR="00704275" w:rsidRPr="004F62DE" w:rsidRDefault="00704275" w:rsidP="004B110E">
            <w:pPr>
              <w:pStyle w:val="Normal6"/>
              <w:rPr>
                <w:b/>
                <w:i/>
              </w:rPr>
            </w:pPr>
          </w:p>
        </w:tc>
      </w:tr>
      <w:tr w:rsidR="00781BC4" w:rsidRPr="004F62DE" w:rsidTr="00704275">
        <w:trPr>
          <w:jc w:val="center"/>
        </w:trPr>
        <w:tc>
          <w:tcPr>
            <w:tcW w:w="4876" w:type="dxa"/>
          </w:tcPr>
          <w:p w:rsidR="00704275" w:rsidRPr="004F62DE" w:rsidRDefault="00F37C81" w:rsidP="004B110E">
            <w:pPr>
              <w:pStyle w:val="Normal6"/>
              <w:rPr>
                <w:b/>
                <w:i/>
              </w:rPr>
            </w:pPr>
            <w:r w:rsidRPr="004F62DE">
              <w:rPr>
                <w:b/>
                <w:i/>
              </w:rPr>
              <w:t xml:space="preserve">b) </w:t>
            </w:r>
            <w:r w:rsidRPr="004F62DE">
              <w:rPr>
                <w:b/>
                <w:i/>
              </w:rPr>
              <w:tab/>
              <w:t xml:space="preserve">observatøren indsamler data om antallet af fangede individer, kropslængde, køn, tilstand, modenhed (om individet er gravidt og dets kuldstørrelse) og vægten af produkter for hver fanget kortfinnet makohaj samt om fiskeriindsatsen og DEN KOOPERATIVE REPUBLIK GUYANA, i det følgende benævnt "Guyana", </w:t>
            </w:r>
          </w:p>
        </w:tc>
        <w:tc>
          <w:tcPr>
            <w:tcW w:w="4876" w:type="dxa"/>
          </w:tcPr>
          <w:p w:rsidR="00704275" w:rsidRPr="004F62DE" w:rsidRDefault="00704275" w:rsidP="004B110E">
            <w:pPr>
              <w:pStyle w:val="Normal6"/>
              <w:rPr>
                <w:b/>
                <w:i/>
              </w:rPr>
            </w:pPr>
          </w:p>
        </w:tc>
      </w:tr>
      <w:tr w:rsidR="00781BC4" w:rsidRPr="004F62DE" w:rsidTr="00704275">
        <w:trPr>
          <w:jc w:val="center"/>
        </w:trPr>
        <w:tc>
          <w:tcPr>
            <w:tcW w:w="4876" w:type="dxa"/>
          </w:tcPr>
          <w:p w:rsidR="00704275" w:rsidRPr="004F62DE" w:rsidRDefault="00F37C81" w:rsidP="004B110E">
            <w:pPr>
              <w:pStyle w:val="Normal6"/>
              <w:rPr>
                <w:b/>
                <w:i/>
              </w:rPr>
            </w:pPr>
            <w:r w:rsidRPr="004F62DE">
              <w:rPr>
                <w:b/>
                <w:i/>
              </w:rPr>
              <w:t xml:space="preserve">c) </w:t>
            </w:r>
            <w:r w:rsidRPr="004F62DE">
              <w:rPr>
                <w:b/>
                <w:i/>
              </w:rPr>
              <w:tab/>
              <w:t>antallet af døde fisk, der bliver smidt ud, og af levende fisk, der bliver genudsat, når den kortfinnede makohaj ikke beholdes om bord, registreres af observatøren eller på grundlag af skønnet fra registreringerne fra det elektroniske overvågningssystem.</w:t>
            </w:r>
          </w:p>
        </w:tc>
        <w:tc>
          <w:tcPr>
            <w:tcW w:w="4876" w:type="dxa"/>
          </w:tcPr>
          <w:p w:rsidR="00704275" w:rsidRPr="004F62DE" w:rsidRDefault="00704275" w:rsidP="004B110E">
            <w:pPr>
              <w:pStyle w:val="Normal6"/>
              <w:rPr>
                <w:b/>
                <w:i/>
              </w:rPr>
            </w:pPr>
          </w:p>
        </w:tc>
      </w:tr>
      <w:tr w:rsidR="00781BC4" w:rsidRPr="004F62DE" w:rsidTr="00A31D6F">
        <w:trPr>
          <w:jc w:val="center"/>
        </w:trPr>
        <w:tc>
          <w:tcPr>
            <w:tcW w:w="4876" w:type="dxa"/>
          </w:tcPr>
          <w:p w:rsidR="0049599D" w:rsidRPr="004F62DE" w:rsidRDefault="00F37C81" w:rsidP="004B110E">
            <w:pPr>
              <w:pStyle w:val="Normal6"/>
              <w:rPr>
                <w:b/>
                <w:i/>
              </w:rPr>
            </w:pPr>
            <w:r w:rsidRPr="004F62DE">
              <w:rPr>
                <w:b/>
                <w:i/>
              </w:rPr>
              <w:t xml:space="preserve">4. </w:t>
            </w:r>
            <w:r w:rsidRPr="004F62DE">
              <w:rPr>
                <w:b/>
                <w:i/>
              </w:rPr>
              <w:tab/>
              <w:t xml:space="preserve">Observatøren opfordres desuden til at indsamle biologiske stikprøver, som f.eks. muskelvæv (med henblik på at identificere bestandene), forplantningsorganer med fostre (med henblik på at fastslå graviditetscyklussen og formeringsevnen) og ryghvirvler (med henblik på at fortage et skøn af vækstkurven). De pågældende medlemsstater analyserer de biologiske stikprøver, der udtages af observatøren, og Kommissionen fremsender resultatet til Det Stående Udvalg for Forskning og Statistik. </w:t>
            </w:r>
          </w:p>
        </w:tc>
        <w:tc>
          <w:tcPr>
            <w:tcW w:w="4876" w:type="dxa"/>
          </w:tcPr>
          <w:p w:rsidR="0049599D" w:rsidRPr="004F62DE" w:rsidRDefault="0049599D" w:rsidP="004B110E">
            <w:pPr>
              <w:pStyle w:val="Normal6"/>
              <w:rPr>
                <w:szCs w:val="24"/>
              </w:rPr>
            </w:pPr>
          </w:p>
        </w:tc>
      </w:tr>
      <w:tr w:rsidR="00781BC4" w:rsidRPr="004F62DE" w:rsidTr="00704275">
        <w:trPr>
          <w:jc w:val="center"/>
        </w:trPr>
        <w:tc>
          <w:tcPr>
            <w:tcW w:w="4876" w:type="dxa"/>
          </w:tcPr>
          <w:p w:rsidR="00704275" w:rsidRPr="004F62DE" w:rsidRDefault="00F37C81" w:rsidP="004B110E">
            <w:pPr>
              <w:pStyle w:val="Normal6"/>
              <w:rPr>
                <w:b/>
                <w:i/>
              </w:rPr>
            </w:pPr>
            <w:r w:rsidRPr="004F62DE">
              <w:rPr>
                <w:b/>
                <w:i/>
              </w:rPr>
              <w:t xml:space="preserve">5. </w:t>
            </w:r>
            <w:r w:rsidRPr="004F62DE">
              <w:rPr>
                <w:b/>
                <w:i/>
              </w:rPr>
              <w:tab/>
              <w:t>For kortfinnet makohaj meddeler medlemsstaterne også Kommissionen antallet af døde fisk, der er smidt ud, og antallet af levende fisk, der er genudsat, skønnet på grundlag af den samlede fiskeriindsats og medlemsstaternes relevante flåder med anvendelse af de data, der er indsamlet gennem observatørprogrammer eller andre relevante dataindsamlingsprogrammer. Medlemsstater, der ikke tillader deres fartøjer at fiske efter, beholde om bord, omlade eller lande nordatlantisk kortfinnet makohaj i overensstemmelse med stk. 2 og 3, registrerer også, for nordatlantisk kortfinnet makohaj, gennem deres observatørprogrammer antallet af døde fisk, der smides ud, og levende fisk, der genudsættes. Kommissionen rapporterer disse oplysninger til Det Stående Udvalg for Forskning og Statistik."</w:t>
            </w:r>
          </w:p>
        </w:tc>
        <w:tc>
          <w:tcPr>
            <w:tcW w:w="4876" w:type="dxa"/>
          </w:tcPr>
          <w:p w:rsidR="00704275" w:rsidRPr="004F62DE" w:rsidRDefault="00704275" w:rsidP="004B110E">
            <w:pPr>
              <w:pStyle w:val="Normal6"/>
              <w:rPr>
                <w:b/>
                <w:i/>
              </w:rPr>
            </w:pP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21-09 har ændret artikel 33. ICCAT-henstilling 21-09 fastslår, at der ikke er nogen tilladt opbevaring for nordatlantisk kortfinnet mako. Mulig fremtidig opbevaring vil blive fastlagt i overensstemmelse med punkt 5 i henstillingen.</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26</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24 a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33a (ny)</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E62DFE">
            <w:pPr>
              <w:pStyle w:val="Normal6"/>
              <w:rPr>
                <w:szCs w:val="24"/>
              </w:rPr>
            </w:pPr>
            <w:r w:rsidRPr="004F62DE">
              <w:rPr>
                <w:b/>
                <w:i/>
              </w:rPr>
              <w:t>24a.</w:t>
            </w:r>
            <w:r w:rsidRPr="004F62DE">
              <w:rPr>
                <w:b/>
                <w:i/>
              </w:rPr>
              <w:tab/>
              <w:t>Følgende artikel indsættes: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33a</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Sydatlantisk kortfinnet makohaj (Isurus oxyrinchus)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Medlemsstaterne sikrer, at deres fartøjer anvender minimumsstandarderne vedrørende procedurer for sikker håndtering og udsætning af sydatlantisk kortfinnet makohaj som fastsat i bilag IX.</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2.</w:t>
            </w:r>
            <w:r w:rsidRPr="004F62DE">
              <w:rPr>
                <w:b/>
                <w:i/>
              </w:rPr>
              <w:tab/>
              <w:t>Medlemsstaterne indberetter månedligt til Kommissionen alle tilladte landinger for fartøjer, der fører deres flag, og som har tilladelse til at fange sydatlantisk kortfinnet mako. Denne rapport sendes til Kommissionen senest 15 dage efter udgangen af den kalendermåned, hvor fangsterne blev taget. Desuden indberetter medlemsstaterne hvert år udsmid af døde fisk, af levende fisk, der bliver genudsat, og samlede fangster fra fartøjer, der fører deres flag, til Kommissionen.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E62DFE">
            <w:pPr>
              <w:pStyle w:val="Normal6"/>
              <w:rPr>
                <w:szCs w:val="24"/>
              </w:rPr>
            </w:pPr>
            <w:r w:rsidRPr="004F62DE">
              <w:rPr>
                <w:b/>
                <w:i/>
              </w:rPr>
              <w:t>3.</w:t>
            </w:r>
            <w:r w:rsidRPr="004F62DE">
              <w:rPr>
                <w:b/>
                <w:i/>
              </w:rPr>
              <w:tab/>
              <w:t>Senest den 30. juni hvert år meddeler de medlemsstater, hvis fartøjer har fanget (landinger og udsmid af døde fisk) sydatlantisk kortfinnet makohaj, Kommissionen den statistiske metode, der anvendes til at estimere dødt udsmid og levende fisk, der bliver genudsat. Medlemsstater med ikkeindustrielt fiskeri og småfiskeri skal også fremlægge oplysninger om deres dataindsamlingsprogrammer.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Som en del af deres årlige indgivelse af opgave 1- og 2-data forelægger medlemsstaterne Kommissionen alle relevante data for sydatlantisk kortfinnet mako, herunder skøn over udsmid af døde fisk og levende fisk, der bliver genudsat, ved hjælp af de metoder, der er godkendt af SCRS."</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FN-henstilling 22-11.</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27</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rPr>
          <w:rStyle w:val="HideTWBExt"/>
          <w:b w:val="0"/>
          <w:noProof w:val="0"/>
        </w:rPr>
      </w:pPr>
      <w:r w:rsidRPr="004F62DE">
        <w:rPr>
          <w:rStyle w:val="HideTWBExt"/>
          <w:b w:val="0"/>
          <w:noProof w:val="0"/>
        </w:rPr>
        <w:t>&lt;Article&gt;</w:t>
      </w:r>
      <w:r w:rsidRPr="004F62DE">
        <w:t>Artikel 1 – stk. 1 – nr. 25 a (nyt)</w:t>
      </w:r>
      <w:r w:rsidRPr="004F62DE">
        <w:rPr>
          <w:rStyle w:val="HideTWBExt"/>
          <w:b w:val="0"/>
          <w:noProof w:val="0"/>
        </w:rPr>
        <w:t>&lt;/Article&gt;</w:t>
      </w:r>
    </w:p>
    <w:p w:rsidR="004B110E" w:rsidRPr="004F62DE" w:rsidRDefault="00F37C81" w:rsidP="004B110E">
      <w:pPr>
        <w:keepNext/>
      </w:pPr>
      <w:r w:rsidRPr="004F62DE">
        <w:rPr>
          <w:rStyle w:val="HideTWBExt"/>
          <w:noProof w:val="0"/>
        </w:rPr>
        <w:t>&lt;DocAmend2&gt;</w:t>
      </w:r>
      <w:r w:rsidRPr="004F62DE">
        <w:t>Forordning (EU) 2017/2107</w:t>
      </w:r>
      <w:r w:rsidRPr="004F62DE">
        <w:rPr>
          <w:rStyle w:val="HideTWBExt"/>
          <w:noProof w:val="0"/>
        </w:rPr>
        <w:t>&lt;/DocAmend2&gt;</w:t>
      </w:r>
    </w:p>
    <w:p w:rsidR="004B110E" w:rsidRPr="004F62DE" w:rsidRDefault="00F37C81" w:rsidP="004B110E">
      <w:pPr>
        <w:pStyle w:val="NormalBold"/>
        <w:rPr>
          <w:b w:val="0"/>
        </w:rPr>
      </w:pPr>
      <w:r w:rsidRPr="004F62DE">
        <w:rPr>
          <w:rStyle w:val="HideTWBExt"/>
          <w:b w:val="0"/>
          <w:noProof w:val="0"/>
        </w:rPr>
        <w:t>&lt;Article2&gt;</w:t>
      </w:r>
      <w:r w:rsidRPr="004F62DE">
        <w:rPr>
          <w:b w:val="0"/>
        </w:rPr>
        <w:t>Artikel 41</w:t>
      </w:r>
      <w:r w:rsidRPr="004F62DE">
        <w:rPr>
          <w:rStyle w:val="HideTWBExt"/>
          <w:b w:val="0"/>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25a.</w:t>
            </w:r>
            <w:r w:rsidRPr="004F62DE">
              <w:rPr>
                <w:b/>
                <w:i/>
              </w:rPr>
              <w:tab/>
              <w:t>I artikel 41 foretages følgende ændringer: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Følgende stykke indsættes: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"2a.</w:t>
            </w:r>
            <w:r w:rsidRPr="004F62DE">
              <w:rPr>
                <w:b/>
                <w:i/>
              </w:rPr>
              <w:tab/>
              <w:t>Medlemsstaterne kræver, at fartøjer, der fører deres flag, og som fisker med langliner på lavt vand:</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E62DFE">
            <w:pPr>
              <w:pStyle w:val="Normal6"/>
              <w:rPr>
                <w:szCs w:val="24"/>
              </w:rPr>
            </w:pPr>
            <w:r w:rsidRPr="004F62DE">
              <w:rPr>
                <w:b/>
                <w:i/>
              </w:rPr>
              <w:t xml:space="preserve">- kun bruger store cirkelkroge </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 som madding kun bruger finnefisk eller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 anvender andre foranstaltninger, der er blevet gennemgået og anset for at være effektive og godkendt af ICCAT til at være i stand til at reducere interaktionsraten med havskildpadder i fiskeri med langliner på lavt vand."</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w:t>
            </w:r>
            <w:r w:rsidRPr="004F62DE">
              <w:rPr>
                <w:b/>
                <w:i/>
              </w:rPr>
              <w:tab/>
              <w:t>Stk. 4 affattes således:</w:t>
            </w:r>
          </w:p>
        </w:tc>
      </w:tr>
      <w:tr w:rsidR="00781BC4" w:rsidRPr="004F62DE" w:rsidTr="004B110E">
        <w:trPr>
          <w:jc w:val="center"/>
        </w:trPr>
        <w:tc>
          <w:tcPr>
            <w:tcW w:w="4876" w:type="dxa"/>
          </w:tcPr>
          <w:p w:rsidR="0049599D" w:rsidRPr="004F62DE" w:rsidRDefault="00F37C81" w:rsidP="004B110E">
            <w:pPr>
              <w:pStyle w:val="Normal6"/>
            </w:pPr>
            <w:r w:rsidRPr="004F62DE">
              <w:t>"4.</w:t>
            </w:r>
            <w:r w:rsidR="00AE68A5" w:rsidRPr="004F62DE">
              <w:t xml:space="preserve"> </w:t>
            </w:r>
            <w:r w:rsidRPr="004F62DE">
              <w:t xml:space="preserve">Medlemsstaterne skal </w:t>
            </w:r>
            <w:r w:rsidRPr="004F62DE">
              <w:rPr>
                <w:b/>
                <w:i/>
              </w:rPr>
              <w:t>uddanne fiskere på pelagiske langlinefartøjer i teknikker til sikker håndtering og genudsætning.</w:t>
            </w:r>
          </w:p>
        </w:tc>
        <w:tc>
          <w:tcPr>
            <w:tcW w:w="4876" w:type="dxa"/>
          </w:tcPr>
          <w:p w:rsidR="0049599D" w:rsidRPr="004F62DE" w:rsidRDefault="00F37C81" w:rsidP="004B110E">
            <w:pPr>
              <w:pStyle w:val="Normal6"/>
              <w:rPr>
                <w:szCs w:val="24"/>
              </w:rPr>
            </w:pPr>
            <w:r w:rsidRPr="004F62DE">
              <w:rPr>
                <w:b/>
                <w:i/>
              </w:rPr>
              <w:t>"4.</w:t>
            </w:r>
            <w:r w:rsidRPr="004F62DE">
              <w:rPr>
                <w:b/>
                <w:i/>
              </w:rPr>
              <w:tab/>
            </w:r>
            <w:r w:rsidRPr="004F62DE">
              <w:t>Medlemsstaterne skal</w:t>
            </w:r>
            <w:r w:rsidRPr="004F62DE">
              <w:rPr>
                <w:b/>
                <w:i/>
              </w:rPr>
              <w: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sikre, at interaktioner med havskildpadder reduceres og elimineres i det omfang, det er praktisk muligt, hvor møder med havskildpadder er blevet dokumenteret og rapporteret til SCRS gennem brug eller fortsat brug af mindst en af følgende afbødende foranstaltninger til undgåelse af bifangst: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i)</w:t>
            </w:r>
            <w:r w:rsidRPr="004F62DE">
              <w:rPr>
                <w:b/>
                <w:i/>
              </w:rPr>
              <w:tab/>
              <w:t>alternative eller nye redskabstyper og redskabsændringer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ii)</w:t>
            </w:r>
            <w:r w:rsidRPr="004F62DE">
              <w:rPr>
                <w:b/>
                <w:i/>
              </w:rPr>
              <w:tab/>
              <w:t>periode- og områderestriktioner og lukning af fiskeri i tilfælde, hvor der er en højere risiko for interaktion med havskildpadder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iii)</w:t>
            </w:r>
            <w:r w:rsidRPr="004F62DE">
              <w:rPr>
                <w:b/>
                <w:i/>
              </w:rPr>
              <w:tab/>
              <w:t>effektiv mærkning af statiske netredskaber, der gør det muligt for havskildpadder at detektere dem såsom brug af netfarver, lette passive reflektorer, tykkere tråddiameter, propper eller andre materialer i nettet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E62DFE">
            <w:pPr>
              <w:pStyle w:val="Normal6"/>
              <w:rPr>
                <w:szCs w:val="24"/>
              </w:rPr>
            </w:pPr>
            <w:r w:rsidRPr="004F62DE">
              <w:rPr>
                <w:b/>
                <w:i/>
              </w:rPr>
              <w:t>iv)</w:t>
            </w:r>
            <w:r w:rsidRPr="004F62DE">
              <w:rPr>
                <w:b/>
                <w:i/>
              </w:rPr>
              <w:tab/>
              <w:t>ændringer i fiskeriets adfærd og strategi (f.eks. reduceret sættetid).</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w:t>
            </w:r>
            <w:r w:rsidRPr="004F62DE">
              <w:rPr>
                <w:b/>
                <w:i/>
              </w:rPr>
              <w:tab/>
              <w:t>kræve, at deres notfartøjer undgår at omringe havskildpadder i det omfang, det er praktisk muligt, frigive omsluttede eller sammenfiltrede havskildpadder, herunder på FAD'er, hvor det er muligt, og sikre, at FAD'er anvendes og er konstrueret i henhold til bilag X for effektivt at eliminere sammenfiltringsrisici for havskildpadder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c)</w:t>
            </w:r>
            <w:r w:rsidRPr="004F62DE">
              <w:rPr>
                <w:b/>
                <w:i/>
              </w:rPr>
              <w:tab/>
              <w:t>tage alle rimelige skridt til at sikre en sikker frigivelse af havskildpadder på en måde, der maksimerer sandsynligheden for deres overlevelse ved at kræve, at: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i)</w:t>
            </w:r>
            <w:r w:rsidRPr="004F62DE">
              <w:rPr>
                <w:b/>
                <w:i/>
              </w:rPr>
              <w:tab/>
              <w:t>notfartøjer og langlinefartøjer, der fører deres flag, og andre typer fartøjer, der fører deres flag, og som anvender redskaber, som havskildpadder kan blive viklet ind i, har linekappeanordninger, redskaber til at fjerne kroge og kurvløftere eller ketsjere om bord, alt efter hvad der er relevant for hver redskabstype, og som er i overensstemmelse med "Best practices for sea turtle handling and release" i FAO's retningslinjer til reduktion af havskildpaddedødelighed i fiskeriet (2009)</w:t>
            </w:r>
            <w:r w:rsidRPr="004F62DE">
              <w:rPr>
                <w:b/>
                <w:i/>
                <w:vertAlign w:val="superscript"/>
              </w:rPr>
              <w:t>1a</w:t>
            </w:r>
            <w:r w:rsidRPr="004F62DE">
              <w:rPr>
                <w:b/>
                <w:i/>
              </w:rPr>
              <w:t xml:space="preserve"> ("FAO's retningslinjer")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ii)</w:t>
            </w:r>
            <w:r w:rsidRPr="004F62DE">
              <w:rPr>
                <w:b/>
                <w:i/>
              </w:rPr>
              <w:tab/>
              <w:t>sådanne fartøjers ejere, operatører og besætning samt eventuelle observatører om bord anvender sådant udstyr i overensstemmelse med sikker håndtering og genudsættelsespraksis i bilag XI og i overensstemmelse med FAO's retningslinjer. Desuden skal ejere, operatører og besætning tilskyndes til at have uddannelse i brugen af sådant udstyr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E62DFE">
            <w:pPr>
              <w:pStyle w:val="Normal6"/>
              <w:rPr>
                <w:szCs w:val="24"/>
              </w:rPr>
            </w:pPr>
            <w:r w:rsidRPr="004F62DE">
              <w:rPr>
                <w:b/>
                <w:i/>
              </w:rPr>
              <w:t>d)</w:t>
            </w:r>
            <w:r w:rsidRPr="004F62DE">
              <w:rPr>
                <w:b/>
                <w:i/>
              </w:rPr>
              <w:tab/>
              <w:t>kræve, at deres fiskere på fartøjer, der fisker efter arter, der er omfattet af konventionen, hurtigst muligt bringer enhver fanget havskildpadde om bord, der er bevidstløs eller inaktiv, og fremme dens restitution, herunder give den genoplivning i overensstemmelse med bilag XI, inden den returneres til vandet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E62DFE">
            <w:pPr>
              <w:pStyle w:val="Normal6"/>
              <w:rPr>
                <w:szCs w:val="24"/>
              </w:rPr>
            </w:pPr>
            <w:r w:rsidRPr="004F62DE">
              <w:rPr>
                <w:b/>
                <w:i/>
              </w:rPr>
              <w:t>e)</w:t>
            </w:r>
            <w:r w:rsidRPr="004F62DE">
              <w:rPr>
                <w:b/>
                <w:i/>
              </w:rPr>
              <w:tab/>
              <w:t>sikre, at fiskere er bekendt med og anvender passende afbødnings- og håndteringsteknikker, jf. bilag XI."</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c)</w:t>
            </w:r>
            <w:r w:rsidRPr="004F62DE">
              <w:rPr>
                <w:b/>
                <w:i/>
              </w:rPr>
              <w:tab/>
              <w:t>Følgende stykke tilføjes: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Uanset stk. 2a og 4 gælder følgende i Middelhavet: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stk. 2a finder ikke anvendelse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w:t>
            </w:r>
            <w:r w:rsidRPr="004F62DE">
              <w:rPr>
                <w:b/>
                <w:i/>
              </w:rPr>
              <w:tab/>
              <w:t>stk. 2 og 3 finder ikke anvendelse før den 31. december 2025.</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__________________</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vertAlign w:val="superscript"/>
              </w:rPr>
              <w:t>1a</w:t>
            </w:r>
            <w:r w:rsidRPr="004F62DE">
              <w:rPr>
                <w:b/>
                <w:i/>
              </w:rPr>
              <w:t xml:space="preserve"> http://www.fao.org/docrep/012/i0725e/i0725e.pdf."</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Henstilling 22-12.</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28</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keepNext/>
      </w:pPr>
      <w:r w:rsidRPr="004F62DE">
        <w:rPr>
          <w:rStyle w:val="HideTWBExt"/>
          <w:b/>
          <w:noProof w:val="0"/>
        </w:rPr>
        <w:t>&lt;Article&gt;</w:t>
      </w:r>
      <w:r w:rsidRPr="004F62DE">
        <w:t>Artikel 1 – stk. 1 – nr. 26 – indledning</w:t>
      </w:r>
      <w:r w:rsidRPr="004F62DE">
        <w:rPr>
          <w:rStyle w:val="HideTWBExt"/>
          <w:b/>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A31D6F">
      <w:r w:rsidRPr="004F62DE">
        <w:rPr>
          <w:rStyle w:val="HideTWBExt"/>
          <w:noProof w:val="0"/>
        </w:rPr>
        <w:t>&lt;Article2&gt;</w:t>
      </w:r>
      <w:r w:rsidRPr="004F62DE">
        <w:t>Artikel 44a</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26)</w:t>
            </w:r>
            <w:r w:rsidRPr="004F62DE">
              <w:tab/>
            </w:r>
            <w:r w:rsidRPr="004F62DE">
              <w:rPr>
                <w:b/>
                <w:i/>
              </w:rPr>
              <w:t>Som</w:t>
            </w:r>
            <w:r w:rsidRPr="004F62DE">
              <w:t xml:space="preserve"> artikel </w:t>
            </w:r>
            <w:r w:rsidRPr="004F62DE">
              <w:rPr>
                <w:b/>
                <w:i/>
              </w:rPr>
              <w:t>44a indsættes</w:t>
            </w:r>
            <w:r w:rsidRPr="004F62DE">
              <w:t>:</w:t>
            </w:r>
          </w:p>
        </w:tc>
        <w:tc>
          <w:tcPr>
            <w:tcW w:w="4876" w:type="dxa"/>
          </w:tcPr>
          <w:p w:rsidR="0049599D" w:rsidRPr="004F62DE" w:rsidRDefault="00F37C81" w:rsidP="00E62DFE">
            <w:pPr>
              <w:pStyle w:val="Normal6"/>
              <w:rPr>
                <w:szCs w:val="24"/>
              </w:rPr>
            </w:pPr>
            <w:r w:rsidRPr="004F62DE">
              <w:t>26)</w:t>
            </w:r>
            <w:r w:rsidRPr="004F62DE">
              <w:tab/>
            </w:r>
            <w:r w:rsidRPr="004F62DE">
              <w:rPr>
                <w:b/>
                <w:i/>
              </w:rPr>
              <w:t>Følgende</w:t>
            </w:r>
            <w:r w:rsidRPr="004F62DE">
              <w:t xml:space="preserve"> artikel </w:t>
            </w:r>
            <w:r w:rsidRPr="004F62DE">
              <w:rPr>
                <w:b/>
                <w:i/>
              </w:rPr>
              <w:t>tilføjes</w:t>
            </w:r>
            <w:r w:rsidRPr="004F62DE">
              <w: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Sproglig præcisering.</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29</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26</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44a – overskrift</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Artikel 44a</w:t>
            </w:r>
          </w:p>
        </w:tc>
        <w:tc>
          <w:tcPr>
            <w:tcW w:w="4876" w:type="dxa"/>
          </w:tcPr>
          <w:p w:rsidR="0049599D" w:rsidRPr="004F62DE" w:rsidRDefault="00F37C81" w:rsidP="004B110E">
            <w:pPr>
              <w:pStyle w:val="Normal6"/>
              <w:rPr>
                <w:szCs w:val="24"/>
              </w:rPr>
            </w:pPr>
            <w:r w:rsidRPr="004F62DE">
              <w:rPr>
                <w:i/>
                <w:iCs/>
              </w:rPr>
              <w:t>(Vedrører ikke den danske tekst)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Sproglig præcisering.</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30</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26</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44a – stk. 1</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Ud over bestemmelserne i artikel 9 i Rådets forordning (EF) nr. 1224/2009</w:t>
            </w:r>
            <w:r w:rsidRPr="004F62DE">
              <w:rPr>
                <w:vertAlign w:val="superscript"/>
              </w:rPr>
              <w:t>5</w:t>
            </w:r>
            <w:r w:rsidRPr="004F62DE">
              <w:t xml:space="preserve"> af 20. november 2009 sikrer </w:t>
            </w:r>
            <w:r w:rsidRPr="004F62DE">
              <w:rPr>
                <w:b/>
                <w:i/>
              </w:rPr>
              <w:t>hver medlemsstat</w:t>
            </w:r>
            <w:r w:rsidRPr="004F62DE">
              <w:t xml:space="preserve">, at </w:t>
            </w:r>
            <w:r w:rsidRPr="004F62DE">
              <w:rPr>
                <w:b/>
                <w:i/>
              </w:rPr>
              <w:t xml:space="preserve">satellitsporingsanordningerne </w:t>
            </w:r>
            <w:r w:rsidRPr="004F62DE">
              <w:t xml:space="preserve">på fiskerfartøjer, der fører deres flag, altid er fuldt funktionsdygtige, og at </w:t>
            </w:r>
            <w:r w:rsidRPr="004F62DE">
              <w:rPr>
                <w:b/>
                <w:i/>
              </w:rPr>
              <w:t>oplysningerne</w:t>
            </w:r>
            <w:r w:rsidRPr="004F62DE">
              <w:t xml:space="preserve"> indsamles og overføres mindst én gang i timen for notfartøjer."</w:t>
            </w:r>
          </w:p>
        </w:tc>
        <w:tc>
          <w:tcPr>
            <w:tcW w:w="4876" w:type="dxa"/>
          </w:tcPr>
          <w:p w:rsidR="0049599D" w:rsidRPr="004F62DE" w:rsidRDefault="00F37C81" w:rsidP="004B110E">
            <w:pPr>
              <w:pStyle w:val="Normal6"/>
              <w:rPr>
                <w:szCs w:val="24"/>
              </w:rPr>
            </w:pPr>
            <w:r w:rsidRPr="004F62DE">
              <w:t>Ud over bestemmelserne i artikel 9 i Rådets forordning (EF) nr. 1224/2009</w:t>
            </w:r>
            <w:r w:rsidRPr="004F62DE">
              <w:rPr>
                <w:vertAlign w:val="superscript"/>
              </w:rPr>
              <w:t>5</w:t>
            </w:r>
            <w:r w:rsidRPr="004F62DE">
              <w:t xml:space="preserve"> af 20. november 2009 sikrer </w:t>
            </w:r>
            <w:r w:rsidRPr="004F62DE">
              <w:rPr>
                <w:b/>
                <w:i/>
              </w:rPr>
              <w:t>medlemsstaterne</w:t>
            </w:r>
            <w:r w:rsidRPr="004F62DE">
              <w:t xml:space="preserve">, at </w:t>
            </w:r>
            <w:r w:rsidRPr="004F62DE">
              <w:rPr>
                <w:b/>
                <w:i/>
              </w:rPr>
              <w:t>sporingsanordningerne</w:t>
            </w:r>
            <w:r w:rsidRPr="004F62DE">
              <w:t xml:space="preserve"> på fiskerfartøjer, der fører deres flag, altid er fuldt funktionsdygtige, og at </w:t>
            </w:r>
            <w:r w:rsidRPr="004F62DE">
              <w:rPr>
                <w:b/>
                <w:i/>
              </w:rPr>
              <w:t xml:space="preserve">fartøjets positionsdata </w:t>
            </w:r>
            <w:r w:rsidRPr="004F62DE">
              <w:t xml:space="preserve">indsamles og overføres </w:t>
            </w:r>
            <w:r w:rsidRPr="004F62DE">
              <w:rPr>
                <w:b/>
                <w:i/>
              </w:rPr>
              <w:t xml:space="preserve">til medlemsstatens kompetente myndigheder </w:t>
            </w:r>
            <w:r w:rsidRPr="004F62DE">
              <w:t xml:space="preserve">mindst én gang i timen for notfartøjer </w:t>
            </w:r>
            <w:r w:rsidRPr="004F62DE">
              <w:rPr>
                <w:b/>
                <w:i/>
              </w:rPr>
              <w:t>og mindst én gang hver anden time for alle andre fartøjer</w:t>
            </w:r>
            <w:r w:rsidRPr="004F62DE">
              <w:t>."</w:t>
            </w:r>
          </w:p>
        </w:tc>
      </w:tr>
      <w:tr w:rsidR="00781BC4" w:rsidRPr="004F62DE" w:rsidTr="004B110E">
        <w:trPr>
          <w:jc w:val="center"/>
        </w:trPr>
        <w:tc>
          <w:tcPr>
            <w:tcW w:w="4876" w:type="dxa"/>
          </w:tcPr>
          <w:p w:rsidR="0049599D" w:rsidRPr="004F62DE" w:rsidRDefault="00F37C81" w:rsidP="004B110E">
            <w:pPr>
              <w:pStyle w:val="Normal6"/>
            </w:pPr>
            <w:r w:rsidRPr="004F62DE">
              <w:t>__________________</w:t>
            </w:r>
          </w:p>
        </w:tc>
        <w:tc>
          <w:tcPr>
            <w:tcW w:w="4876" w:type="dxa"/>
          </w:tcPr>
          <w:p w:rsidR="0049599D" w:rsidRPr="004F62DE" w:rsidRDefault="00F37C81" w:rsidP="004B110E">
            <w:pPr>
              <w:pStyle w:val="Normal6"/>
              <w:rPr>
                <w:szCs w:val="24"/>
              </w:rPr>
            </w:pPr>
            <w:r w:rsidRPr="004F62DE">
              <w:t>__________________</w:t>
            </w:r>
          </w:p>
        </w:tc>
      </w:tr>
      <w:tr w:rsidR="00781BC4" w:rsidRPr="004F62DE" w:rsidTr="004B110E">
        <w:trPr>
          <w:jc w:val="center"/>
        </w:trPr>
        <w:tc>
          <w:tcPr>
            <w:tcW w:w="4876" w:type="dxa"/>
          </w:tcPr>
          <w:p w:rsidR="0049599D" w:rsidRPr="004F62DE" w:rsidRDefault="00F37C81" w:rsidP="004B110E">
            <w:pPr>
              <w:pStyle w:val="Normal6"/>
            </w:pPr>
            <w:r w:rsidRPr="004F62DE">
              <w:rPr>
                <w:vertAlign w:val="superscript"/>
              </w:rPr>
              <w:t>5</w:t>
            </w:r>
            <w:r w:rsidRPr="004F62DE">
              <w:t xml:space="preserve"> Rådets forordning (EF) nr. 1224/2009 af 20. november 2009 om oprettelse af en kontrolordning for Unionen med henblik på at sikre overholdelse af reglerne i den fælles fiskeripolitik, om ændring af forordning (EF) nr. 847/96, (EF) nr. 2371/2002, (EF) nr. 811/2004, (EF) nr. 768/2005, (EF) nr. 2115/2005, (EF) nr. 2166/2005, (EF) nr. 388/2006, (EF) nr. 509/2007, (EF) nr. 676/2007, (EF) nr. 1098/2007, (EF) nr. 1300/2008, (EF) nr. 1342/2008 og om ophævelse af forordning (EØF) nr. 2847/93, (EF) nr. 1627/94 og (EF) nr. 1966/2006 (EUT L 343 af 22.12.2009, s. 1).</w:t>
            </w:r>
          </w:p>
        </w:tc>
        <w:tc>
          <w:tcPr>
            <w:tcW w:w="4876" w:type="dxa"/>
          </w:tcPr>
          <w:p w:rsidR="0049599D" w:rsidRPr="004F62DE" w:rsidRDefault="00F37C81" w:rsidP="004B110E">
            <w:pPr>
              <w:pStyle w:val="Normal6"/>
              <w:rPr>
                <w:szCs w:val="24"/>
              </w:rPr>
            </w:pPr>
            <w:r w:rsidRPr="004F62DE">
              <w:rPr>
                <w:vertAlign w:val="superscript"/>
              </w:rPr>
              <w:t>5</w:t>
            </w:r>
            <w:r w:rsidRPr="004F62DE">
              <w:t xml:space="preserve"> Rådets forordning (EF) nr. 1224/2009 af 20. november 2009 om oprettelse af en kontrolordning for Unionen med henblik på at sikre overholdelse af reglerne i den fælles fiskeripolitik, om ændring af forordning (EF) nr. 847/96, (EF) nr. 2371/2002, (EF) nr. 811/2004, (EF) nr. 768/2005, (EF) nr. 2115/2005, (EF) nr. 2166/2005, (EF) nr. 388/2006, (EF) nr. 509/2007, (EF) nr. 676/2007, (EF) nr. 1098/2007, (EF) nr. 1300/2008, (EF) nr. 1342/2008 og om ophævelse af forordning (EØF) nr. 2847/93, (EF) nr. 1627/94 og (EF) nr. 1966/2006 (EUT L 343 af 22.12.2009, s. 1).</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Henstilling 18-10 indeholder yderligere regler, der også bør gennemføres i denne forordning.</w:t>
      </w:r>
    </w:p>
    <w:p w:rsidR="0049599D" w:rsidRPr="004F62DE" w:rsidRDefault="00F37C81" w:rsidP="0049599D">
      <w:r w:rsidRPr="004F62DE">
        <w:rPr>
          <w:rStyle w:val="HideTWBExt"/>
          <w:noProof w:val="0"/>
        </w:rPr>
        <w:t>&lt;/Amend&gt;</w:t>
      </w:r>
    </w:p>
    <w:p w:rsidR="000641D5" w:rsidRPr="004F62DE" w:rsidRDefault="00F37C81" w:rsidP="000641D5">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31</w:t>
      </w:r>
      <w:r w:rsidRPr="004F62DE">
        <w:rPr>
          <w:rStyle w:val="HideTWBExt"/>
          <w:b w:val="0"/>
          <w:noProof w:val="0"/>
        </w:rPr>
        <w:t>&lt;/NumAm&gt;</w:t>
      </w:r>
    </w:p>
    <w:p w:rsidR="000641D5" w:rsidRPr="004F62DE" w:rsidRDefault="00F37C81" w:rsidP="000641D5">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0641D5" w:rsidRPr="004F62DE" w:rsidRDefault="00F37C81" w:rsidP="000641D5">
      <w:pPr>
        <w:pStyle w:val="NormalBold"/>
      </w:pPr>
      <w:r w:rsidRPr="004F62DE">
        <w:rPr>
          <w:rStyle w:val="HideTWBExt"/>
          <w:b w:val="0"/>
          <w:noProof w:val="0"/>
        </w:rPr>
        <w:t>&lt;Article&gt;</w:t>
      </w:r>
      <w:r w:rsidRPr="004F62DE">
        <w:t>Artikel 1 – stk. 1 – nr. 26</w:t>
      </w:r>
      <w:r w:rsidRPr="004F62DE">
        <w:rPr>
          <w:rStyle w:val="HideTWBExt"/>
          <w:b w:val="0"/>
          <w:noProof w:val="0"/>
        </w:rPr>
        <w:t>&lt;/Article&gt;</w:t>
      </w:r>
    </w:p>
    <w:p w:rsidR="000641D5" w:rsidRPr="004F62DE" w:rsidRDefault="00F37C81" w:rsidP="000641D5">
      <w:pPr>
        <w:keepNext/>
      </w:pPr>
      <w:r w:rsidRPr="004F62DE">
        <w:rPr>
          <w:rStyle w:val="HideTWBExt"/>
          <w:noProof w:val="0"/>
        </w:rPr>
        <w:t>&lt;DocAmend2&gt;</w:t>
      </w:r>
      <w:r w:rsidRPr="004F62DE">
        <w:t>Forordning (EU) 2017/2107</w:t>
      </w:r>
      <w:r w:rsidRPr="004F62DE">
        <w:rPr>
          <w:rStyle w:val="HideTWBExt"/>
          <w:noProof w:val="0"/>
        </w:rPr>
        <w:t>&lt;/DocAmend2&gt;</w:t>
      </w:r>
    </w:p>
    <w:p w:rsidR="000641D5" w:rsidRPr="004F62DE" w:rsidRDefault="00F37C81" w:rsidP="000641D5">
      <w:r w:rsidRPr="004F62DE">
        <w:rPr>
          <w:rStyle w:val="HideTWBExt"/>
          <w:noProof w:val="0"/>
        </w:rPr>
        <w:t>&lt;Article2&gt;</w:t>
      </w:r>
      <w:r w:rsidRPr="004F62DE">
        <w:t>Artikel 44a – stk. 1 a (nyt)</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611043">
        <w:trPr>
          <w:jc w:val="center"/>
        </w:trPr>
        <w:tc>
          <w:tcPr>
            <w:tcW w:w="9752" w:type="dxa"/>
            <w:gridSpan w:val="2"/>
          </w:tcPr>
          <w:p w:rsidR="000641D5" w:rsidRPr="004F62DE" w:rsidRDefault="000641D5" w:rsidP="00611043">
            <w:pPr>
              <w:keepNext/>
            </w:pPr>
          </w:p>
        </w:tc>
      </w:tr>
      <w:tr w:rsidR="00781BC4" w:rsidRPr="004F62DE" w:rsidTr="00611043">
        <w:trPr>
          <w:jc w:val="center"/>
        </w:trPr>
        <w:tc>
          <w:tcPr>
            <w:tcW w:w="4876" w:type="dxa"/>
          </w:tcPr>
          <w:p w:rsidR="000641D5" w:rsidRPr="004F62DE" w:rsidRDefault="00F37C81" w:rsidP="00611043">
            <w:pPr>
              <w:pStyle w:val="ColumnHeading"/>
              <w:keepNext/>
            </w:pPr>
            <w:r w:rsidRPr="004F62DE">
              <w:t>Kommissionens forslag</w:t>
            </w:r>
          </w:p>
        </w:tc>
        <w:tc>
          <w:tcPr>
            <w:tcW w:w="4876" w:type="dxa"/>
          </w:tcPr>
          <w:p w:rsidR="000641D5" w:rsidRPr="004F62DE" w:rsidRDefault="00F37C81" w:rsidP="00611043">
            <w:pPr>
              <w:pStyle w:val="ColumnHeading"/>
              <w:keepNext/>
            </w:pPr>
            <w:r w:rsidRPr="004F62DE">
              <w:t>Ændringsforslag</w:t>
            </w:r>
          </w:p>
        </w:tc>
      </w:tr>
      <w:tr w:rsidR="00781BC4" w:rsidRPr="004F62DE" w:rsidTr="00611043">
        <w:trPr>
          <w:jc w:val="center"/>
        </w:trPr>
        <w:tc>
          <w:tcPr>
            <w:tcW w:w="4876" w:type="dxa"/>
          </w:tcPr>
          <w:p w:rsidR="000641D5" w:rsidRPr="004F62DE" w:rsidRDefault="000641D5" w:rsidP="00611043">
            <w:pPr>
              <w:pStyle w:val="Normal6"/>
            </w:pPr>
          </w:p>
        </w:tc>
        <w:tc>
          <w:tcPr>
            <w:tcW w:w="4876" w:type="dxa"/>
          </w:tcPr>
          <w:p w:rsidR="000641D5" w:rsidRPr="004F62DE" w:rsidRDefault="00F37C81" w:rsidP="00E62DFE">
            <w:pPr>
              <w:pStyle w:val="Normal6"/>
              <w:rPr>
                <w:szCs w:val="24"/>
              </w:rPr>
            </w:pPr>
            <w:r w:rsidRPr="004F62DE">
              <w:rPr>
                <w:b/>
                <w:i/>
              </w:rPr>
              <w:t>I tilfælde af tekniske fejl eller manglende funktion af sporingsanordningen om bord på et EU-fiskerfartøj, skal anordningen repareres eller udskiftes så hurtigt som muligt eller mindst inden for en måned fra tidspunktet for hændelsen, medmindre fartøjet ikke længere opererer i ICCAT-konventionsområdet. EU-fiskerfartøjer må ikke påbegynde en fangstrejse, uden at sporingsanordningen er blevet repareret eller udskiftet.</w:t>
            </w:r>
          </w:p>
        </w:tc>
      </w:tr>
    </w:tbl>
    <w:p w:rsidR="000641D5" w:rsidRPr="004F62DE" w:rsidRDefault="00F37C81" w:rsidP="000641D5">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0641D5" w:rsidRPr="004F62DE" w:rsidRDefault="00F37C81" w:rsidP="000641D5">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0641D5" w:rsidRPr="004F62DE" w:rsidRDefault="00F37C81" w:rsidP="000641D5">
      <w:pPr>
        <w:pStyle w:val="Normal12Italic"/>
        <w:rPr>
          <w:noProof w:val="0"/>
        </w:rPr>
      </w:pPr>
      <w:r w:rsidRPr="004F62DE">
        <w:rPr>
          <w:noProof w:val="0"/>
        </w:rPr>
        <w:t>Henstilling 18-10 indeholder yderligere regler, der også bør gennemføres i denne forordning.</w:t>
      </w:r>
    </w:p>
    <w:p w:rsidR="000641D5" w:rsidRPr="004F62DE" w:rsidRDefault="00F37C81" w:rsidP="000641D5">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32</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31</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66 – stk. 5</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t>5.</w:t>
            </w:r>
            <w:r w:rsidRPr="004F62DE">
              <w:tab/>
              <w:t xml:space="preserve">Flagmedlemsstaterne behandler og handler ud fra rapporter fra kontrollører fra en havnestat på samme måde, som de behandler og handler ud fra rapporter fra deres egne kontrollører, i overensstemmelse med </w:t>
            </w:r>
            <w:r w:rsidRPr="004F62DE">
              <w:rPr>
                <w:b/>
                <w:i/>
              </w:rPr>
              <w:t>deres nationale love</w:t>
            </w:r>
            <w:r w:rsidRPr="004F62DE">
              <w:t>."</w:t>
            </w:r>
          </w:p>
        </w:tc>
        <w:tc>
          <w:tcPr>
            <w:tcW w:w="4876" w:type="dxa"/>
          </w:tcPr>
          <w:p w:rsidR="0049599D" w:rsidRPr="004F62DE" w:rsidRDefault="00F37C81">
            <w:pPr>
              <w:pStyle w:val="Normal6"/>
              <w:rPr>
                <w:szCs w:val="24"/>
              </w:rPr>
            </w:pPr>
            <w:r w:rsidRPr="004F62DE">
              <w:t>5.</w:t>
            </w:r>
            <w:r w:rsidRPr="004F62DE">
              <w:tab/>
              <w:t xml:space="preserve">Flagmedlemsstaterne behandler og handler ud fra rapporter fra kontrollører fra en havnestat på samme måde, som de behandler og handler ud fra rapporter fra deres egne kontrollører, i overensstemmelse med </w:t>
            </w:r>
            <w:r w:rsidRPr="004F62DE">
              <w:rPr>
                <w:b/>
                <w:i/>
              </w:rPr>
              <w:t>Europa-Parlamentets og Rådets forordning (EU) 2017/2403</w:t>
            </w:r>
            <w:r w:rsidRPr="004F62DE">
              <w:rPr>
                <w:b/>
                <w:i/>
                <w:vertAlign w:val="superscript"/>
              </w:rPr>
              <w:t>1a</w:t>
            </w:r>
            <w:r w:rsidRPr="004F62DE">
              <w: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t>__________________</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vertAlign w:val="superscript"/>
              </w:rPr>
              <w:t>1a</w:t>
            </w:r>
            <w:r w:rsidRPr="004F62DE">
              <w:rPr>
                <w:b/>
                <w:i/>
              </w:rPr>
              <w:t xml:space="preserve"> Europa-Parlamentets og Rådets forordning (EU) 2017/2403 af 12. december 2017 om en bæredygtig forvaltning af de eksterne fiskerflåder og om ophævelse af Rådets forordning (EF) nr. 1006/2008 (EUT L 347 af 28.12.2017, s. 81). </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Henvisningen til forordningen om en bæredygtig forvaltning af de eksterne flåder manglede.</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33</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32 a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Forordning (EU) 2017/2107</w:t>
      </w:r>
      <w:r w:rsidRPr="004F62DE">
        <w:rPr>
          <w:rStyle w:val="HideTWBExt"/>
          <w:noProof w:val="0"/>
        </w:rPr>
        <w:t>&lt;/DocAmend2&gt;</w:t>
      </w:r>
    </w:p>
    <w:p w:rsidR="00D22A4F" w:rsidRPr="004F62DE" w:rsidRDefault="00F37C81" w:rsidP="00D22A4F">
      <w:pPr>
        <w:keepNext/>
      </w:pPr>
      <w:r w:rsidRPr="004F62DE">
        <w:rPr>
          <w:rStyle w:val="HideTWBExt"/>
          <w:noProof w:val="0"/>
        </w:rPr>
        <w:t>&lt;Article2&gt;</w:t>
      </w:r>
      <w:r w:rsidRPr="004F62DE">
        <w:t>Artikel 69 a (ny)</w:t>
      </w:r>
      <w:r w:rsidRPr="004F62DE">
        <w:rPr>
          <w:rStyle w:val="HideTWBExt"/>
          <w:noProof w:val="0"/>
        </w:rPr>
        <w:t>&lt;/Article2&gt;</w:t>
      </w:r>
    </w:p>
    <w:p w:rsidR="00D22A4F" w:rsidRPr="004F62DE" w:rsidRDefault="00D22A4F" w:rsidP="0049599D">
      <w:pPr>
        <w:pStyle w:val="NormalBold"/>
      </w:pP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D22A4F">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32a)</w:t>
            </w:r>
            <w:r w:rsidRPr="004F62DE">
              <w:rPr>
                <w:b/>
                <w:i/>
              </w:rPr>
              <w:tab/>
              <w:t>Følgende artikel indsættes: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69a</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IUU-fartøjer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Medlemsstaterne sikrer, at IUU-listede fartøjer ikke har tilladelse til at lande, omlade, genfylde brændstof, genforsyne eller deltage i andre handelstransaktioner."</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34</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1 – stk. 1 – nr. 35 a (nyt)</w:t>
      </w:r>
      <w:r w:rsidRPr="004F62D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35a)</w:t>
            </w:r>
            <w:r w:rsidRPr="004F62DE">
              <w:tab/>
            </w:r>
            <w:r w:rsidRPr="004F62DE">
              <w:rPr>
                <w:b/>
                <w:i/>
              </w:rPr>
              <w:t>Teksten i bilaget til nærværende forordning tilføjes som bilag VIIIa, VIIIb og VIIIc til forordning (EU) 2017/2107.</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35</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5</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Artikel 5 affattes således:</w:t>
            </w:r>
          </w:p>
        </w:tc>
      </w:tr>
      <w:tr w:rsidR="00781BC4" w:rsidRPr="004F62DE" w:rsidTr="004B110E">
        <w:trPr>
          <w:jc w:val="center"/>
        </w:trPr>
        <w:tc>
          <w:tcPr>
            <w:tcW w:w="4876" w:type="dxa"/>
          </w:tcPr>
          <w:p w:rsidR="000641D5" w:rsidRPr="004F62DE" w:rsidRDefault="000641D5" w:rsidP="004B110E">
            <w:pPr>
              <w:pStyle w:val="Normal6"/>
            </w:pPr>
          </w:p>
        </w:tc>
        <w:tc>
          <w:tcPr>
            <w:tcW w:w="4876" w:type="dxa"/>
          </w:tcPr>
          <w:p w:rsidR="000641D5" w:rsidRPr="004F62DE" w:rsidRDefault="00F37C81" w:rsidP="004B110E">
            <w:pPr>
              <w:pStyle w:val="Normal6"/>
              <w:rPr>
                <w:b/>
                <w:i/>
              </w:rPr>
            </w:pPr>
            <w:r w:rsidRPr="004F62DE">
              <w:rPr>
                <w:b/>
                <w:i/>
              </w:rPr>
              <w:t>"Artikel 5</w:t>
            </w:r>
          </w:p>
        </w:tc>
      </w:tr>
      <w:tr w:rsidR="00781BC4" w:rsidRPr="004F62DE" w:rsidTr="004B110E">
        <w:trPr>
          <w:jc w:val="center"/>
        </w:trPr>
        <w:tc>
          <w:tcPr>
            <w:tcW w:w="4876" w:type="dxa"/>
          </w:tcPr>
          <w:p w:rsidR="000641D5" w:rsidRPr="004F62DE" w:rsidRDefault="000641D5" w:rsidP="004B110E">
            <w:pPr>
              <w:pStyle w:val="Normal6"/>
            </w:pPr>
          </w:p>
        </w:tc>
        <w:tc>
          <w:tcPr>
            <w:tcW w:w="4876" w:type="dxa"/>
          </w:tcPr>
          <w:p w:rsidR="000641D5" w:rsidRPr="004F62DE" w:rsidRDefault="00F37C81" w:rsidP="004B110E">
            <w:pPr>
              <w:pStyle w:val="Normal6"/>
              <w:rPr>
                <w:b/>
                <w:i/>
              </w:rPr>
            </w:pPr>
            <w:r w:rsidRPr="004F62DE">
              <w:rPr>
                <w:b/>
                <w:i/>
              </w:rPr>
              <w:t>Definitioner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I denne forordning forstås ved:</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1)</w:t>
            </w:r>
            <w:r w:rsidRPr="004F62DE">
              <w:rPr>
                <w:b/>
                <w:i/>
              </w:rPr>
              <w:tab/>
              <w:t>"ICCAT": Den Internationale Kommission for Bevarelse af Tunfiskebestanden i Atlanterhavet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2)</w:t>
            </w:r>
            <w:r w:rsidRPr="004F62DE">
              <w:rPr>
                <w:b/>
                <w:i/>
              </w:rPr>
              <w:tab/>
              <w:t>"konventionen": den internationale konvention om bevarelse af tunfiskebestanden i Atlanterhavet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3)</w:t>
            </w:r>
            <w:r w:rsidRPr="004F62DE">
              <w:rPr>
                <w:b/>
                <w:i/>
              </w:rPr>
              <w:tab/>
              <w:t>"konventionsområde": det geografiske område, der er fastsat i konventionens artikel 1</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4)</w:t>
            </w:r>
            <w:r w:rsidRPr="004F62DE">
              <w:rPr>
                <w:b/>
                <w:i/>
              </w:rPr>
              <w:tab/>
              <w:t>"CPC": kontraherende parter i konventionen og samarbejdende ikkekontraherende parter, organisationer eller fiskeriorganisationer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5)</w:t>
            </w:r>
            <w:r w:rsidRPr="004F62DE">
              <w:rPr>
                <w:b/>
                <w:i/>
              </w:rPr>
              <w:tab/>
              <w:t>"SCRS": ICCAT's Stående Udvalg for Forskning og Statistik</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6)</w:t>
            </w:r>
            <w:r w:rsidRPr="004F62DE">
              <w:rPr>
                <w:b/>
                <w:i/>
              </w:rPr>
              <w:tab/>
              <w:t>"operatør": en fysisk eller juridisk person, der driver eller ejer en virksomhed, som udfører aktiviteter på et trin i produktions-, forarbejdnings-, afsætnings-, distributions- eller detailkæderne for fiskevarer og akvakulturprodukter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7)</w:t>
            </w:r>
            <w:r w:rsidRPr="004F62DE">
              <w:rPr>
                <w:b/>
                <w:i/>
              </w:rPr>
              <w:tab/>
              <w:t>"ansvarlig medlemsstat": flagmedlemsstaten eller den medlemsstat, under hvis jurisdiktion det faststående tunfiskenet eller akvakulturbruget henhører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8)</w:t>
            </w:r>
            <w:r w:rsidRPr="004F62DE">
              <w:rPr>
                <w:b/>
                <w:i/>
              </w:rPr>
              <w:tab/>
              <w:t>"CPC for akvakulturbrug": den medlemsstat, under hvis jurisdiktion akvakulturbruget for almindelig tun er beliggende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9)</w:t>
            </w:r>
            <w:r w:rsidRPr="004F62DE">
              <w:rPr>
                <w:b/>
                <w:i/>
              </w:rPr>
              <w:tab/>
              <w:t>"flag-CPC": den medlemsstat, hvor fiskerfartøjet fører flag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10)</w:t>
            </w:r>
            <w:r w:rsidRPr="004F62DE">
              <w:rPr>
                <w:b/>
                <w:i/>
              </w:rPr>
              <w:tab/>
              <w:t>"CPC for faststående tunfiskenet": de medlemsstater, under hvis jurisdiktion faststående tunfiskenet henhører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11)</w:t>
            </w:r>
            <w:r w:rsidRPr="004F62DE">
              <w:rPr>
                <w:b/>
                <w:i/>
              </w:rPr>
              <w:tab/>
              <w:t>"fiskerfartøj": ethvert motordrevet fartøj, der anvendes til eller er beregnet til erhvervsmæssig udnyttelse af almindelig tun, herunder fangstfartøjer, fabriksskibe, støttefartøjer, bugserbåde, fartøjer, der deltager i omladningen, transportskibe, der er udstyret til transport af tunfiskevarer, samt hjælpefartøjer, bortset fra containerskibe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12)</w:t>
            </w:r>
            <w:r w:rsidRPr="004F62DE">
              <w:rPr>
                <w:b/>
                <w:i/>
              </w:rPr>
              <w:tab/>
              <w:t>"fangstfartøj": et fartøj, der anvendes til erhvervsfiskeri efter almindelig tun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13)</w:t>
            </w:r>
            <w:r w:rsidRPr="004F62DE">
              <w:rPr>
                <w:b/>
                <w:i/>
              </w:rPr>
              <w:tab/>
              <w:t>"bugserbåd": ethvert fartøj, der anvendes til bugsering af burer med almindelig tun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14)</w:t>
            </w:r>
            <w:r w:rsidRPr="004F62DE">
              <w:rPr>
                <w:b/>
                <w:i/>
              </w:rPr>
              <w:tab/>
              <w:t>"fabriksskib": et fartøj, om bord på hvilket fiskevarer underkastes én eller flere af følgende behandlinger inden pakning: filetering eller udskæring i skiver, frysning og/eller forarbejdning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15)</w:t>
            </w:r>
            <w:r w:rsidRPr="004F62DE">
              <w:rPr>
                <w:b/>
                <w:i/>
              </w:rPr>
              <w:tab/>
              <w:t>"hjælpefartøj": ethvert fartøj, der anvendes til transport af død almindelig tun (uforarbejdet) fra et transport-/opdrætsbur, et notfartøj eller et faststående tunfiskenet til en udpeget havn og/eller til et fabriksskib</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16)</w:t>
            </w:r>
            <w:r w:rsidRPr="004F62DE">
              <w:rPr>
                <w:b/>
                <w:i/>
              </w:rPr>
              <w:tab/>
              <w:t>"fartøjer, der driver kystfiskeri af mindre omfang": et fangstfartøj med mindst tre af følgende fem karakteristika:</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a)</w:t>
            </w:r>
            <w:r w:rsidRPr="004F62DE">
              <w:rPr>
                <w:b/>
                <w:i/>
              </w:rPr>
              <w:tab/>
              <w:t>længde samlet mindre end 12 m</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b)</w:t>
            </w:r>
            <w:r w:rsidRPr="004F62DE">
              <w:rPr>
                <w:b/>
                <w:i/>
              </w:rPr>
              <w:tab/>
              <w:t>fartøjet fisker udelukkende i dets flagmedlemsstats territorialfarvande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c)</w:t>
            </w:r>
            <w:r w:rsidRPr="004F62DE">
              <w:rPr>
                <w:b/>
                <w:i/>
              </w:rPr>
              <w:tab/>
              <w:t>fangstrejser har en varighed på under 24 timer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rPr>
            </w:pPr>
            <w:r w:rsidRPr="004F62DE">
              <w:rPr>
                <w:b/>
                <w:i/>
              </w:rPr>
              <w:t>d)</w:t>
            </w:r>
            <w:r w:rsidRPr="004F62DE">
              <w:rPr>
                <w:b/>
                <w:i/>
              </w:rPr>
              <w:tab/>
              <w:t xml:space="preserve">besætningen udgøres af højst fire personer, eller </w:t>
            </w:r>
          </w:p>
          <w:p w:rsidR="0049599D" w:rsidRPr="004F62DE" w:rsidRDefault="00F37C81" w:rsidP="004B110E">
            <w:pPr>
              <w:pStyle w:val="Normal6"/>
              <w:rPr>
                <w:szCs w:val="24"/>
              </w:rPr>
            </w:pPr>
            <w:r w:rsidRPr="004F62DE">
              <w:rPr>
                <w:b/>
                <w:i/>
              </w:rPr>
              <w:t xml:space="preserve">e) </w:t>
            </w:r>
            <w:r w:rsidRPr="004F62DE">
              <w:rPr>
                <w:b/>
                <w:i/>
              </w:rPr>
              <w:tab/>
              <w:t>fartøjet fisker ved brug af fangstmetoder, der er selektive og medvirker til reduceret miljøbelastning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E62DFE">
            <w:pPr>
              <w:pStyle w:val="Normal6"/>
              <w:rPr>
                <w:szCs w:val="24"/>
              </w:rPr>
            </w:pPr>
            <w:r w:rsidRPr="004F62DE">
              <w:rPr>
                <w:b/>
                <w:i/>
              </w:rPr>
              <w:t>17)</w:t>
            </w:r>
            <w:r w:rsidRPr="004F62DE">
              <w:rPr>
                <w:b/>
                <w:i/>
              </w:rPr>
              <w:tab/>
              <w:t>"stort pelagisk langlinefartøj": et pelagisk langlinefartøj med en længde overalt på over 24 meter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E62DFE">
            <w:pPr>
              <w:pStyle w:val="Normal6"/>
              <w:rPr>
                <w:szCs w:val="24"/>
              </w:rPr>
            </w:pPr>
            <w:r w:rsidRPr="004F62DE">
              <w:rPr>
                <w:b/>
                <w:i/>
              </w:rPr>
              <w:t>18)</w:t>
            </w:r>
            <w:r w:rsidRPr="004F62DE">
              <w:rPr>
                <w:b/>
                <w:i/>
              </w:rPr>
              <w:tab/>
              <w:t>"hjælpefartøj": ethvert andet fartøj, der har tilladelse til at fiske efter almindelig tun til at udføre støtteopgaver, og som ikke falder ind under nogen af de andre kategorier, der er omhandlet i denne artikel</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19)</w:t>
            </w:r>
            <w:r w:rsidRPr="004F62DE">
              <w:rPr>
                <w:b/>
                <w:i/>
              </w:rPr>
              <w:tab/>
              <w:t>"rekreativt fiskeri": ikkekommercielt fiskeri, der udnytter havets biologiske ressourcer til rekreation, turisme eller sport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20)</w:t>
            </w:r>
            <w:r w:rsidRPr="004F62DE">
              <w:rPr>
                <w:b/>
                <w:i/>
              </w:rPr>
              <w:tab/>
              <w:t>"snurpenot": omkredsende net, som trækkes sammen i bunden ved hjælp af en snurpewire, der løber igennem en række ringe langs med undertællen og gør det muligt at trække noten sammen og lukke den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21)</w:t>
            </w:r>
            <w:r w:rsidRPr="004F62DE">
              <w:rPr>
                <w:b/>
                <w:i/>
              </w:rPr>
              <w:tab/>
              <w:t>"fælles fiskeri": ethvert fiskeri, der udøves af to eller flere notfartøjer i fællesskab, hvor ét notfartøjs fangst tildeles ét eller flere andre notfartøjer efter en fordelingsnøgle, der er fastsat på forhånd</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22)</w:t>
            </w:r>
            <w:r w:rsidRPr="004F62DE">
              <w:rPr>
                <w:b/>
                <w:i/>
              </w:rPr>
              <w:tab/>
              <w:t>"redskabsgruppe": en gruppe fiskerfartøjer, der anvender de samme redskaber, for hvilke der er tildelt en gruppekvote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23)</w:t>
            </w:r>
            <w:r w:rsidRPr="004F62DE">
              <w:rPr>
                <w:b/>
                <w:i/>
              </w:rPr>
              <w:tab/>
              <w:t>"fiskeriindsats": produktet af et fiskerfartøjs kapacitet og aktivitet med henblik på at måle intensiteten af fiskeriaktiviteterne. Dette mål varierer fra redskab til redskab. For langlinefiskeri måles det i antal kroge eller fisketimer. For notfartøjer måles det som antal sejldage (fisketid plus sporingstid)</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24)</w:t>
            </w:r>
            <w:r w:rsidRPr="004F62DE">
              <w:rPr>
                <w:b/>
                <w:i/>
              </w:rPr>
              <w:tab/>
              <w:t>"fiske aktivt": et fangstfartøjs målrettede fiskeri efter almindelig tun i en given fangstperiode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25)</w:t>
            </w:r>
            <w:r w:rsidRPr="004F62DE">
              <w:rPr>
                <w:b/>
                <w:i/>
              </w:rPr>
              <w:tab/>
              <w:t>"BCD": et fangstdokument for almindelig tun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26)</w:t>
            </w:r>
            <w:r w:rsidRPr="004F62DE">
              <w:rPr>
                <w:b/>
                <w:i/>
              </w:rPr>
              <w:tab/>
              <w:t>"eBCD": et elektronisk fangstdokument for almindelig tun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27)</w:t>
            </w:r>
            <w:r w:rsidRPr="004F62DE">
              <w:rPr>
                <w:b/>
                <w:i/>
              </w:rPr>
              <w:tab/>
              <w:t>"omladning": overførsel af hele eller en del af fangsten om bord på et fiskerfartøj til et andet fiskerfartøj. Aflæsning af død almindelig tun fra et notfartøjs net eller en bugserbåd til et hjælpefartøj betragtes dog ikke som omladning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szCs w:val="24"/>
              </w:rPr>
            </w:pPr>
            <w:r w:rsidRPr="004F62DE">
              <w:rPr>
                <w:b/>
                <w:i/>
              </w:rPr>
              <w:t>28)</w:t>
            </w:r>
            <w:r w:rsidRPr="004F62DE">
              <w:rPr>
                <w:b/>
                <w:i/>
              </w:rPr>
              <w:tab/>
              <w:t>"levende almindelig tun": almindelig tun, der holdes i live i en bestemt periode i et faststående tunfiskenet eller overføres levende til et akvakulturbrug, anbringes i bur, opdrættes og endelig høstes eller slippes fri</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29)</w:t>
            </w:r>
            <w:r w:rsidRPr="004F62DE">
              <w:rPr>
                <w:b/>
                <w:i/>
              </w:rPr>
              <w:tab/>
              <w:t>"høst": slagtning af almindelig tun på akvakulturbrug eller i faststående tunfiskenet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30)</w:t>
            </w:r>
            <w:r w:rsidRPr="004F62DE">
              <w:rPr>
                <w:b/>
                <w:i/>
              </w:rPr>
              <w:tab/>
              <w:t>"faststående tunfiskenet": et redskab, der er forankret til bunden, og som normalt er forsynet med et ledegarn, der leder almindelig tun ind i et aflukke eller en række aflukker, hvor fiskene befinder sig, indtil de høstes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31)</w:t>
            </w:r>
            <w:r w:rsidRPr="004F62DE">
              <w:rPr>
                <w:b/>
                <w:i/>
              </w:rPr>
              <w:tab/>
              <w:t>"anbringelse i bur": flytning af levende almindelig tun i akvakulturbrug og efterfølgende fodring med henblik på opfedning og forøgelse af deres samlede biomasse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32)</w:t>
            </w:r>
            <w:r w:rsidRPr="004F62DE">
              <w:rPr>
                <w:b/>
                <w:i/>
              </w:rPr>
              <w:tab/>
              <w:t>"kontrol af anbringelse i bur": en gentagelse af den anbringelse i bur, der gennemføres efter anmodning fra kontrolmyndighederne, med henblik på at kontrollere antallet og/eller den gennemsnitlige vægt af fisk, der anbringes i bur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33)</w:t>
            </w:r>
            <w:r w:rsidRPr="004F62DE">
              <w:rPr>
                <w:b/>
                <w:i/>
              </w:rPr>
              <w:tab/>
              <w:t>"opdræt" eller "opfedning": anbringelse af almindelig tun i bur på et akvakulturbrug og efterfølgende fodring med henblik på opfedning og forøgelse af deres samlede biomasse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E62DFE">
            <w:pPr>
              <w:pStyle w:val="Normal6"/>
              <w:rPr>
                <w:szCs w:val="24"/>
              </w:rPr>
            </w:pPr>
            <w:r w:rsidRPr="004F62DE">
              <w:rPr>
                <w:b/>
                <w:i/>
              </w:rPr>
              <w:t>34)</w:t>
            </w:r>
            <w:r w:rsidRPr="004F62DE">
              <w:rPr>
                <w:b/>
                <w:i/>
              </w:rPr>
              <w:tab/>
              <w:t>"akvakulturbrug": et brug, der anvendes til opdræt af almindelig tun fanget i faststående tunfiskenet og/eller af notfartøjer. Et akvakulturbrug kan have flere opdrætssteder, som alle er defineret ved geografiske koordinater med en klar definition af længdegrad og breddegrad for hvert punkt på polygonen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35)</w:t>
            </w:r>
            <w:r w:rsidRPr="004F62DE">
              <w:rPr>
                <w:b/>
                <w:i/>
              </w:rPr>
              <w:tab/>
              <w:t>"inputopdrætskapacitet": den maksimale mængde vild almindelig tun i tons, som et akvakulturbrug må holde i bur i en fangstperiode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36)</w:t>
            </w:r>
            <w:r w:rsidRPr="004F62DE">
              <w:rPr>
                <w:b/>
                <w:i/>
              </w:rPr>
              <w:tab/>
              <w:t>"overførsel": enhver overførsel af:</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levende almindelig tun fra et fangstfartøjs net til et transportbur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w:t>
            </w:r>
            <w:r w:rsidRPr="004F62DE">
              <w:rPr>
                <w:b/>
                <w:i/>
              </w:rPr>
              <w:tab/>
              <w:t>levende almindelig tun fra et faststående tunfiskenet til et transportbur, uanset om en bugserbåd er til stede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c)</w:t>
            </w:r>
            <w:r w:rsidRPr="004F62DE">
              <w:rPr>
                <w:b/>
                <w:i/>
              </w:rPr>
              <w:tab/>
              <w:t>levende almindelig tun fra ét transportbur til et andet transportbur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d)</w:t>
            </w:r>
            <w:r w:rsidRPr="004F62DE">
              <w:rPr>
                <w:b/>
                <w:i/>
              </w:rPr>
              <w:tab/>
              <w:t>et bur, der indeholder levende almindelig tun fra én bugserbåd til en anden bugserbåd</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e)</w:t>
            </w:r>
            <w:r w:rsidRPr="004F62DE">
              <w:rPr>
                <w:b/>
                <w:i/>
              </w:rPr>
              <w:tab/>
              <w:t>levende almindelig tun mellem forskellige bure på samme akvakulturbrug (overførsel mellem akvakulturbrug)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f)</w:t>
            </w:r>
            <w:r w:rsidRPr="004F62DE">
              <w:rPr>
                <w:b/>
                <w:i/>
              </w:rPr>
              <w:tab/>
              <w:t>levende almindelig tun fra ét bur i et akvakulturbrug til et transportbur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37)</w:t>
            </w:r>
            <w:r w:rsidRPr="004F62DE">
              <w:rPr>
                <w:b/>
                <w:i/>
              </w:rPr>
              <w:tab/>
              <w:t>"kontroloverførsel": gentagelse af enhver overførsel, der gennemføres efter anmodning fra kontrolmyndigheder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38)</w:t>
            </w:r>
            <w:r w:rsidRPr="004F62DE">
              <w:rPr>
                <w:b/>
                <w:i/>
              </w:rPr>
              <w:tab/>
              <w:t>"overførsel mellem akvakulturbrug": flytning af levende almindelig tun fra et akvakulturbrug til et andet akvakulturbrug bestående af to faser, en overførsel fra donorakvakulturbrugsburet til et transportbur og et bur fra et transportbur til et modtagende bur i et akvakulturbrug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39)</w:t>
            </w:r>
            <w:r w:rsidRPr="004F62DE">
              <w:rPr>
                <w:b/>
                <w:i/>
              </w:rPr>
              <w:tab/>
              <w:t>"første overførsel": overførsel af levende almindelig tun fra et notfartøjs net eller en faststående tunfiskenet til et transportbur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40)</w:t>
            </w:r>
            <w:r w:rsidRPr="004F62DE">
              <w:rPr>
                <w:b/>
                <w:i/>
              </w:rPr>
              <w:tab/>
              <w:t>"yderligere overførsel": enhver overførsel, der foretages efter den første overførsel og før anbringelse i bur i destinationsakvakulturbruget såsom opdeling eller sammenlægning af indholdet i to transportbure, med undtagelse af frivillige overførsler eller kontroloverførsler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41)</w:t>
            </w:r>
            <w:r w:rsidRPr="004F62DE">
              <w:rPr>
                <w:b/>
                <w:i/>
              </w:rPr>
              <w:tab/>
              <w:t>"frivillig overførsel": gentagelse af enhver overførsel, der frivilligt gennemføres af føreren af fangstfartøjet eller bugserbåden eller dets repræsentant eller repræsentanten for et akvakulturbrug eller et faststående tunfiskenet, som en overførsel stammer fra</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42)</w:t>
            </w:r>
            <w:r w:rsidRPr="004F62DE">
              <w:rPr>
                <w:b/>
                <w:i/>
              </w:rPr>
              <w:tab/>
              <w:t>"kontrolkamera": et stereokamera og/eller konventionelt videokamera, der anvendes med henblik på den kontrol, der er omhandlet i denne forordning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43)</w:t>
            </w:r>
            <w:r w:rsidRPr="004F62DE">
              <w:rPr>
                <w:b/>
                <w:i/>
              </w:rPr>
              <w:tab/>
              <w:t>"stereokamera": et kamera med to eller flere linser med separat billedsensor eller filmrude til hver linse, som gør det muligt at tage tredimensionale billeder med det formål at måle fiskens længde."</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36</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 xml:space="preserve">Forordning (EU) XX/2023 </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7</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F37C81" w:rsidP="004B110E">
            <w:pPr>
              <w:pStyle w:val="Normal6"/>
            </w:pPr>
            <w:r w:rsidRPr="004F62DE">
              <w:rPr>
                <w:b/>
                <w:i/>
              </w:rPr>
              <w:t>1)</w:t>
            </w:r>
            <w:r w:rsidRPr="004F62DE">
              <w:rPr>
                <w:b/>
                <w:i/>
              </w:rPr>
              <w:tab/>
              <w:t>I artikel 7, stk. (…), indsættes som litra a) og b):</w:t>
            </w:r>
          </w:p>
        </w:tc>
        <w:tc>
          <w:tcPr>
            <w:tcW w:w="4876" w:type="dxa"/>
          </w:tcPr>
          <w:p w:rsidR="0049599D" w:rsidRPr="004F62DE" w:rsidRDefault="00F37C81" w:rsidP="004B110E">
            <w:pPr>
              <w:pStyle w:val="Normal6"/>
              <w:rPr>
                <w:szCs w:val="24"/>
              </w:rPr>
            </w:pPr>
            <w:r w:rsidRPr="004F62DE">
              <w:rPr>
                <w:b/>
                <w:i/>
              </w:rPr>
              <w:t>udgår</w:t>
            </w:r>
          </w:p>
        </w:tc>
      </w:tr>
      <w:tr w:rsidR="00781BC4" w:rsidRPr="004F62DE" w:rsidTr="004B110E">
        <w:trPr>
          <w:jc w:val="center"/>
        </w:trPr>
        <w:tc>
          <w:tcPr>
            <w:tcW w:w="4876" w:type="dxa"/>
          </w:tcPr>
          <w:p w:rsidR="0049599D" w:rsidRPr="004F62DE" w:rsidRDefault="00F37C81" w:rsidP="004B110E">
            <w:pPr>
              <w:pStyle w:val="Normal6"/>
            </w:pPr>
            <w:r w:rsidRPr="004F62DE">
              <w:rPr>
                <w:b/>
                <w:i/>
              </w:rPr>
              <w:t>"a)</w:t>
            </w:r>
            <w:r w:rsidRPr="004F62DE">
              <w:rPr>
                <w:b/>
                <w:i/>
              </w:rPr>
              <w:tab/>
              <w:t>senest den 25. maj hvert år udfylder og fremsender akvakulturbrug-medlemsstater en årlig overførselserklæring til Kommissionen.</w:t>
            </w:r>
          </w:p>
        </w:tc>
        <w:tc>
          <w:tcPr>
            <w:tcW w:w="4876" w:type="dxa"/>
          </w:tcPr>
          <w:p w:rsidR="0049599D" w:rsidRPr="004F62DE" w:rsidRDefault="0049599D" w:rsidP="004B110E">
            <w:pPr>
              <w:pStyle w:val="Normal6"/>
              <w:rPr>
                <w:szCs w:val="24"/>
              </w:rPr>
            </w:pPr>
          </w:p>
        </w:tc>
      </w:tr>
      <w:tr w:rsidR="00781BC4" w:rsidRPr="004F62DE" w:rsidTr="004B110E">
        <w:trPr>
          <w:jc w:val="center"/>
        </w:trPr>
        <w:tc>
          <w:tcPr>
            <w:tcW w:w="4876" w:type="dxa"/>
          </w:tcPr>
          <w:p w:rsidR="0049599D" w:rsidRPr="004F62DE" w:rsidRDefault="00F37C81" w:rsidP="004B110E">
            <w:pPr>
              <w:pStyle w:val="Normal6"/>
            </w:pPr>
            <w:r w:rsidRPr="004F62DE">
              <w:rPr>
                <w:b/>
                <w:i/>
              </w:rPr>
              <w:t>Erklæringen skal indeholde følgende oplysninger:</w:t>
            </w:r>
          </w:p>
        </w:tc>
        <w:tc>
          <w:tcPr>
            <w:tcW w:w="4876" w:type="dxa"/>
          </w:tcPr>
          <w:p w:rsidR="0049599D" w:rsidRPr="004F62DE" w:rsidRDefault="0049599D" w:rsidP="004B110E">
            <w:pPr>
              <w:pStyle w:val="Normal6"/>
              <w:rPr>
                <w:szCs w:val="24"/>
              </w:rPr>
            </w:pPr>
          </w:p>
        </w:tc>
      </w:tr>
      <w:tr w:rsidR="00781BC4" w:rsidRPr="004F62DE" w:rsidTr="004B110E">
        <w:trPr>
          <w:jc w:val="center"/>
        </w:trPr>
        <w:tc>
          <w:tcPr>
            <w:tcW w:w="4876" w:type="dxa"/>
          </w:tcPr>
          <w:p w:rsidR="0049599D" w:rsidRPr="004F62DE" w:rsidRDefault="00F37C81" w:rsidP="004B110E">
            <w:pPr>
              <w:pStyle w:val="Normal6"/>
            </w:pPr>
            <w:r w:rsidRPr="004F62DE">
              <w:rPr>
                <w:b/>
                <w:i/>
              </w:rPr>
              <w:t>—</w:t>
            </w:r>
            <w:r w:rsidRPr="004F62DE">
              <w:rPr>
                <w:b/>
                <w:i/>
              </w:rPr>
              <w:tab/>
              <w:t>mængde (i kg) og antal fisk, der agtes overført</w:t>
            </w:r>
          </w:p>
        </w:tc>
        <w:tc>
          <w:tcPr>
            <w:tcW w:w="4876" w:type="dxa"/>
          </w:tcPr>
          <w:p w:rsidR="0049599D" w:rsidRPr="004F62DE" w:rsidRDefault="0049599D" w:rsidP="004B110E">
            <w:pPr>
              <w:pStyle w:val="Normal6"/>
              <w:rPr>
                <w:szCs w:val="24"/>
              </w:rPr>
            </w:pPr>
          </w:p>
        </w:tc>
      </w:tr>
      <w:tr w:rsidR="00781BC4" w:rsidRPr="004F62DE" w:rsidTr="004B110E">
        <w:trPr>
          <w:jc w:val="center"/>
        </w:trPr>
        <w:tc>
          <w:tcPr>
            <w:tcW w:w="4876" w:type="dxa"/>
          </w:tcPr>
          <w:p w:rsidR="0049599D" w:rsidRPr="004F62DE" w:rsidRDefault="00F37C81" w:rsidP="004B110E">
            <w:pPr>
              <w:pStyle w:val="Normal6"/>
            </w:pPr>
            <w:r w:rsidRPr="004F62DE">
              <w:rPr>
                <w:b/>
                <w:i/>
              </w:rPr>
              <w:t>—</w:t>
            </w:r>
            <w:r w:rsidRPr="004F62DE">
              <w:rPr>
                <w:b/>
                <w:i/>
              </w:rPr>
              <w:tab/>
              <w:t>fangstår</w:t>
            </w:r>
          </w:p>
        </w:tc>
        <w:tc>
          <w:tcPr>
            <w:tcW w:w="4876" w:type="dxa"/>
          </w:tcPr>
          <w:p w:rsidR="0049599D" w:rsidRPr="004F62DE" w:rsidRDefault="0049599D" w:rsidP="004B110E">
            <w:pPr>
              <w:pStyle w:val="Normal6"/>
              <w:rPr>
                <w:szCs w:val="24"/>
              </w:rPr>
            </w:pPr>
          </w:p>
        </w:tc>
      </w:tr>
      <w:tr w:rsidR="00781BC4" w:rsidRPr="004F62DE" w:rsidTr="004B110E">
        <w:trPr>
          <w:jc w:val="center"/>
        </w:trPr>
        <w:tc>
          <w:tcPr>
            <w:tcW w:w="4876" w:type="dxa"/>
          </w:tcPr>
          <w:p w:rsidR="0049599D" w:rsidRPr="004F62DE" w:rsidRDefault="00F37C81" w:rsidP="004B110E">
            <w:pPr>
              <w:pStyle w:val="Normal6"/>
            </w:pPr>
            <w:r w:rsidRPr="004F62DE">
              <w:rPr>
                <w:b/>
                <w:i/>
              </w:rPr>
              <w:t>—</w:t>
            </w:r>
            <w:r w:rsidRPr="004F62DE">
              <w:rPr>
                <w:b/>
                <w:i/>
              </w:rPr>
              <w:tab/>
              <w:t>gennemsnitsvægt</w:t>
            </w:r>
          </w:p>
        </w:tc>
        <w:tc>
          <w:tcPr>
            <w:tcW w:w="4876" w:type="dxa"/>
          </w:tcPr>
          <w:p w:rsidR="0049599D" w:rsidRPr="004F62DE" w:rsidRDefault="0049599D" w:rsidP="004B110E">
            <w:pPr>
              <w:pStyle w:val="Normal6"/>
              <w:rPr>
                <w:szCs w:val="24"/>
              </w:rPr>
            </w:pPr>
          </w:p>
        </w:tc>
      </w:tr>
      <w:tr w:rsidR="00781BC4" w:rsidRPr="004F62DE" w:rsidTr="004B110E">
        <w:trPr>
          <w:jc w:val="center"/>
        </w:trPr>
        <w:tc>
          <w:tcPr>
            <w:tcW w:w="4876" w:type="dxa"/>
          </w:tcPr>
          <w:p w:rsidR="0049599D" w:rsidRPr="004F62DE" w:rsidRDefault="00F37C81" w:rsidP="004B110E">
            <w:pPr>
              <w:pStyle w:val="Normal6"/>
            </w:pPr>
            <w:r w:rsidRPr="004F62DE">
              <w:rPr>
                <w:b/>
                <w:i/>
              </w:rPr>
              <w:t>—</w:t>
            </w:r>
            <w:r w:rsidRPr="004F62DE">
              <w:rPr>
                <w:b/>
                <w:i/>
              </w:rPr>
              <w:tab/>
              <w:t>flag-CPC</w:t>
            </w:r>
          </w:p>
        </w:tc>
        <w:tc>
          <w:tcPr>
            <w:tcW w:w="4876" w:type="dxa"/>
          </w:tcPr>
          <w:p w:rsidR="0049599D" w:rsidRPr="004F62DE" w:rsidRDefault="0049599D" w:rsidP="004B110E">
            <w:pPr>
              <w:pStyle w:val="Normal6"/>
              <w:rPr>
                <w:szCs w:val="24"/>
              </w:rPr>
            </w:pPr>
          </w:p>
        </w:tc>
      </w:tr>
      <w:tr w:rsidR="00781BC4" w:rsidRPr="004F62DE" w:rsidTr="004B110E">
        <w:trPr>
          <w:jc w:val="center"/>
        </w:trPr>
        <w:tc>
          <w:tcPr>
            <w:tcW w:w="4876" w:type="dxa"/>
          </w:tcPr>
          <w:p w:rsidR="0049599D" w:rsidRPr="004F62DE" w:rsidRDefault="00F37C81" w:rsidP="004B110E">
            <w:pPr>
              <w:pStyle w:val="Normal6"/>
            </w:pPr>
            <w:r w:rsidRPr="004F62DE">
              <w:rPr>
                <w:b/>
                <w:i/>
              </w:rPr>
              <w:t>—</w:t>
            </w:r>
            <w:r w:rsidRPr="004F62DE">
              <w:rPr>
                <w:b/>
                <w:i/>
              </w:rPr>
              <w:tab/>
              <w:t>henvisninger til det BCD, som svarer til de fangster, der overføres</w:t>
            </w:r>
          </w:p>
        </w:tc>
        <w:tc>
          <w:tcPr>
            <w:tcW w:w="4876" w:type="dxa"/>
          </w:tcPr>
          <w:p w:rsidR="0049599D" w:rsidRPr="004F62DE" w:rsidRDefault="0049599D" w:rsidP="004B110E">
            <w:pPr>
              <w:pStyle w:val="Normal6"/>
              <w:rPr>
                <w:szCs w:val="24"/>
              </w:rPr>
            </w:pPr>
          </w:p>
        </w:tc>
      </w:tr>
      <w:tr w:rsidR="00781BC4" w:rsidRPr="004F62DE" w:rsidTr="004B110E">
        <w:trPr>
          <w:jc w:val="center"/>
        </w:trPr>
        <w:tc>
          <w:tcPr>
            <w:tcW w:w="4876" w:type="dxa"/>
          </w:tcPr>
          <w:p w:rsidR="0049599D" w:rsidRPr="004F62DE" w:rsidRDefault="00F37C81" w:rsidP="004B110E">
            <w:pPr>
              <w:pStyle w:val="Normal6"/>
            </w:pPr>
            <w:r w:rsidRPr="004F62DE">
              <w:rPr>
                <w:b/>
                <w:i/>
              </w:rPr>
              <w:t>—</w:t>
            </w:r>
            <w:r w:rsidRPr="004F62DE">
              <w:rPr>
                <w:b/>
                <w:i/>
              </w:rPr>
              <w:tab/>
              <w:t>akvakulturbrugets navn og ICCAT-nummer</w:t>
            </w:r>
          </w:p>
        </w:tc>
        <w:tc>
          <w:tcPr>
            <w:tcW w:w="4876" w:type="dxa"/>
          </w:tcPr>
          <w:p w:rsidR="0049599D" w:rsidRPr="004F62DE" w:rsidRDefault="0049599D" w:rsidP="004B110E">
            <w:pPr>
              <w:pStyle w:val="Normal6"/>
              <w:rPr>
                <w:szCs w:val="24"/>
              </w:rPr>
            </w:pPr>
          </w:p>
        </w:tc>
      </w:tr>
      <w:tr w:rsidR="00781BC4" w:rsidRPr="004F62DE" w:rsidTr="004B110E">
        <w:trPr>
          <w:jc w:val="center"/>
        </w:trPr>
        <w:tc>
          <w:tcPr>
            <w:tcW w:w="4876" w:type="dxa"/>
          </w:tcPr>
          <w:p w:rsidR="0049599D" w:rsidRPr="004F62DE" w:rsidRDefault="00F37C81" w:rsidP="004B110E">
            <w:pPr>
              <w:pStyle w:val="Normal6"/>
            </w:pPr>
            <w:r w:rsidRPr="004F62DE">
              <w:rPr>
                <w:b/>
                <w:i/>
              </w:rPr>
              <w:t>—</w:t>
            </w:r>
            <w:r w:rsidRPr="004F62DE">
              <w:rPr>
                <w:b/>
                <w:i/>
              </w:rPr>
              <w:tab/>
              <w:t>burnummer</w:t>
            </w:r>
          </w:p>
        </w:tc>
        <w:tc>
          <w:tcPr>
            <w:tcW w:w="4876" w:type="dxa"/>
          </w:tcPr>
          <w:p w:rsidR="0049599D" w:rsidRPr="004F62DE" w:rsidRDefault="0049599D" w:rsidP="004B110E">
            <w:pPr>
              <w:pStyle w:val="Normal6"/>
              <w:rPr>
                <w:szCs w:val="24"/>
              </w:rPr>
            </w:pPr>
          </w:p>
        </w:tc>
      </w:tr>
      <w:tr w:rsidR="00781BC4" w:rsidRPr="004F62DE" w:rsidTr="004B110E">
        <w:trPr>
          <w:jc w:val="center"/>
        </w:trPr>
        <w:tc>
          <w:tcPr>
            <w:tcW w:w="4876" w:type="dxa"/>
          </w:tcPr>
          <w:p w:rsidR="0049599D" w:rsidRPr="004F62DE" w:rsidRDefault="00F37C81" w:rsidP="004B110E">
            <w:pPr>
              <w:pStyle w:val="Normal6"/>
            </w:pPr>
            <w:r w:rsidRPr="004F62DE">
              <w:rPr>
                <w:b/>
                <w:i/>
              </w:rPr>
              <w:t>—</w:t>
            </w:r>
            <w:r w:rsidRPr="004F62DE">
              <w:rPr>
                <w:b/>
                <w:i/>
              </w:rPr>
              <w:tab/>
              <w:t>oplysninger om høstede mængder (i kg), når høsten er afsluttet.</w:t>
            </w:r>
          </w:p>
        </w:tc>
        <w:tc>
          <w:tcPr>
            <w:tcW w:w="4876" w:type="dxa"/>
          </w:tcPr>
          <w:p w:rsidR="0049599D" w:rsidRPr="004F62DE" w:rsidRDefault="0049599D" w:rsidP="004B110E">
            <w:pPr>
              <w:pStyle w:val="Normal6"/>
              <w:rPr>
                <w:szCs w:val="24"/>
              </w:rPr>
            </w:pPr>
          </w:p>
        </w:tc>
      </w:tr>
      <w:tr w:rsidR="00781BC4" w:rsidRPr="004F62DE" w:rsidTr="004B110E">
        <w:trPr>
          <w:jc w:val="center"/>
        </w:trPr>
        <w:tc>
          <w:tcPr>
            <w:tcW w:w="4876" w:type="dxa"/>
          </w:tcPr>
          <w:p w:rsidR="0049599D" w:rsidRPr="004F62DE" w:rsidRDefault="00F37C81" w:rsidP="004B110E">
            <w:pPr>
              <w:pStyle w:val="Normal6"/>
            </w:pPr>
            <w:r w:rsidRPr="004F62DE">
              <w:rPr>
                <w:b/>
                <w:i/>
              </w:rPr>
              <w:t>b)</w:t>
            </w:r>
            <w:r w:rsidRPr="004F62DE">
              <w:rPr>
                <w:b/>
                <w:i/>
              </w:rPr>
              <w:tab/>
              <w:t>mængder, der overføres i overensstemmelse med ovenstående stykke, anbringes i separate bure eller rækker af bure i akvakulturbruget og opdeles efter fangstår."</w:t>
            </w:r>
          </w:p>
        </w:tc>
        <w:tc>
          <w:tcPr>
            <w:tcW w:w="4876" w:type="dxa"/>
          </w:tcPr>
          <w:p w:rsidR="0049599D" w:rsidRPr="004F62DE" w:rsidRDefault="0049599D" w:rsidP="004B110E">
            <w:pPr>
              <w:pStyle w:val="Normal6"/>
              <w:rPr>
                <w:szCs w:val="24"/>
              </w:rPr>
            </w:pP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Bestemmelser, der allerede er medtaget i Europa-Parlamentets og Rådets forordning (EU) XX/2022 om indførelse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37</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a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Forordning (EU) XX/2023</w:t>
      </w:r>
      <w:r w:rsidRPr="004F62DE">
        <w:rPr>
          <w:rStyle w:val="HideTWBExt"/>
          <w:noProof w:val="0"/>
        </w:rPr>
        <w:t>&lt;/DocAmend2&gt;</w:t>
      </w:r>
    </w:p>
    <w:p w:rsidR="00D22A4F" w:rsidRPr="004F62DE" w:rsidRDefault="00F37C81" w:rsidP="00D22A4F">
      <w:pPr>
        <w:keepNext/>
      </w:pPr>
      <w:r w:rsidRPr="004F62DE">
        <w:rPr>
          <w:rStyle w:val="HideTWBExt"/>
          <w:noProof w:val="0"/>
        </w:rPr>
        <w:t>&lt;Article2&gt;</w:t>
      </w:r>
      <w:r w:rsidRPr="004F62DE">
        <w:t>Artikel 8</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D22A4F">
        <w:trPr>
          <w:jc w:val="center"/>
        </w:trPr>
        <w:tc>
          <w:tcPr>
            <w:tcW w:w="9752" w:type="dxa"/>
            <w:gridSpan w:val="2"/>
          </w:tcPr>
          <w:p w:rsidR="0049599D" w:rsidRPr="004F62DE" w:rsidRDefault="0049599D" w:rsidP="00D22A4F">
            <w:pPr>
              <w:keepNext/>
            </w:pPr>
          </w:p>
        </w:tc>
      </w:tr>
      <w:tr w:rsidR="00781BC4" w:rsidRPr="004F62DE" w:rsidTr="00D22A4F">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E62DFE">
            <w:pPr>
              <w:pStyle w:val="Normal6"/>
              <w:rPr>
                <w:szCs w:val="24"/>
              </w:rPr>
            </w:pPr>
            <w:r w:rsidRPr="004F62DE">
              <w:rPr>
                <w:b/>
                <w:i/>
              </w:rPr>
              <w:t>1a)</w:t>
            </w:r>
            <w:r w:rsidRPr="004F62DE">
              <w:rPr>
                <w:b/>
                <w:i/>
              </w:rPr>
              <w:tab/>
              <w:t>Artikel 8 affattes således: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8</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Overførsel af ubrugte kvoter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Enhver uudnyttet del af en medlemsstats årlige kvote/fangstbegrænsning kan lægges til den respektive kvote/fangstbegrænsning fra et år til det følgende år, når den fremsender sin årlige fiskeriplan.</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Det maksimale underskud af almindelig tun, som en medlemsstat kan overføre i et givet år, må ikke overstige den mængde, som ICCAT har tilladt i det pågældende år."</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38</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b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 xml:space="preserve">Forordning (EU) XX/2023 </w:t>
      </w:r>
      <w:r w:rsidRPr="004F62DE">
        <w:rPr>
          <w:rStyle w:val="HideTWBExt"/>
          <w:noProof w:val="0"/>
        </w:rPr>
        <w:t>&lt;/DocAmend2&gt;</w:t>
      </w:r>
    </w:p>
    <w:p w:rsidR="00D22A4F" w:rsidRPr="004F62DE" w:rsidRDefault="00F37C81" w:rsidP="00D22A4F">
      <w:pPr>
        <w:keepNext/>
      </w:pPr>
      <w:r w:rsidRPr="004F62DE">
        <w:rPr>
          <w:rStyle w:val="HideTWBExt"/>
          <w:noProof w:val="0"/>
        </w:rPr>
        <w:t>&lt;Article2&gt;</w:t>
      </w:r>
      <w:r w:rsidRPr="004F62DE">
        <w:t>Artikel 14 – indledning</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D22A4F">
        <w:trPr>
          <w:jc w:val="center"/>
        </w:trPr>
        <w:tc>
          <w:tcPr>
            <w:tcW w:w="9752" w:type="dxa"/>
            <w:gridSpan w:val="2"/>
          </w:tcPr>
          <w:p w:rsidR="0049599D" w:rsidRPr="004F62DE" w:rsidRDefault="0049599D" w:rsidP="00D22A4F">
            <w:pPr>
              <w:keepNext/>
            </w:pPr>
          </w:p>
        </w:tc>
      </w:tr>
      <w:tr w:rsidR="00781BC4" w:rsidRPr="004F62DE" w:rsidTr="00D22A4F">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b/>
                <w:i/>
              </w:rPr>
            </w:pPr>
            <w:r w:rsidRPr="004F62DE">
              <w:rPr>
                <w:b/>
                <w:i/>
              </w:rPr>
              <w:t>1b)</w:t>
            </w:r>
            <w:r w:rsidRPr="004F62DE">
              <w:rPr>
                <w:b/>
                <w:i/>
              </w:rPr>
              <w:tab/>
              <w:t>I artikel 14 affattes indledningen således: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"Medlemsstater med en kvote for almindelig tun udarbejder en årlig overvågnings-, kontrol- og inspektionsplan med henblik på at sikre overholdelse af denne forordning. Hver medlemsstat forelægger sin respektive plan for Kommissionen. Hver medlemsstat udarbejder sin plan i overensstemmelse med:"</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39</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c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 xml:space="preserve">Forordning (EU) XX/2023 </w:t>
      </w:r>
      <w:r w:rsidRPr="004F62DE">
        <w:rPr>
          <w:rStyle w:val="HideTWBExt"/>
          <w:noProof w:val="0"/>
        </w:rPr>
        <w:t>&lt;/DocAmend2&gt;</w:t>
      </w:r>
    </w:p>
    <w:p w:rsidR="00D22A4F" w:rsidRPr="004F62DE" w:rsidRDefault="00F37C81" w:rsidP="00D22A4F">
      <w:pPr>
        <w:keepNext/>
      </w:pPr>
      <w:r w:rsidRPr="004F62DE">
        <w:rPr>
          <w:rStyle w:val="HideTWBExt"/>
          <w:noProof w:val="0"/>
        </w:rPr>
        <w:t>&lt;Article2&gt;</w:t>
      </w:r>
      <w:r w:rsidRPr="004F62DE">
        <w:t>Artikel 15 – stk. 6 og 7</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D22A4F">
        <w:trPr>
          <w:jc w:val="center"/>
        </w:trPr>
        <w:tc>
          <w:tcPr>
            <w:tcW w:w="9752" w:type="dxa"/>
            <w:gridSpan w:val="2"/>
          </w:tcPr>
          <w:p w:rsidR="0049599D" w:rsidRPr="004F62DE" w:rsidRDefault="0049599D" w:rsidP="00D22A4F">
            <w:pPr>
              <w:keepNext/>
            </w:pPr>
          </w:p>
        </w:tc>
      </w:tr>
      <w:tr w:rsidR="00781BC4" w:rsidRPr="004F62DE" w:rsidTr="00D22A4F">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E62DFE">
            <w:pPr>
              <w:pStyle w:val="Normal6"/>
              <w:rPr>
                <w:szCs w:val="24"/>
              </w:rPr>
            </w:pPr>
            <w:r w:rsidRPr="004F62DE">
              <w:rPr>
                <w:b/>
                <w:i/>
              </w:rPr>
              <w:t>1c)</w:t>
            </w:r>
            <w:r w:rsidRPr="004F62DE">
              <w:rPr>
                <w:b/>
                <w:i/>
              </w:rPr>
              <w:tab/>
              <w:t>I artikel 15 foretages følgende ændringer: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stk. 6 affattes således: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E62DFE">
            <w:pPr>
              <w:pStyle w:val="Normal6"/>
              <w:rPr>
                <w:szCs w:val="24"/>
              </w:rPr>
            </w:pPr>
            <w:r w:rsidRPr="004F62DE">
              <w:rPr>
                <w:b/>
                <w:i/>
              </w:rPr>
              <w:t>"6.</w:t>
            </w:r>
            <w:r w:rsidRPr="004F62DE">
              <w:rPr>
                <w:b/>
                <w:i/>
              </w:rPr>
              <w:tab/>
              <w:t>Medlemsstaterne indberetter statistikker over den årlige mængde bur (input af vildtfangede fisk), høst og eksport til Kommissionen, som videresender dataene til ICCAT's sekretariat, indtil ICCAT's sekretariat har udviklet en dataudtrækningsfunktionalitet i eBCD-systemet, og en sådan funktionalitet bliver tilgængelig."</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w:t>
            </w:r>
            <w:r w:rsidRPr="004F62DE">
              <w:rPr>
                <w:b/>
                <w:i/>
              </w:rPr>
              <w:tab/>
              <w:t>stk. 7 affattes således: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"7.</w:t>
            </w:r>
            <w:r w:rsidRPr="004F62DE">
              <w:rPr>
                <w:b/>
                <w:i/>
              </w:rPr>
              <w:tab/>
              <w:t>Hvor det er relevant, indgiver medlemsstaterne reviderede forvaltningsplaner for opdræt til Kommissionen senest den 15. maj hvert år med henblik på fremsendelse til ICCAT's sekretariat senest den 1. juni hvert år."</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40</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d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 xml:space="preserve">Forordning (EU) XX/2023 </w:t>
      </w:r>
      <w:r w:rsidRPr="004F62DE">
        <w:rPr>
          <w:rStyle w:val="HideTWBExt"/>
          <w:noProof w:val="0"/>
        </w:rPr>
        <w:t>&lt;/DocAmend2&gt;</w:t>
      </w:r>
    </w:p>
    <w:p w:rsidR="00D22A4F" w:rsidRPr="004F62DE" w:rsidRDefault="00F37C81" w:rsidP="00D22A4F">
      <w:pPr>
        <w:pStyle w:val="NormalBold"/>
      </w:pPr>
      <w:r w:rsidRPr="004F62DE">
        <w:rPr>
          <w:rStyle w:val="HideTWBExt"/>
          <w:noProof w:val="0"/>
        </w:rPr>
        <w:t>&lt;Article2&gt;</w:t>
      </w:r>
      <w:r w:rsidRPr="004F62DE">
        <w:rPr>
          <w:b w:val="0"/>
        </w:rPr>
        <w:t>Artikel 17 – stk. 5</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1d)</w:t>
            </w:r>
            <w:r w:rsidRPr="004F62DE">
              <w:rPr>
                <w:b/>
                <w:i/>
              </w:rPr>
              <w:tab/>
              <w:t>Artikel 17, stk. 5,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Fiskeri efter almindelig tun med store pelagiske langlinefartøjer på over 24 m er tilladt i det østlige Atlanterhav og Middelhavet i perioden 1. januar til 31. maj, undtagen i området vest for 10° V og nord for 42° N."</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41</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e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 xml:space="preserve">Forordning (EU) XX/2023 </w:t>
      </w:r>
      <w:r w:rsidRPr="004F62DE">
        <w:rPr>
          <w:rStyle w:val="HideTWBExt"/>
          <w:noProof w:val="0"/>
        </w:rPr>
        <w:t>&lt;/DocAmend2&gt;</w:t>
      </w:r>
    </w:p>
    <w:p w:rsidR="0049599D" w:rsidRPr="004F62DE" w:rsidRDefault="00F37C81" w:rsidP="0049599D">
      <w:pPr>
        <w:pStyle w:val="NormalBold"/>
        <w:rPr>
          <w:b w:val="0"/>
        </w:rPr>
      </w:pPr>
      <w:r w:rsidRPr="004F62DE">
        <w:rPr>
          <w:rStyle w:val="HideTWBExt"/>
          <w:b w:val="0"/>
          <w:noProof w:val="0"/>
        </w:rPr>
        <w:t>&lt;Article2&gt;</w:t>
      </w:r>
      <w:r w:rsidRPr="004F62DE">
        <w:rPr>
          <w:b w:val="0"/>
        </w:rPr>
        <w:t>Artikel 21 a (ny)</w:t>
      </w:r>
      <w:r w:rsidRPr="004F62DE">
        <w:rPr>
          <w:rStyle w:val="HideTWBExt"/>
          <w:b w:val="0"/>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1e)</w:t>
            </w:r>
            <w:r w:rsidRPr="004F62DE">
              <w:rPr>
                <w:b/>
                <w:i/>
              </w:rPr>
              <w:tab/>
              <w:t>Følgende artikel indsættes: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21a</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Forbud mod opbevaring af almindelig tun om bord på støttefartøjer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Hjælpefartøjer må ikke opbevare om bord eller transportere almindelig tun."</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42</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f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 xml:space="preserve">Forordning (EU) XX/2023 </w:t>
      </w:r>
      <w:r w:rsidRPr="004F62DE">
        <w:rPr>
          <w:rStyle w:val="HideTWBExt"/>
          <w:noProof w:val="0"/>
        </w:rPr>
        <w:t>&lt;/DocAmend2&gt;</w:t>
      </w:r>
    </w:p>
    <w:p w:rsidR="00D22A4F" w:rsidRPr="004F62DE" w:rsidRDefault="00F37C81" w:rsidP="00D22A4F">
      <w:pPr>
        <w:keepNext/>
      </w:pPr>
      <w:r w:rsidRPr="004F62DE">
        <w:rPr>
          <w:rStyle w:val="HideTWBExt"/>
          <w:noProof w:val="0"/>
        </w:rPr>
        <w:t>&lt;Article2&gt;</w:t>
      </w:r>
      <w:r w:rsidRPr="004F62DE">
        <w:t>Artikel 24</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D22A4F">
        <w:trPr>
          <w:jc w:val="center"/>
        </w:trPr>
        <w:tc>
          <w:tcPr>
            <w:tcW w:w="9752" w:type="dxa"/>
            <w:gridSpan w:val="2"/>
          </w:tcPr>
          <w:p w:rsidR="0049599D" w:rsidRPr="004F62DE" w:rsidRDefault="0049599D" w:rsidP="00D22A4F">
            <w:pPr>
              <w:keepNext/>
            </w:pPr>
          </w:p>
        </w:tc>
      </w:tr>
      <w:tr w:rsidR="00781BC4" w:rsidRPr="004F62DE" w:rsidTr="00D22A4F">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1f)</w:t>
            </w:r>
            <w:r w:rsidRPr="004F62DE">
              <w:rPr>
                <w:b/>
                <w:i/>
              </w:rPr>
              <w:tab/>
              <w:t>I artikel 24 foretages følgende ændringer: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801448">
            <w:pPr>
              <w:pStyle w:val="Normal6"/>
              <w:rPr>
                <w:szCs w:val="24"/>
              </w:rPr>
            </w:pPr>
            <w:r w:rsidRPr="004F62DE">
              <w:rPr>
                <w:b/>
                <w:i/>
              </w:rPr>
              <w:t>a)</w:t>
            </w:r>
            <w:r w:rsidRPr="004F62DE">
              <w:rPr>
                <w:b/>
                <w:i/>
              </w:rPr>
              <w:tab/>
              <w:t>Stk. 3 affattes således: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Afsætning eller salg af almindelig tun fanget i rekreativt fiskeri er forbudt."</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w:t>
            </w:r>
            <w:r w:rsidRPr="004F62DE">
              <w:rPr>
                <w:b/>
                <w:i/>
              </w:rPr>
              <w:tab/>
              <w:t>Stk. 4 affattes således: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Medlemsstaterne registrerer fangstdata, herunder vægten af hver almindelig tun, der fanges i rekreativt fiskeri, og meddeler Kommissionen dataene for det foregående år senest den 30. juni hvert år. Kommissionen videresender straks oplysningerne til ICCAT's sekretariat."</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c)</w:t>
            </w:r>
            <w:r w:rsidRPr="004F62DE">
              <w:rPr>
                <w:b/>
                <w:i/>
              </w:rPr>
              <w:tab/>
              <w:t>stk. 5 affattes således: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Medlemsstaterne træffer de nødvendige foranstaltninger til i videst muligt omfang at sikre frisætning af almindelig tun, navnlig ungfisk, der fanges levende i rekreativt fiskeri. Almindelig tun, der landes, skal være hel, uden gæller og/eller renset."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43</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g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 xml:space="preserve">Forordning (EU) XX/2023 </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26 – stk. 1</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1g)</w:t>
            </w:r>
            <w:r w:rsidRPr="004F62DE">
              <w:rPr>
                <w:b/>
                <w:i/>
              </w:rPr>
              <w:tab/>
              <w:t>Artikel 26, stk. 1,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Hvert år, en måned før tilladelsesperiodens begyndelse, indgiver medlemsstaterne de oplysninger, der er fastsat i bilag XVI, for følgende fartøjslister: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alle fangstfartøjer, der fisker aktivt efter almindelig tun, og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w:t>
            </w:r>
            <w:r w:rsidRPr="004F62DE">
              <w:rPr>
                <w:b/>
                <w:i/>
              </w:rPr>
              <w:tab/>
              <w:t>alle andre fartøjer, der udøver aktiviteter i forbindelse med almindelig tun, bortset fra fangstfartøjer.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Kommissionen sender disse oplysninger videre til ICCAT's sekretariat 15 dage før starten på fiskeriaktiviteten, således at de pågældende fartøjer kan opføres i ICCAT's register over godkendte fartøjer og i ICCAT's register over fiskerfartøjer med en længde overalt på 20 meter eller derover, som har tilladelse til at drive fiskeri i konventionsområdet, hvis det er relevant.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44</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h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 xml:space="preserve">Forordning (EU) XX/2023 </w:t>
      </w:r>
      <w:r w:rsidRPr="004F62DE">
        <w:rPr>
          <w:rStyle w:val="HideTWBExt"/>
          <w:noProof w:val="0"/>
        </w:rPr>
        <w:t>&lt;/DocAmend2&gt;</w:t>
      </w:r>
    </w:p>
    <w:p w:rsidR="0049599D" w:rsidRPr="004F62DE" w:rsidRDefault="00F37C81" w:rsidP="0049599D">
      <w:pPr>
        <w:pStyle w:val="NormalBold"/>
        <w:rPr>
          <w:b w:val="0"/>
        </w:rPr>
      </w:pPr>
      <w:r w:rsidRPr="004F62DE">
        <w:rPr>
          <w:rStyle w:val="HideTWBExt"/>
          <w:noProof w:val="0"/>
        </w:rPr>
        <w:t>&lt;</w:t>
      </w:r>
      <w:r w:rsidRPr="004F62DE">
        <w:rPr>
          <w:rStyle w:val="HideTWBExt"/>
          <w:b w:val="0"/>
          <w:noProof w:val="0"/>
        </w:rPr>
        <w:t>Article2&gt;</w:t>
      </w:r>
      <w:r w:rsidRPr="004F62DE">
        <w:rPr>
          <w:b w:val="0"/>
        </w:rPr>
        <w:t>Artikel 27 – stk. 2</w:t>
      </w:r>
      <w:r w:rsidRPr="004F62DE">
        <w:rPr>
          <w:rStyle w:val="HideTWBExt"/>
          <w:b w:val="0"/>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1h)</w:t>
            </w:r>
            <w:r w:rsidRPr="004F62DE">
              <w:rPr>
                <w:b/>
                <w:i/>
              </w:rPr>
              <w:tab/>
              <w:t>Artikel 27, stk. 2,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EU-fiskerfartøjer, der ikke er opført i ICCAT's registre omhandlet i artikel 26, har ikke tilladelse til at fiske efter, opbevare om bord, omlade, transportere, overføre, forarbejde eller lande almindelig tun i det østlige Atlanterhav og Middelhavet, jf. dog artikel 20, stk. 6."</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Henvisningerne til artiklerne er blevet opdateret.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45</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i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28</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1i)</w:t>
            </w:r>
            <w:r w:rsidRPr="004F62DE">
              <w:rPr>
                <w:b/>
                <w:i/>
              </w:rPr>
              <w:tab/>
              <w:t>I artikel 28 foretages følgende ændringer: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a)</w:t>
            </w:r>
            <w:r w:rsidRPr="004F62DE">
              <w:rPr>
                <w:b/>
                <w:i/>
              </w:rPr>
              <w:tab/>
              <w:t>Stk. 1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Medlemsstaterne forelægger som led i deres fiskeriplaner elektronisk Kommissionen en liste over faststående tunfiskenet med tilladelse til at fiske efter almindelig tun i det østlige Atlanterhav og Middelhavet, herunder de oplysninger, der er fastsat i bilag XVII. Kommissionen sender disse oplysninger videre til ICCAT's sekretariat, således at de faststående tunfiskenet kan opføres i ICCAT's register over faststående tunfiskenet med tilladelse til fiskeri efter almindelig tun."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b)</w:t>
            </w:r>
            <w:r w:rsidRPr="004F62DE">
              <w:rPr>
                <w:b/>
                <w:i/>
              </w:rPr>
              <w:tab/>
              <w:t>Følgende stykke indsættes: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Efter oprettelsen af ICCAT's register over faststående tunfiskenet underretter medlemsstaterne Kommissionen om enhver tilføjelse til, sletning og/eller ændring af ICCAT's register over faststående tunfiskenet til enhver tid. Kommissionen underretter straks ICCAT's sekretariat om sådanne ændringer."</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Stk. 1 er blevet ajourført med ordet "elektronisk" og en henvisning til bilag XVII (bilag 14 i henstilling 22-08). Punkt 5 er omsat fra side 12 i henstilling 22-08.</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46</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j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 xml:space="preserve">Forordning (EU) XX/2023 </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28 a (ny)</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1j)</w:t>
            </w:r>
            <w:r w:rsidRPr="004F62DE">
              <w:rPr>
                <w:b/>
                <w:i/>
              </w:rPr>
              <w:tab/>
              <w:t>Følgende artikel indsættes: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28a</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Optegnelse over akvakulturbrug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Medlemsstaterne forelægger som led i deres fiskeriplaner elektronisk Kommissionen en liste over akvakulturbrug med tilladelse til at fiske efter almindelig tun i det østlige Atlanterhav og Middelhavet, herunder de oplysninger, der er fastsat i bilag XVIII. Kommissionen sender listen til ICCAT's sekretariat, således at de pågældende akvakulturbrug kan opføres i ICCAT's register over akvakulturbrug med tilladelse til at fiske efter almindelig tun.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Akvakulturbrug, der ikke er opført i ICCAT's register over akvakulturbrug, anses ikke for at have tilladelse til at fiske efter almindelig tun.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Akvakulturbrugaktiviteter er ikke tilladt, herunder fodring til opfedningsformål eller høst af almindelig tun, uden for de geografiske koordinater, der er godkendt til akvakulturbrugaktiviteter.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Medlemsstaterne underretter straks Kommissionen om enhver tilføjelse til, sletning og/eller ændring af ICCAT's register over akvakulturbrug til enhver tid. Kommissionen videresender straks oplysningerne til ICCAT's sekretariat.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Medlemsstaterne træffer de nødvendige foranstaltninger til at sikre, at almindelig tun ikke anbringes på et akvakulturbrug, der ikke er opført i ICCAT's register over akvakulturbrug, og at akvakulturbrugene ikke modtager almindelig tun fra fartøjer, der ikke er opført i ICCAT's register over fartøjer. Medlemsstaterne træffer de nødvendige foranstaltninger til at forbyde enhver aktivitet på akvakulturbrug, der ikke er registreret i ICCAT's register over akvakulturbrug."</w:t>
            </w:r>
            <w:r w:rsidR="00AE68A5" w:rsidRPr="004F62DE">
              <w:rPr>
                <w:b/>
                <w:i/>
              </w:rPr>
              <w:t xml:space="preserve"> </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47</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k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 xml:space="preserve">Forordning (EU) XX/2023 </w:t>
      </w:r>
      <w:r w:rsidRPr="004F62DE">
        <w:rPr>
          <w:rStyle w:val="HideTWBExt"/>
          <w:noProof w:val="0"/>
        </w:rPr>
        <w:t>&lt;/DocAmend2&gt;</w:t>
      </w:r>
    </w:p>
    <w:p w:rsidR="00D22A4F" w:rsidRPr="004F62DE" w:rsidRDefault="00F37C81" w:rsidP="00D22A4F">
      <w:pPr>
        <w:keepNext/>
      </w:pPr>
      <w:r w:rsidRPr="004F62DE">
        <w:rPr>
          <w:rStyle w:val="HideTWBExt"/>
          <w:noProof w:val="0"/>
        </w:rPr>
        <w:t>&lt;Article2&gt;</w:t>
      </w:r>
      <w:r w:rsidRPr="004F62DE">
        <w:t>Artikel 33 – stk. 4</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D22A4F">
        <w:trPr>
          <w:jc w:val="center"/>
        </w:trPr>
        <w:tc>
          <w:tcPr>
            <w:tcW w:w="9752" w:type="dxa"/>
            <w:gridSpan w:val="2"/>
          </w:tcPr>
          <w:p w:rsidR="0049599D" w:rsidRPr="004F62DE" w:rsidRDefault="0049599D" w:rsidP="00D22A4F">
            <w:pPr>
              <w:keepNext/>
            </w:pPr>
          </w:p>
        </w:tc>
      </w:tr>
      <w:tr w:rsidR="00781BC4" w:rsidRPr="004F62DE" w:rsidTr="00D22A4F">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1k)</w:t>
            </w:r>
            <w:r w:rsidRPr="004F62DE">
              <w:rPr>
                <w:b/>
                <w:i/>
              </w:rPr>
              <w:tab/>
              <w:t>I artikel 33 tilføjes følgende stykke:</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"4.</w:t>
            </w:r>
            <w:r w:rsidRPr="004F62DE">
              <w:rPr>
                <w:b/>
                <w:i/>
              </w:rPr>
              <w:tab/>
              <w:t>Denne artikel berører ikke et CPC-fiskerfartøjs indsejling i havn i overensstemmelse med folkeretten på grund af force majeure eller nød."</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s. 15.</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48</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l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Forordning (EU) XX/2023</w:t>
      </w:r>
      <w:r w:rsidRPr="004F62DE">
        <w:rPr>
          <w:rStyle w:val="HideTWBExt"/>
          <w:noProof w:val="0"/>
        </w:rPr>
        <w:t>&lt;/DocAmend2&gt;</w:t>
      </w:r>
    </w:p>
    <w:p w:rsidR="00D22A4F" w:rsidRPr="004F62DE" w:rsidRDefault="00F37C81" w:rsidP="00D22A4F">
      <w:pPr>
        <w:keepNext/>
      </w:pPr>
      <w:r w:rsidRPr="004F62DE">
        <w:rPr>
          <w:rStyle w:val="HideTWBExt"/>
          <w:noProof w:val="0"/>
        </w:rPr>
        <w:t>&lt;Article2&gt;</w:t>
      </w:r>
      <w:r w:rsidRPr="004F62DE">
        <w:t>Artikel 34 – stk. 2</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D22A4F">
        <w:trPr>
          <w:jc w:val="center"/>
        </w:trPr>
        <w:tc>
          <w:tcPr>
            <w:tcW w:w="9752" w:type="dxa"/>
            <w:gridSpan w:val="2"/>
          </w:tcPr>
          <w:p w:rsidR="0049599D" w:rsidRPr="004F62DE" w:rsidRDefault="0049599D" w:rsidP="00D22A4F">
            <w:pPr>
              <w:keepNext/>
            </w:pPr>
          </w:p>
        </w:tc>
      </w:tr>
      <w:tr w:rsidR="00781BC4" w:rsidRPr="004F62DE" w:rsidTr="00D22A4F">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1l)</w:t>
            </w:r>
            <w:r w:rsidRPr="004F62DE">
              <w:rPr>
                <w:b/>
                <w:i/>
              </w:rPr>
              <w:tab/>
              <w:t>Artikel 34, stk. 2, affattes således: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Før ankomst i havn meddeler førere (eller deres repræsentanter) af EU-fiskerfartøjer samt fabriksskibe og hjælpefartøjer, som er opført på den fartøjsliste, der er omhandlet i artikel 26, mindst fire timer før forventet ankomst i havnen den kompetente myndighed i deres flagmedlemsstat eller CPC'en, hvis havne eller landingsfaciliteter der ønskes benyttet, følgende:</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anslået dato og tidspunkt for ankomst</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w:t>
            </w:r>
            <w:r w:rsidRPr="004F62DE">
              <w:rPr>
                <w:b/>
                <w:i/>
              </w:rPr>
              <w:tab/>
              <w:t>anslået mængde almindelig tun om bord</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c)</w:t>
            </w:r>
            <w:r w:rsidRPr="004F62DE">
              <w:rPr>
                <w:b/>
                <w:i/>
              </w:rPr>
              <w:tab/>
              <w:t>oplysninger om det geografiske område, hvor fangsterne er taget."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49</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m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35 – stk. 5</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1m)</w:t>
            </w:r>
            <w:r w:rsidRPr="004F62DE">
              <w:rPr>
                <w:b/>
                <w:i/>
              </w:rPr>
              <w:tab/>
              <w:t>Artikel 35, stk. 5,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Førere af EU-fiskerfartøjer, der deltager i omladningen, udfylder ICCAT-omladningsopgørelsen og sender den til deres flagmedlemsstat senest fem dage efter omladningsdatoen i havn, jf. henstilling 21-15. Førerne af de omladende fiskerfartøjer skal udfylde ICCAT-omladningsopgørelsen i overensstemmelse med formatet i bilag X. Omladningsopgørelsen skal kædes sammen med eBCD'en for at lette krydskontrol af data indeholdt deri."</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s. 16.</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50</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n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36</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1n)</w:t>
            </w:r>
            <w:r w:rsidRPr="004F62DE">
              <w:rPr>
                <w:b/>
                <w:i/>
              </w:rPr>
              <w:tab/>
              <w:t>Artikel 36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36</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Mængderapporter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Medlemsstaterne sender Kommissionen fangstrapporter hver anden uge. Disse opgørelser skal indeholde de oplysninger, der kræves i henhold til artikel 31 angående faststående tunfiskenet, notfartøjer og andre fangstfartøjer. Oplysningerne angives for hver redskabstype. Kommissionen videresender straks oplysningerne til ICCAT's sekretariat."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s. 16.</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51</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o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Forordning (EU) XX/2023</w:t>
      </w:r>
      <w:r w:rsidRPr="004F62DE">
        <w:rPr>
          <w:rStyle w:val="HideTWBExt"/>
          <w:noProof w:val="0"/>
        </w:rPr>
        <w:t>&lt;/DocAmend2&gt;</w:t>
      </w:r>
    </w:p>
    <w:p w:rsidR="00D22A4F" w:rsidRPr="004F62DE" w:rsidRDefault="00F37C81" w:rsidP="00D22A4F">
      <w:pPr>
        <w:keepNext/>
      </w:pPr>
      <w:r w:rsidRPr="004F62DE">
        <w:rPr>
          <w:rStyle w:val="HideTWBExt"/>
          <w:noProof w:val="0"/>
        </w:rPr>
        <w:t>&lt;Article2&gt;</w:t>
      </w:r>
      <w:r w:rsidRPr="004F62DE">
        <w:t>Artikel 38</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D22A4F">
        <w:trPr>
          <w:jc w:val="center"/>
        </w:trPr>
        <w:tc>
          <w:tcPr>
            <w:tcW w:w="9752" w:type="dxa"/>
            <w:gridSpan w:val="2"/>
          </w:tcPr>
          <w:p w:rsidR="0049599D" w:rsidRPr="004F62DE" w:rsidRDefault="0049599D" w:rsidP="00D22A4F">
            <w:pPr>
              <w:keepNext/>
            </w:pPr>
          </w:p>
        </w:tc>
      </w:tr>
      <w:tr w:rsidR="00781BC4" w:rsidRPr="004F62DE" w:rsidTr="00D22A4F">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1o)</w:t>
            </w:r>
            <w:r w:rsidRPr="004F62DE">
              <w:rPr>
                <w:b/>
                <w:i/>
              </w:rPr>
              <w:tab/>
              <w:t>I artikel 38 foretages følgende ændringer: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Stk. 2 affattes således: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Uanset stk. 1 må der i forbindelse med frisætning af tun fra akvakulturbrug kun være regionale observatører som omhandlet i artikel 39 og ikke nationale observatører til stede om bord på bugserbåde."</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Stk. 3 affattes således: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De forpligtelser, ansvarsområder og opgaver, der gælder for de nationale observatører, er fastsat i bilag VIII."</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Stk. 5 affattes således: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For så vidt angår denne artikel sikrer medlemsstaterne:</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en repræsentativ tids- og områdemæssig dækning, så det sikres, at Kommissionen modtager fyldestgørende og relevante data og oplysninger om fangst, indsats og andre videnskabelige og forvaltningsmæssige aspekter under hensyntagen til flådernes og fiskeriernes karakteristika</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w:t>
            </w:r>
            <w:r w:rsidRPr="004F62DE">
              <w:rPr>
                <w:b/>
                <w:i/>
              </w:rPr>
              <w:tab/>
              <w:t>pålidelige dataindsamlingsprotokoller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c)</w:t>
            </w:r>
            <w:r w:rsidRPr="004F62DE">
              <w:rPr>
                <w:b/>
                <w:i/>
              </w:rPr>
              <w:tab/>
              <w:t>ordentligt uddannede observatører, der har opnået autorisation, inden de indsættes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d)</w:t>
            </w:r>
            <w:r w:rsidRPr="004F62DE">
              <w:rPr>
                <w:b/>
                <w:i/>
              </w:rPr>
              <w:tab/>
              <w:t>at observatørerne, inden indsættelsen påbegyndes, får forelagt en liste over de kontakter i medlemsstatens kompetente myndighed, hvor de kan indberette observationer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e)</w:t>
            </w:r>
            <w:r w:rsidRPr="004F62DE">
              <w:rPr>
                <w:b/>
                <w:i/>
              </w:rPr>
              <w:tab/>
              <w:t>mindst mulig afbrydelse af fiskeriet for de fartøjer og faststående tunfiskenet, der fisker i konventionsområdet, i det omfang det er praktisk muligt</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f)</w:t>
            </w:r>
            <w:r w:rsidRPr="004F62DE">
              <w:rPr>
                <w:b/>
                <w:i/>
              </w:rPr>
              <w:tab/>
              <w:t>at fiskerfartøjets fører eller operatøren af faststående tunfiskenet giver observatøren adgang til de elektroniske kommunikationsmidler om bord på fiskerfartøjet eller på faststående tunfiskenet."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s. 17 og 18.</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52</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p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39</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1p)</w:t>
            </w:r>
            <w:r w:rsidRPr="004F62DE">
              <w:rPr>
                <w:b/>
                <w:i/>
              </w:rPr>
              <w:tab/>
              <w:t>I artikel 39 foretages følgende ændringer: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Stk. 2, litra c),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"c)</w:t>
            </w:r>
            <w:r w:rsidRPr="004F62DE">
              <w:rPr>
                <w:b/>
                <w:i/>
              </w:rPr>
              <w:tab/>
              <w:t>under alle overførsler fra et bur i et akvakulturbrug til transportbure, som derefter trækkes til et andet akvakulturbrug"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Stk. 4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Medlemsstaterne sikrer, at der udpeges én regional ICCAT-observatør til hvert akvakulturbrug for hele perioden med anbringelse i bur og høst. I tilfælde af force majeure og efter bekræftelse fra akvakulturbrugmedlemsstaten af de omstændigheder, der udgør force majeure, eller i tilfælde, hvor naboakvakulturbrug, som er godkendt og kontrolleret af samme akvakulturbrugmedlemsstat, fisker sammen som en enhed, kan en regional ICCAT-observatør deles af mere end et akvakulturbrug for at sikre kontinuiteten i akvakulturbrugaktiviteterne, hvis det sikres, at observatøropgaverne er behørigt udført, og efter bekræftelse fra akvakulturbrugmedlemsstaten."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3)</w:t>
            </w:r>
            <w:r w:rsidRPr="004F62DE">
              <w:rPr>
                <w:b/>
                <w:i/>
              </w:rPr>
              <w:tab/>
              <w:t>Følgende stykke indsættes: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"4a.</w:t>
            </w:r>
            <w:r w:rsidRPr="004F62DE">
              <w:rPr>
                <w:b/>
                <w:i/>
              </w:rPr>
              <w:tab/>
              <w:t>Uanset stk. 4 kan der i tilfælde af overførsel mellem to forskellige akvakulturbrug, der henhører under samme medlemsstats kompetence, tildeles en enkelt regional observatør til at dække hele processen, herunder overførsel af fisk til et bugseringstransportbur, bugsering af fisken fra donorakvakulturbruget til modtagerakvakulturbruget og anbringelse i bur af fisk i modtagerakvakulturbruget. I så fald bør donorakvakulturbruget indsætte en regional observatør, og omkostningerne skal deles af både donorakvakulturbruget og modtagerakvakulturbruget, medmindre andet er bestemt af akvakulturbrugsvirksomhederne."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4)</w:t>
            </w:r>
            <w:r w:rsidRPr="004F62DE">
              <w:rPr>
                <w:b/>
                <w:i/>
              </w:rPr>
              <w:tab/>
              <w:t>Følgende stykke indsættes: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"5a.</w:t>
            </w:r>
            <w:r w:rsidRPr="004F62DE">
              <w:rPr>
                <w:b/>
                <w:i/>
              </w:rPr>
              <w:tab/>
              <w:t xml:space="preserve">Uanset stk. 5 kan den relevante CPC tillade høst fra akvakulturbrug på op til 1 000 kg pr. dag og op til højst 50 tons pr. akvakulturbrug pr. år for at forsyne markedet for frisk almindelig tun, forudsat at en autoriseret kontrollør fra akvakulturbrugets CPC er på stedet for 100 % af sådanne høster og kontrollerer hele aktiviteten. Den autoriserede kontrollør validerer også de høstede mængder i eBCD-systemet. I så fald kræves den regionale observatørs underskrift ikke i høstafsnittet i eBCD. Denne undtagelse revideres, hvis det er relevant, af PWG, eventuelt gennem dens arbejdsgruppe om effektmåling og </w:t>
            </w:r>
            <w:r w:rsidRPr="004F62DE">
              <w:rPr>
                <w:b/>
                <w:i/>
              </w:rPr>
              <w:noBreakHyphen/>
              <w:t>styring."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5)</w:t>
            </w:r>
            <w:r w:rsidRPr="004F62DE">
              <w:rPr>
                <w:b/>
                <w:i/>
              </w:rPr>
              <w:tab/>
              <w:t>Følgende stykke indsættes: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"7.</w:t>
            </w:r>
            <w:r w:rsidRPr="004F62DE">
              <w:rPr>
                <w:b/>
                <w:i/>
              </w:rPr>
              <w:tab/>
              <w:t>ICCAT's regionale observatører skal overholde de forpligtelser, ansvarsområder og opgaver, der er fastsat i bilag VIII."</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53</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q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Forordning (EU) XX/2023</w:t>
      </w:r>
      <w:r w:rsidRPr="004F62DE">
        <w:rPr>
          <w:rStyle w:val="HideTWBExt"/>
          <w:noProof w:val="0"/>
        </w:rPr>
        <w:t>&lt;/DocAmend2&gt;</w:t>
      </w:r>
    </w:p>
    <w:p w:rsidR="00D22A4F" w:rsidRPr="004F62DE" w:rsidRDefault="00F37C81" w:rsidP="00D22A4F">
      <w:pPr>
        <w:pStyle w:val="NormalBold"/>
        <w:rPr>
          <w:b w:val="0"/>
        </w:rPr>
      </w:pPr>
      <w:r w:rsidRPr="004F62DE">
        <w:rPr>
          <w:rStyle w:val="HideTWBExt"/>
          <w:b w:val="0"/>
          <w:noProof w:val="0"/>
        </w:rPr>
        <w:t>&lt;Article2&gt;</w:t>
      </w:r>
      <w:r w:rsidRPr="004F62DE">
        <w:rPr>
          <w:b w:val="0"/>
        </w:rPr>
        <w:t>Artikel 40</w:t>
      </w:r>
      <w:r w:rsidRPr="004F62DE">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A31D6F">
        <w:trPr>
          <w:jc w:val="center"/>
        </w:trPr>
        <w:tc>
          <w:tcPr>
            <w:tcW w:w="9752" w:type="dxa"/>
            <w:gridSpan w:val="2"/>
          </w:tcPr>
          <w:p w:rsidR="0049599D" w:rsidRPr="004F62DE" w:rsidRDefault="0049599D" w:rsidP="004B110E">
            <w:pPr>
              <w:keepNext/>
            </w:pPr>
          </w:p>
        </w:tc>
      </w:tr>
      <w:tr w:rsidR="00781BC4" w:rsidRPr="004F62DE" w:rsidTr="00A31D6F">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1q)</w:t>
            </w:r>
            <w:r w:rsidRPr="004F62DE">
              <w:rPr>
                <w:b/>
                <w:i/>
              </w:rPr>
              <w:tab/>
              <w:t>I artikel 40 foretages følgende ændringer:</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1)</w:t>
            </w:r>
            <w:r w:rsidRPr="004F62DE">
              <w:rPr>
                <w:b/>
                <w:i/>
              </w:rPr>
              <w:tab/>
              <w:t>Stk. 1 affattes således:</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Inden påbegyndelse af en overførsel, herunder frivillige overførsler, sender føreren af et fangstfartøj eller en bugserbåd (eller dennes repræsentant), akvakulturbrugeren eller operatøren af det faststående tunfiskenet, som overførslen skal finde sted fra, de kompetente myndigheder i den medlemsstat, der er ansvarlig for akvakulturbruget eller det faststående tunfiskenet en forhåndsmeddelelse om overførsel med oplysninger om:</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antallet og den anslåede vægt af almindelig tun, der skal overføres</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w:t>
            </w:r>
            <w:r w:rsidRPr="004F62DE">
              <w:rPr>
                <w:b/>
                <w:i/>
              </w:rPr>
              <w:tab/>
              <w:t>navnet på fangstfartøjet, bugserbåd(e), akvakulturbruget eller faststående tunfiskenet med deres respektive ICCAT-registreringsnummer</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c)</w:t>
            </w:r>
            <w:r w:rsidRPr="004F62DE">
              <w:rPr>
                <w:b/>
                <w:i/>
              </w:rPr>
              <w:tab/>
              <w:t>fangstdato og -position</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d)</w:t>
            </w:r>
            <w:r w:rsidRPr="004F62DE">
              <w:rPr>
                <w:b/>
                <w:i/>
              </w:rPr>
              <w:tab/>
              <w:t>dato og forventet klokkeslæt for overførslen</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e)</w:t>
            </w:r>
            <w:r w:rsidRPr="004F62DE">
              <w:rPr>
                <w:b/>
                <w:i/>
              </w:rPr>
              <w:tab/>
              <w:t>den anslåede position (længdegrad/breddegrad), hvor overførsel vil finde sted, og antal af donerede og modtagne burnumre</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f)</w:t>
            </w:r>
            <w:r w:rsidRPr="004F62DE">
              <w:rPr>
                <w:b/>
                <w:i/>
              </w:rPr>
              <w:tab/>
              <w:t>bestemmelsesakvakulturbrug</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g)</w:t>
            </w:r>
            <w:r w:rsidRPr="004F62DE">
              <w:rPr>
                <w:b/>
                <w:i/>
              </w:rPr>
              <w:tab/>
              <w:t>donorbrugets navn og ICCAT-nummer i tilfælde af overførsel fra et bur i et akvakulturbrug til et transportbur</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h)</w:t>
            </w:r>
            <w:r w:rsidRPr="004F62DE">
              <w:rPr>
                <w:b/>
                <w:i/>
              </w:rPr>
              <w:tab/>
              <w:t>numrene på de to akvakulturbrugsbure og eventuelle involverede transportbure i tilfælde af overførsler mellem akvakulturbrug."</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Stk. 2 ophæves</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Stk. 3 affattes således:</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Alle bure, der anvendes i forbindelse med overførsel og transport af levende almindelig tun, nummereres i overensstemmelse med det unikke nummereringssystem, der er omhandlet i artikel XX."</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4)</w:t>
            </w:r>
            <w:r w:rsidRPr="004F62DE">
              <w:rPr>
                <w:b/>
                <w:i/>
              </w:rPr>
              <w:tab/>
              <w:t>Stk. 5 affattes således:</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Medlemsstater, der er involveret i overførsler som omhandlet i stk. 1, skal godkende eller nægte at godkende overførslen inden for 48 timer efter indgivelsen af forhåndsmeddelelsen om overførsel. Overførslen må ikke påbegyndes, uden at det forudgående positive godkendelsesnummer er udstedt."</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5)</w:t>
            </w:r>
            <w:r w:rsidRPr="004F62DE">
              <w:rPr>
                <w:b/>
                <w:i/>
              </w:rPr>
              <w:tab/>
              <w:t>Følgende stykker indsættes:</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"5a.</w:t>
            </w:r>
            <w:r w:rsidRPr="004F62DE">
              <w:rPr>
                <w:b/>
                <w:i/>
              </w:rPr>
              <w:tab/>
              <w:t>Inden kampagnen om fiskeri efter almindelig tun påbegyndes, tildeler medlemsstaterne hvert bur, der er knyttet til akvakulturbrug under deres jurisdiktion, et unikt og identificerbart nummer, herunder de bure, der anvendes til at transportere fiskene til akvakulturbruget."</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5b.</w:t>
            </w:r>
            <w:r w:rsidRPr="004F62DE">
              <w:rPr>
                <w:b/>
                <w:i/>
              </w:rPr>
              <w:tab/>
              <w:t>De unikke burnumre skal være stemplet eller malet på to modsatte sider af burets ring og over vandlinjen i en farve, der står i kontrast til den baggrund, hvorpå de er malet eller stemplet, og skal til enhver tid være synlige og læselige med henblik på kontrol. Højden af bogstaver og tal skal være mindst 20 centimeter med en linetykkelse på mindst 4 centimeter. Alternative metoder til at markere det unikke nummer på buret er tilladt, forudsat at de giver samme garanti for synlighed, læsbarhed og ukrænkelighed."</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6)</w:t>
            </w:r>
            <w:r w:rsidRPr="004F62DE">
              <w:rPr>
                <w:b/>
                <w:i/>
              </w:rPr>
              <w:tab/>
              <w:t>Følgende nye stykke tilføjes:</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"7.</w:t>
            </w:r>
            <w:r w:rsidRPr="004F62DE">
              <w:rPr>
                <w:b/>
                <w:i/>
              </w:rPr>
              <w:tab/>
              <w:t>Frivillige overførsler og kontroloverførsler er ikke underlagt en ny overførselstilladelse."</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54</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r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Forordning (EU) XX/2023</w:t>
      </w:r>
      <w:r w:rsidRPr="004F62DE">
        <w:rPr>
          <w:rStyle w:val="HideTWBExt"/>
          <w:noProof w:val="0"/>
        </w:rPr>
        <w:t>&lt;/DocAmend2&gt;</w:t>
      </w:r>
    </w:p>
    <w:p w:rsidR="00D22A4F" w:rsidRPr="004F62DE" w:rsidRDefault="00F37C81" w:rsidP="00D22A4F">
      <w:pPr>
        <w:keepNext/>
      </w:pPr>
      <w:r w:rsidRPr="004F62DE">
        <w:rPr>
          <w:rStyle w:val="HideTWBExt"/>
          <w:noProof w:val="0"/>
        </w:rPr>
        <w:t>&lt;Article2&gt;</w:t>
      </w:r>
      <w:r w:rsidRPr="004F62DE">
        <w:t>Artikel 41</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D22A4F">
        <w:trPr>
          <w:jc w:val="center"/>
        </w:trPr>
        <w:tc>
          <w:tcPr>
            <w:tcW w:w="9752" w:type="dxa"/>
            <w:gridSpan w:val="2"/>
          </w:tcPr>
          <w:p w:rsidR="0049599D" w:rsidRPr="004F62DE" w:rsidRDefault="0049599D" w:rsidP="00D22A4F">
            <w:pPr>
              <w:keepNext/>
            </w:pPr>
          </w:p>
        </w:tc>
      </w:tr>
      <w:tr w:rsidR="00781BC4" w:rsidRPr="004F62DE" w:rsidTr="00D22A4F">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1r)</w:t>
            </w:r>
            <w:r w:rsidRPr="004F62DE">
              <w:rPr>
                <w:b/>
                <w:i/>
              </w:rPr>
              <w:tab/>
              <w:t>I artikel 41 foretages følgende ændringer: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1)</w:t>
            </w:r>
            <w:r w:rsidRPr="004F62DE">
              <w:rPr>
                <w:b/>
                <w:i/>
              </w:rPr>
              <w:tab/>
              <w:t>Overskriften affattes således: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41</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Nægtet overførselstilladelse og deraf følgende frisætning af almindelig tun</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Stk. 1, litra b) og c), affattes således: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w:t>
            </w:r>
            <w:r w:rsidRPr="004F62DE">
              <w:rPr>
                <w:b/>
                <w:i/>
              </w:rPr>
              <w:tab/>
              <w:t>at antallet og vægten af fisk ikke er blevet behørigt rapporteret af fangstfartøjet eller det faststående tunfiskenet, eller at der ikke var givet tilladelse til anbringelse i bur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c)</w:t>
            </w:r>
            <w:r w:rsidRPr="004F62DE">
              <w:rPr>
                <w:b/>
                <w:i/>
              </w:rPr>
              <w:tab/>
              <w:t>at det fangstfartøj eller faststående tunfiskenet, der angives at have fanget fiskene, ikke havde en gyldig tilladelse til at fiske efter almindelig tun i henhold til artikel 26, eller"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3)</w:t>
            </w:r>
            <w:r w:rsidRPr="004F62DE">
              <w:rPr>
                <w:b/>
                <w:i/>
              </w:rPr>
              <w:tab/>
              <w:t>I stk. 1 tilføjes følgende litra:</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"e)</w:t>
            </w:r>
            <w:r w:rsidRPr="004F62DE">
              <w:rPr>
                <w:b/>
                <w:i/>
              </w:rPr>
              <w:tab/>
              <w:t>bestemmelsesakvakulturbruget er ikke indberettet som aktivt i ICCAT's register over akvakulturbrug."</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4)</w:t>
            </w:r>
            <w:r w:rsidRPr="004F62DE">
              <w:rPr>
                <w:b/>
                <w:i/>
              </w:rPr>
              <w:tab/>
              <w:t>Stk. 3 affattes således: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"I tilfælde af en teknisk fejl i dets FOS under transporten til akvakulturbruget, skal bugserbåden erstattes af en anden bugserbåd med et fuldt fungerende FOS, eller et nyt operationelt FOS skal installeres eller anvendes, så hurtigt som muligt og senest 72 timer efter den tekniske fejl. Denne periode på 72 timer kan undtagelsesvis forlænges i tilfælde af force majeure eller legitime operationelle begrænsninger. Den tekniske fejl meddeles straks Kommissionen, som underretter ICCAT's sekretariat. Førerne eller deres repræsentanter meddeler hver time fiskerfartøjets opdaterede geografiske koordinater ved hjælp af passende telekommunikationsmidler, fra det tidspunkt, hvor den tekniske fejl blev opdaget, indtil den er afhjulpet, til flagmedlemsstatens kontrolmyndigheder."</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55</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s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Forordning (EU) XX/2023</w:t>
      </w:r>
      <w:r w:rsidRPr="004F62DE">
        <w:rPr>
          <w:rStyle w:val="HideTWBExt"/>
          <w:noProof w:val="0"/>
        </w:rPr>
        <w:t>&lt;/DocAmend2&gt;</w:t>
      </w:r>
    </w:p>
    <w:p w:rsidR="00D22A4F" w:rsidRPr="004F62DE" w:rsidRDefault="00F37C81" w:rsidP="00D22A4F">
      <w:pPr>
        <w:keepNext/>
      </w:pPr>
      <w:r w:rsidRPr="004F62DE">
        <w:rPr>
          <w:rStyle w:val="HideTWBExt"/>
          <w:noProof w:val="0"/>
        </w:rPr>
        <w:t>&lt;Article2&gt;</w:t>
      </w:r>
      <w:r w:rsidRPr="004F62DE">
        <w:t>Artikel 42</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D22A4F">
        <w:trPr>
          <w:jc w:val="center"/>
        </w:trPr>
        <w:tc>
          <w:tcPr>
            <w:tcW w:w="9752" w:type="dxa"/>
            <w:gridSpan w:val="2"/>
          </w:tcPr>
          <w:p w:rsidR="0049599D" w:rsidRPr="004F62DE" w:rsidRDefault="0049599D" w:rsidP="00D22A4F">
            <w:pPr>
              <w:keepNext/>
            </w:pPr>
          </w:p>
        </w:tc>
      </w:tr>
      <w:tr w:rsidR="00781BC4" w:rsidRPr="004F62DE" w:rsidTr="00D22A4F">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1s)</w:t>
            </w:r>
            <w:r w:rsidRPr="004F62DE">
              <w:rPr>
                <w:b/>
                <w:i/>
              </w:rPr>
              <w:tab/>
              <w:t>I artikel 42 foretages følgende ændringer: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a)</w:t>
            </w:r>
            <w:r w:rsidRPr="004F62DE">
              <w:rPr>
                <w:b/>
                <w:i/>
              </w:rPr>
              <w:tab/>
              <w:t>Artikel 42 bliver artikel 43.</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b)</w:t>
            </w:r>
            <w:r w:rsidRPr="004F62DE">
              <w:rPr>
                <w:b/>
                <w:i/>
              </w:rPr>
              <w:tab/>
              <w:t>Stk. 1 affattes således: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Ved afslutningen af overførslen skal førere eller deres repræsentanter for fangstfartøjer eller bugserbåde eller akvakulturbrugeren eller operatøren af det faststående tunfiskenet udfylde ICCAT-overførselsopgørelsen og sende den til den ansvarlige medlemsstats myndighed, til den regionale ICCAT-observatør, hvis det er obligatorisk, og, hvis det er relevant, til føreren af bugserbåden eller det akvakulturbrug, der modtager fisken, i overensstemmelse med formatet i bilag VI."</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c)</w:t>
            </w:r>
            <w:r w:rsidRPr="004F62DE">
              <w:rPr>
                <w:b/>
                <w:i/>
              </w:rPr>
              <w:tab/>
              <w:t>Stk. 3 affattes således: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5B7025">
            <w:pPr>
              <w:pStyle w:val="Normal6"/>
              <w:rPr>
                <w:szCs w:val="24"/>
              </w:rPr>
            </w:pPr>
            <w:r w:rsidRPr="004F62DE">
              <w:rPr>
                <w:b/>
                <w:i/>
              </w:rPr>
              <w:t>"3.</w:t>
            </w:r>
            <w:r w:rsidRPr="004F62DE">
              <w:rPr>
                <w:b/>
                <w:i/>
              </w:rPr>
              <w:tab/>
              <w:t>Den oprindelige ITD skal ledsage overførslen af fisk, indtil det bestemmelsesbrug, hvor den skal anbringes i bur: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ved første overførsel duplikeres originalen af overførselsopgørelsen af føreren af fangstfartøjet eller bugserbåden eller dets repræsentant eller repræsentanten for et akvakulturbrug eller et faststående tunfiskenet, som en overførsel stammer fra, når en enkelt fangst overføres fra notfartøjets net eller faststående tunfiskenet til mere end et transportbur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w:t>
            </w:r>
            <w:r w:rsidRPr="004F62DE">
              <w:rPr>
                <w:b/>
                <w:i/>
              </w:rPr>
              <w:tab/>
              <w:t>i tilfælde af en yderligere overførsel skal føreren af donorbugserbåden ajourføre overførselsopgørelsen ved at udfylde del 3 (yderligere overførsler) og levere den ajourførte overførselsopgørelse til den modtagende bugserbåd."</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En kopi af ITD'en skal opbevares om bord på donorens fangst- eller bugserbåd(e) eller af det donerende faststående tunfiskenet eller donorakvakulturbruget og være tilgængelig til enhver tid med henblik på kontrol i løbet af fiskerikampagnen."</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d)</w:t>
            </w:r>
            <w:r w:rsidRPr="004F62DE">
              <w:rPr>
                <w:b/>
                <w:i/>
              </w:rPr>
              <w:tab/>
              <w:t>Stk. 5 affattes således: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Oplysninger om døde fisk under en overførsel eller under transport af fisk til bestemmelsesbruget registreres efter procedurerne i bilag XIII."</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56</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t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Forordning (EU) XX/2023</w:t>
      </w:r>
      <w:r w:rsidRPr="004F62DE">
        <w:rPr>
          <w:rStyle w:val="HideTWBExt"/>
          <w:noProof w:val="0"/>
        </w:rPr>
        <w:t>&lt;/DocAmend2&gt;</w:t>
      </w:r>
    </w:p>
    <w:p w:rsidR="00D22A4F" w:rsidRPr="004F62DE" w:rsidRDefault="00F37C81" w:rsidP="00D22A4F">
      <w:pPr>
        <w:pStyle w:val="NormalBold"/>
        <w:rPr>
          <w:b w:val="0"/>
        </w:rPr>
      </w:pPr>
      <w:r w:rsidRPr="004F62DE">
        <w:rPr>
          <w:rStyle w:val="HideTWBExt"/>
          <w:b w:val="0"/>
          <w:noProof w:val="0"/>
        </w:rPr>
        <w:t>&lt;Article2&gt;</w:t>
      </w:r>
      <w:r w:rsidRPr="004F62DE">
        <w:rPr>
          <w:b w:val="0"/>
        </w:rPr>
        <w:t>Artikel 43</w:t>
      </w:r>
      <w:r w:rsidRPr="004F62DE">
        <w:rPr>
          <w:rStyle w:val="HideTWBExt"/>
          <w:b w:val="0"/>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1t)</w:t>
            </w:r>
            <w:r w:rsidRPr="004F62DE">
              <w:rPr>
                <w:b/>
                <w:i/>
              </w:rPr>
              <w:tab/>
              <w:t>I artikel 43 foretages følgende ændringer: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a)</w:t>
            </w:r>
            <w:r w:rsidRPr="004F62DE">
              <w:rPr>
                <w:b/>
                <w:i/>
              </w:rPr>
              <w:tab/>
              <w:t>Artikel 43 bliver artikel 42.</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b)</w:t>
            </w:r>
            <w:r w:rsidRPr="004F62DE">
              <w:rPr>
                <w:b/>
                <w:i/>
              </w:rPr>
              <w:tab/>
              <w:t>Stk. 1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 xml:space="preserve">Føreren af fangstfartøjet eller bugserbåden eller akvakulturbrugeren eller operatøren af det faststående tunfiskenet, som overførslen skal finde sted fra, skal sikre, at overførslen overvåges af et videokamera i vandet for at bestemme antallet af individer af almindelig tun, der overføres, bortset fra overførsel af bure mellem to bugserbåde, som ikke indebærer flytning af levende tun mellem disse bure. Videooptagelsen foretages i overensstemmelse med de minimumsstandarder og </w:t>
            </w:r>
            <w:r w:rsidRPr="004F62DE">
              <w:rPr>
                <w:b/>
                <w:i/>
              </w:rPr>
              <w:noBreakHyphen/>
              <w:t>procedurer, der er fastsat i bilag X. Den kompetente myndighed i den enkelte donoroperatørs medlemsstat træffer de nødvendige foranstaltninger for at sikre, at donoroperatøren straks udleverer identiske kopier af de relevante videooptagelser: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for den første overførsel og den eventuelle frivillige overførsel til den regionale ICCAT-observatør og til den modtagende bugserbåd og, ved fangstrejsens afslutning, til donoroperatørens kompetente myndighed i den medlemsstat, der fører donorens flag, eller netmedlemsstat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w:t>
            </w:r>
            <w:r w:rsidRPr="004F62DE">
              <w:rPr>
                <w:b/>
                <w:i/>
              </w:rPr>
              <w:tab/>
              <w:t>for yderligere overførsler til den nationale observatør om bord på donorbugserbåden, til føreren af det modtagende bugserbåd og, ved afslutningen af bugseringsturen, til flagmedlemsstatens kompetente myndighed for donorbugserbåden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c)</w:t>
            </w:r>
            <w:r w:rsidRPr="004F62DE">
              <w:rPr>
                <w:b/>
                <w:i/>
              </w:rPr>
              <w:tab/>
              <w:t>for overførsler mellem to forskellige akvakulturbrug, til den regionale ICCAT-observatør, til den modtagende bugserbåd og til den kompetente myndighed i medlemsstaten for donorakvakulturbruget, og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d)</w:t>
            </w:r>
            <w:r w:rsidRPr="004F62DE">
              <w:rPr>
                <w:b/>
                <w:i/>
              </w:rPr>
              <w:tab/>
              <w:t>hvis en national inspektionsmyndighed eller ICCAT-inspektionsmyndighed er til stede under overførslen, modtager kontrolløren/kontrollørerne også en kopi af den relevante videooptagelse."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c)</w:t>
            </w:r>
            <w:r w:rsidRPr="004F62DE">
              <w:rPr>
                <w:b/>
                <w:i/>
              </w:rPr>
              <w:tab/>
              <w:t>Følgende stykke indsættes: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"1a.</w:t>
            </w:r>
            <w:r w:rsidRPr="004F62DE">
              <w:rPr>
                <w:b/>
                <w:i/>
              </w:rPr>
              <w:tab/>
              <w:t>De pågældende videooptagelser skal ledsage fiskene op til bestemmelsesbruget. En kopi skal opbevares om bord på det eller de donerende fartøjer, af det eller de faststående tunfiskenet eller af akvakulturbruget eller akvakulturbrugene og forblive tilgængelig til kontrolformål til enhver tid under fiskerikampagnen."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d)</w:t>
            </w:r>
            <w:r w:rsidRPr="004F62DE">
              <w:rPr>
                <w:b/>
                <w:i/>
              </w:rPr>
              <w:tab/>
              <w:t>Følgende stykke tilføjes: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Føreren af fangstfartøjet eller bugserbåden eller dets repræsentant eller repræsentanten for akvakulturbruget eller det faststående tunfiskenet, som en overførsel stammer fra, og medlemsstatens kompetente myndigheder opbevarer videooptagelserne i forbindelse med overførsler i mindst tre år og opbevarer dem, så længe det er nødvendigt til kontrol- og håndhævelsesformål."</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57</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u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Forordning (EU) XX/2023</w:t>
      </w:r>
      <w:r w:rsidRPr="004F62DE">
        <w:rPr>
          <w:rStyle w:val="HideTWBExt"/>
          <w:noProof w:val="0"/>
        </w:rPr>
        <w:t>&lt;/DocAmend2&gt;</w:t>
      </w:r>
    </w:p>
    <w:p w:rsidR="00D22A4F" w:rsidRPr="004F62DE" w:rsidRDefault="00F37C81" w:rsidP="00D22A4F">
      <w:pPr>
        <w:keepNext/>
      </w:pPr>
      <w:r w:rsidRPr="004F62DE">
        <w:rPr>
          <w:rStyle w:val="HideTWBExt"/>
          <w:noProof w:val="0"/>
        </w:rPr>
        <w:t>&lt;Article2&gt;</w:t>
      </w:r>
      <w:r w:rsidRPr="004F62DE">
        <w:t>Artikel 43a (ny)</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D22A4F">
        <w:trPr>
          <w:jc w:val="center"/>
        </w:trPr>
        <w:tc>
          <w:tcPr>
            <w:tcW w:w="9752" w:type="dxa"/>
            <w:gridSpan w:val="2"/>
          </w:tcPr>
          <w:p w:rsidR="0049599D" w:rsidRPr="004F62DE" w:rsidRDefault="0049599D" w:rsidP="00D22A4F">
            <w:pPr>
              <w:keepNext/>
            </w:pPr>
          </w:p>
        </w:tc>
      </w:tr>
      <w:tr w:rsidR="00781BC4" w:rsidRPr="004F62DE" w:rsidTr="00D22A4F">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1u)</w:t>
            </w:r>
            <w:r w:rsidRPr="004F62DE">
              <w:rPr>
                <w:b/>
                <w:i/>
              </w:rPr>
              <w:tab/>
              <w:t>Følgende artikel indsættes: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43a</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Frivillige overførsler og kontroloverførsler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Når de videooptagelser, der er omhandlet i artikel 42, ikke opfylder minimumsstandarderne i bilag X, og især hvis dets kvalitet og klarhed ikke er tilstrækkelig til at bestemme antallet af fisk, der overføres, kan føreren af fangstfartøjet eller bugserbåden eller dets repræsentant eller repræsentanten for et akvakulturbrug eller et faststående tunfiskenet, som en overførsel stammer fra, foretage en eller flere frivillige overførsler.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Hvis der ikke er foretaget en eller flere frivillige overførsler, eller hvis den eller de frivillige overførsler stadig ikke giver mulighed for at bestemme antallet af fisk, der overføres, skal den kompetente myndighed i medlemsstaten for det fartøj, det faststående tunfiskenet eller det akvakulturbrug, som en overførsel stammer fra, beordre en kontroloverførsel, der skal gentages, indtil kvaliteten af videooptagelsen gør det muligt at vurdere antallet af almindelig tun, der overføres.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Den eller de frivillige overførsler og/eller kontroloverførsler foretages i et andet bur, der skal være tomt. Antallet af fisk, der opnås ved den gyldige frivillige overførsel eller kontroloverførslen, skal anvendes til at udfylde logbogen, ICCAT-overførselsopgørelsen (ITD) og de relevante afsnit i eBCD.</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Adskillelsen af transportburet fra en not, et faststående tunfiskenet eller et akvakulturbrugsbur må ikke finde sted, før den regionale ICCAT-observatør om bord på notfartøjet eller til stede hos akvakulturbruget eller det faststående tunfiskenet har udført sine opgaver.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Hvis kvaliteten af videoen af den eller de frivillige overførsler stadig ikke gør det muligt at bestemme antallet af personer, der overføres, kan den kompetente myndighed i medlemsstaten for føreren af fangstfartøjet eller bugserbåden eller dets repræsentant eller repræsentanten for akvakulturbruget eller et faststående tunfiskenet tillade adskillelse af notfartøjet, det faststående tunfiskenet eller akvakulturbruget fra transportburet eller transportburene. I så fald skal den kompetente myndighed i medlemsstaten, føreren af fangstfartøjet eller bugserbåden eller dets repræsentant eller repræsentanten for akvakulturbruget eller et faststående tunfiskenet, beordre døren/dørene til det eller de pågældende transportbur(e) forseglet i overensstemmelse med proceduren i bilag XIX og kræve, at en eller flere kontroloverførsler foretages på et bestemt tidspunkt og sted i nærværelse af den kompetente myndighed for flag, faststående tunfiskenet eller akvakulturbruget.</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6.</w:t>
            </w:r>
            <w:r w:rsidRPr="004F62DE">
              <w:rPr>
                <w:b/>
                <w:i/>
              </w:rPr>
              <w:tab/>
              <w:t>Hvis den kompetente myndighed i flagmedlemsstaten, net- eller akvakulturbrugmedlemsstaten ikke kan være til stede ved kontroloverførslen, skal kontroloverførslen finde sted under tilstedeværelse af en regional ICCAT-observatør. I så fald ligger ansvaret for den regionale observatørudstationering hos den akvakulturbruger, der ejer den transporterede almindelige tun, som skal sikre, at den regionale observatør indsættes for at verificere kontroloverførslen."</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58</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v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Forordning (EU) XX/2023</w:t>
      </w:r>
      <w:r w:rsidRPr="004F62DE">
        <w:rPr>
          <w:rStyle w:val="HideTWBExt"/>
          <w:noProof w:val="0"/>
        </w:rPr>
        <w:t>&lt;/DocAmend2&gt;</w:t>
      </w:r>
    </w:p>
    <w:p w:rsidR="00D22A4F" w:rsidRPr="004F62DE" w:rsidRDefault="00F37C81" w:rsidP="00D22A4F">
      <w:pPr>
        <w:pStyle w:val="NormalBold"/>
        <w:rPr>
          <w:b w:val="0"/>
        </w:rPr>
      </w:pPr>
      <w:r w:rsidRPr="004F62DE">
        <w:rPr>
          <w:rStyle w:val="HideTWBExt"/>
          <w:b w:val="0"/>
          <w:noProof w:val="0"/>
        </w:rPr>
        <w:t>&lt;Article2&gt;</w:t>
      </w:r>
      <w:r w:rsidRPr="004F62DE">
        <w:rPr>
          <w:b w:val="0"/>
        </w:rPr>
        <w:t>Artikel 44</w:t>
      </w:r>
      <w:r w:rsidRPr="004F62DE">
        <w:rPr>
          <w:rStyle w:val="HideTWBExt"/>
          <w:b w:val="0"/>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1v)</w:t>
            </w:r>
            <w:r w:rsidRPr="004F62DE">
              <w:rPr>
                <w:b/>
                <w:i/>
              </w:rPr>
              <w:tab/>
              <w:t>I artikel 44 foretages følgende ændringer: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a)</w:t>
            </w:r>
            <w:r w:rsidRPr="004F62DE">
              <w:rPr>
                <w:b/>
                <w:i/>
              </w:rPr>
              <w:tab/>
              <w:t>Overskriften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"Undersøgelse foretaget af medlemsstatens kompetente myndighed".</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b)</w:t>
            </w:r>
            <w:r w:rsidRPr="004F62DE">
              <w:rPr>
                <w:b/>
                <w:i/>
              </w:rPr>
              <w:tab/>
              <w:t>Stk. 1 ophæves.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c)</w:t>
            </w:r>
            <w:r w:rsidRPr="004F62DE">
              <w:rPr>
                <w:b/>
                <w:i/>
              </w:rPr>
              <w:tab/>
              <w:t>Stk. 2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Den ansvarlige medlemsstat undersøger alle tilfælde, hvor: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der er mere end 10 % forskel mellem det antal fisk, der er indberettet i ITD af føreren af fangstfartøjet eller bugserbåden eller operatøren af faststående tunfiskenet eller akvakulturbruget, og det antal fisk, der er anslået af den regionale ICCAT-observatør eller af den nationale CPC-observatør, alt efter hvad der er relevant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b)</w:t>
            </w:r>
            <w:r w:rsidRPr="004F62DE">
              <w:rPr>
                <w:b/>
                <w:i/>
              </w:rPr>
              <w:tab/>
              <w:t>den regionale ICCAT-observatør har ikke underskrevet ITD;</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fejlmargenen på 10 % som omhandlet i litra a) udtrykkes som en procentdel af føreren af fangstfartøjet eller bugserbåden eller operatøren af faststående tunfiskenet eller akvakulturbruget;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ved indledningen af en undersøgelse underretter den kompetente myndighed i medlemsstaten flagmedlemsstaten eller den kompetente myndighed i CPC for det eller de pågældende bugserbåde om undersøgelsen og sikrer, at det ikke er tilladt at overføre fra eller til det pågældende transportbur, før undersøgelsen er afsluttet;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hvis det er relevant, skal undersøgelsen omfatte en analyse af alle de relevante videooptagelser. En sådan undersøgelse skal være afsluttet inden anbringelsen i bur på akvakulturbruget og under alle omstændigheder senest 96 timer efter iværksættelsen, medmindre der foreligger force majeure. Så længe resultatet af en sådan undersøgelse ikke foreligger, kan der ikke gives tilladelse til anbringelse i bur, og det relevante afsnit i BCD'et kan ikke attesteres"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d)</w:t>
            </w:r>
            <w:r w:rsidRPr="004F62DE">
              <w:rPr>
                <w:b/>
                <w:i/>
              </w:rPr>
              <w:tab/>
              <w:t>Stk. 3, 4 og 5 udgår.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e)</w:t>
            </w:r>
            <w:r w:rsidRPr="004F62DE">
              <w:rPr>
                <w:b/>
                <w:i/>
              </w:rPr>
              <w:tab/>
              <w:t>Følgende stykke indsættes: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"3a.</w:t>
            </w:r>
            <w:r w:rsidRPr="004F62DE">
              <w:rPr>
                <w:b/>
                <w:i/>
              </w:rPr>
              <w:tab/>
              <w:t>For alle overførsler, hvor der kræves en video, udgør en forskel på mere end 10 % mellem det antal almindelig tun, der er indberettet af fiskerfartøjets fører eller dets repræsentant eller repræsentanten for akvakulturbruget for faststående tunfiskenet i ITD'en, og det antal, der er fastsat af den kompetente CPC-myndighed for fiskerfartøjets fører eller dets repræsentant eller repræsentanten for akvakulturbruget for faststående tunfiskenet efter en undersøgelse, en potentiel manglende overholdelse for det pågældende fiskerfartøj, faststående tunfiskenet eller akvakulturbruget."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59</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w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Forordning (EU) XX/2023</w:t>
      </w:r>
      <w:r w:rsidRPr="004F62DE">
        <w:rPr>
          <w:rStyle w:val="HideTWBExt"/>
          <w:noProof w:val="0"/>
        </w:rPr>
        <w:t>&lt;/DocAmend2&gt;</w:t>
      </w:r>
    </w:p>
    <w:p w:rsidR="00D22A4F" w:rsidRPr="004F62DE" w:rsidRDefault="00F37C81" w:rsidP="00D22A4F">
      <w:pPr>
        <w:keepNext/>
      </w:pPr>
      <w:r w:rsidRPr="004F62DE">
        <w:rPr>
          <w:rStyle w:val="HideTWBExt"/>
          <w:noProof w:val="0"/>
        </w:rPr>
        <w:t>&lt;Article2&gt;</w:t>
      </w:r>
      <w:r w:rsidRPr="004F62DE">
        <w:t>Artikel 45 a (ny)</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D22A4F">
        <w:trPr>
          <w:jc w:val="center"/>
        </w:trPr>
        <w:tc>
          <w:tcPr>
            <w:tcW w:w="9752" w:type="dxa"/>
            <w:gridSpan w:val="2"/>
          </w:tcPr>
          <w:p w:rsidR="0049599D" w:rsidRPr="004F62DE" w:rsidRDefault="0049599D" w:rsidP="00D22A4F">
            <w:pPr>
              <w:keepNext/>
            </w:pPr>
          </w:p>
        </w:tc>
      </w:tr>
      <w:tr w:rsidR="00781BC4" w:rsidRPr="004F62DE" w:rsidTr="00D22A4F">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1w)</w:t>
            </w:r>
            <w:r w:rsidRPr="004F62DE">
              <w:rPr>
                <w:b/>
                <w:i/>
              </w:rPr>
              <w:tab/>
              <w:t>Følgende artikel indsættes: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45a</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Ændringer til ITD'er og eBCD'er efter inspektioner til søs eller undersøgelser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Hvis antallet af fisk efter en inspektion til søs eller en undersøgelse viser sig at være mere end 10 % forskelligt fra det, der er angivet i ITD og eBCD, ændres eBCD af donoroperatørens kompetente CPC-myndighed for at afspejle resultatet af undersøgelsen."</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60</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x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Forordning (EU) XX/2023</w:t>
      </w:r>
      <w:r w:rsidRPr="004F62DE">
        <w:rPr>
          <w:rStyle w:val="HideTWBExt"/>
          <w:noProof w:val="0"/>
        </w:rPr>
        <w:t>&lt;/DocAmend2&gt;</w:t>
      </w:r>
    </w:p>
    <w:p w:rsidR="00D22A4F" w:rsidRPr="004F62DE" w:rsidRDefault="00F37C81" w:rsidP="00D22A4F">
      <w:pPr>
        <w:keepNext/>
      </w:pPr>
      <w:r w:rsidRPr="004F62DE">
        <w:rPr>
          <w:rStyle w:val="HideTWBExt"/>
          <w:noProof w:val="0"/>
        </w:rPr>
        <w:t>&lt;Article2&gt;</w:t>
      </w:r>
      <w:r w:rsidRPr="004F62DE">
        <w:t>Artikel 45 b (ny)</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D22A4F">
        <w:trPr>
          <w:jc w:val="center"/>
        </w:trPr>
        <w:tc>
          <w:tcPr>
            <w:tcW w:w="9752" w:type="dxa"/>
            <w:gridSpan w:val="2"/>
          </w:tcPr>
          <w:p w:rsidR="0049599D" w:rsidRPr="004F62DE" w:rsidRDefault="0049599D" w:rsidP="00D22A4F">
            <w:pPr>
              <w:keepNext/>
            </w:pPr>
          </w:p>
        </w:tc>
      </w:tr>
      <w:tr w:rsidR="00781BC4" w:rsidRPr="004F62DE" w:rsidTr="00D22A4F">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1x)</w:t>
            </w:r>
            <w:r w:rsidRPr="004F62DE">
              <w:rPr>
                <w:b/>
                <w:i/>
              </w:rPr>
              <w:tab/>
              <w:t>Følgende artikel indsættes: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45b</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Almene bestemmelser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Hver akvakulturbrugmedlemsstat udpeger en enkelt kompetent myndighed, der er ansvarlig for at koordinere indsamling og verifikation af oplysninger om medlemsstaternes anbringelse i bur, for at kontrollere akvakulturbrug, der udøves under dens jurisdiktion, og for at rapportere til og samarbejde med de kompetente myndigheder i medlemsstaterne og CPC, hvis flagfartøjer eller faststående tunfiskenet fangede tunfisk i bur.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2.</w:t>
            </w:r>
            <w:r w:rsidRPr="004F62DE">
              <w:rPr>
                <w:b/>
                <w:i/>
              </w:rPr>
              <w:tab/>
              <w:t>Alt fiskeri efter almindelig tun og alle akvakulturbrugaktiviteter er underlagt den kontrol, der er beskrevet i den overvågnings-, kontrol- og inspektionsplan, der er forelagt i henhold til artikel 15.</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Medlemsstater, der er involveret i anbringelse i bur, udveksler oplysninger og samarbejder for at sikre, at antallet og vægten af almindelig tun, der er bestemt til anbringelse i bur, er nøjagtige og i overensstemmelse med de fangstmængder, som notfartøjet eller det faststående tunfiskenet har indberettet, og som er angivet i de relevante afsnit i eBCD.</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Akvakulturbrugmedlemsstaterne sikrer, at akvakulturbrugerne til enhver tid opretholder en nøjagtig skematisk plan for deres akvakulturbrug, der angiver det unikke antal bure og deres individuelle placering på akvakulturbruget. Den opdaterede plan stilles til enhver tid til rådighed for den kompetente myndighed i akvakulturbrugmedlemsstaten med henblik på kontrol og for den regionale ICCAT-observatør, der er indsat på akvakulturbruget. Enhver ændring af den skematiske plan er underlagt forudgående anmeldelse til den kompetente myndighed i akvakulturbrugmedlemsstaten. Den skematiske opdrætsplan tilpasses, når antallet og/eller fordelingen af akvakulturbrugsbure ændres.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Den kompetente myndighed i akvakulturbrugmedlemsstaten og akvakulturbrugeren opbevarer alle oplysninger, al dokumentation og alt materiale i forbindelse med anbringelse i bur på akvakulturbrug under deres jurisdiktion i mindst tre år og opbevarer oplysningerne, så længe det er nødvendigt til håndhævelsesformål."</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61</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y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Forordning (EU) XX/2023</w:t>
      </w:r>
      <w:r w:rsidRPr="004F62DE">
        <w:rPr>
          <w:rStyle w:val="HideTWBExt"/>
          <w:noProof w:val="0"/>
        </w:rPr>
        <w:t>&lt;/DocAmend2&gt;</w:t>
      </w:r>
    </w:p>
    <w:p w:rsidR="00D22A4F" w:rsidRPr="004F62DE" w:rsidRDefault="00F37C81" w:rsidP="00D22A4F">
      <w:pPr>
        <w:pStyle w:val="NormalBold"/>
        <w:rPr>
          <w:b w:val="0"/>
        </w:rPr>
      </w:pPr>
      <w:r w:rsidRPr="004F62DE">
        <w:rPr>
          <w:rStyle w:val="HideTWBExt"/>
          <w:b w:val="0"/>
          <w:noProof w:val="0"/>
        </w:rPr>
        <w:t>&lt;Article2&gt;</w:t>
      </w:r>
      <w:r w:rsidRPr="004F62DE">
        <w:rPr>
          <w:b w:val="0"/>
        </w:rPr>
        <w:t>Artikel 45 c (ny)</w:t>
      </w:r>
      <w:r w:rsidRPr="004F62DE">
        <w:rPr>
          <w:rStyle w:val="HideTWBExt"/>
          <w:b w:val="0"/>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1y)</w:t>
            </w:r>
            <w:r w:rsidRPr="004F62DE">
              <w:rPr>
                <w:b/>
                <w:i/>
              </w:rPr>
              <w:tab/>
              <w:t>Følgende artikel indsættes: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45c</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Unikt identifikationsnummer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Inden kampagnen om fiskeri efter almindelig tun påbegyndes, tildeler den kompetente myndighed i CPC på akvakulturbruget hvert bur, der er knyttet til akvakulturbrug under deres jurisdiktion, et unikt og identificerbart nummer, herunder de bure, der anvendes til at transportere fiskene til akvakulturbruget.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Burnummeret sammensættes efter et system med entydig nummerering, der som et minimum består af alfa-3-koden for opdrætsmedlemsstaten efterfulgt af tre tal. Entydige burnumre skal være permanente og må ikke kunne overføres fra ét bur til et andet.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De unikke burnumre skal være stemplet eller malet på to modsatte sider af burets ring og over vandlinjen i en farve, der står i kontrast til den baggrund, hvorpå de er malet eller stemplet, og skal til enhver tid være synlige og læselige med henblik på kontrol. Højden af bogstaver og tal skal være mindst 20 centimeter med en linetykkelse på mindst 4 centimeter.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Alternative metoder til at markere det unikke nummer på buret er tilladt, forudsat at de giver samme garanti for synlighed, læsbarhed og ukrænkelighed."</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62</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1 z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Forordning (EU) XX/2023</w:t>
      </w:r>
      <w:r w:rsidRPr="004F62DE">
        <w:rPr>
          <w:rStyle w:val="HideTWBExt"/>
          <w:noProof w:val="0"/>
        </w:rPr>
        <w:t>&lt;/DocAmend2&gt;</w:t>
      </w:r>
    </w:p>
    <w:p w:rsidR="00D22A4F" w:rsidRPr="004F62DE" w:rsidRDefault="00F37C81" w:rsidP="00D22A4F">
      <w:pPr>
        <w:keepNext/>
      </w:pPr>
      <w:r w:rsidRPr="004F62DE">
        <w:rPr>
          <w:rStyle w:val="HideTWBExt"/>
          <w:noProof w:val="0"/>
        </w:rPr>
        <w:t>&lt;Article2&gt;</w:t>
      </w:r>
      <w:r w:rsidRPr="004F62DE">
        <w:t>Artikel 45 d (ny)</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D22A4F">
        <w:trPr>
          <w:jc w:val="center"/>
        </w:trPr>
        <w:tc>
          <w:tcPr>
            <w:tcW w:w="9752" w:type="dxa"/>
            <w:gridSpan w:val="2"/>
          </w:tcPr>
          <w:p w:rsidR="0049599D" w:rsidRPr="004F62DE" w:rsidRDefault="0049599D" w:rsidP="00D22A4F">
            <w:pPr>
              <w:keepNext/>
            </w:pPr>
          </w:p>
        </w:tc>
      </w:tr>
      <w:tr w:rsidR="00781BC4" w:rsidRPr="004F62DE" w:rsidTr="00D22A4F">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1z)</w:t>
            </w:r>
            <w:r w:rsidRPr="004F62DE">
              <w:rPr>
                <w:b/>
                <w:i/>
              </w:rPr>
              <w:tab/>
              <w:t>Følgende artikel indsættes: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45d</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Tilladelse til anbringelse i bur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1.</w:t>
            </w:r>
            <w:r w:rsidRPr="004F62DE">
              <w:rPr>
                <w:b/>
                <w:i/>
              </w:rPr>
              <w:tab/>
              <w:t>Hver anbringelse i bur er underlagt proceduren i stk. 2-4.</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Akvakulturbrugeren skal anmode om en tilladelse til anbringelse i bur udstedt af akvakulturbrugmedlemsstatens kompetente myndighed med følgende oplysninger: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antallet og vægten af fisk, der skal anbringes i bur, jf. overførselserklæringen (ITD)</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w:t>
            </w:r>
            <w:r w:rsidRPr="004F62DE">
              <w:rPr>
                <w:b/>
                <w:i/>
              </w:rPr>
              <w:tab/>
              <w:t>de relevante overførselsopgørelser (ITD)</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c)</w:t>
            </w:r>
            <w:r w:rsidRPr="004F62DE">
              <w:rPr>
                <w:b/>
                <w:i/>
              </w:rPr>
              <w:tab/>
              <w:t>den eller de pågældende eBCD-referencer, som bekræftet og valideret af den kompetente myndighed i fangstflag- eller netmedlemsstaten eller CPC</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d)</w:t>
            </w:r>
            <w:r w:rsidRPr="004F62DE">
              <w:rPr>
                <w:b/>
                <w:i/>
              </w:rPr>
              <w:tab/>
              <w:t>alle rapporter om fisk, der dør under transport, behørigt registreret i overensstemmelse med bilag XIII.</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3.</w:t>
            </w:r>
            <w:r w:rsidRPr="004F62DE">
              <w:rPr>
                <w:b/>
                <w:i/>
              </w:rPr>
              <w:tab/>
              <w:t>Den kompetente myndighed i akvakulturbrugmedlemsstaten meddeler oplysningerne i stk. 2 til den relevante fangstflag- eller netmedlemsstat eller CPC'en/-erne, kompetente myndighed(er) og anmoder om bekræftelse på, at anbringelse i bur kan tillades.</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Inden for tre arbejdsdage underretter den eller de kompetente myndigheder i fangstflag- eller netmedlemsstaten eller CPC'en/-erne den eller de kompetente myndigheder i akvakulturbrugmedlemsstaten eller CPC'en om, at den pågældende anbringelse i bur kan tillades eller skal nægtes. I tilfælde af afslag skal den kompetente myndighed i flag- eller netmedlemsstaten angive årsagen/årsagerne til afslaget, og afslaget skal omfatte den deraf følgende frigivelsesordre.</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Akvakulturbrugmedlemsstaten udsteder tilladelsen til anbringelse i bur, umiddelbart efter at den pågældende fangstflag- eller netmedlemsstats eller CPC's kompetente myndighed har modtaget bekræftelsen. Anbringelse i bur godkendes ikke af akvakulturbrugmedlemsstatens kompetente myndighed ved mangel af en sådan bekræftelse.</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6.</w:t>
            </w:r>
            <w:r w:rsidRPr="004F62DE">
              <w:rPr>
                <w:b/>
                <w:i/>
              </w:rPr>
              <w:tab/>
              <w:t>Der gives ikke tilladelse til anbringelse i bur, hvis det komplette sæt dokumentation, der kræves i denne artikels stk. 2, ikke ledsager de fisk, der er omfattet af tilladelsen til anbringelse i bur.</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7.</w:t>
            </w:r>
            <w:r w:rsidRPr="004F62DE">
              <w:rPr>
                <w:b/>
                <w:i/>
              </w:rPr>
              <w:tab/>
              <w:t>Indtil resultaterne af den i artikel 43 omhandlede undersøgelse, der gennemføres af den kompetente myndighed i fangstflag- eller netmedlemsstaten eller CPC, er anbringelse i bur ikke tilladt, og de relevante afsnit om fangst og handel med levende fisk i eBCD valideres ikke.</w:t>
            </w:r>
          </w:p>
        </w:tc>
      </w:tr>
      <w:tr w:rsidR="00781BC4" w:rsidRPr="004F62DE" w:rsidTr="00D22A4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8.</w:t>
            </w:r>
            <w:r w:rsidRPr="004F62DE">
              <w:rPr>
                <w:b/>
                <w:i/>
              </w:rPr>
              <w:tab/>
              <w:t>Hvis akvakulturbrugmedlemsstatens eller CPC's kompetente myndighed ikke har udstedt tilladelsen til anbringelse i bur inden for en måned efter akvakulturbrugerens anmodning om tilladelse til anbringelse i bur, pålægger akvakulturbrugmedlemsstatens kompetente myndighed at frigive og fortsætter med at frigive alle de fisk, der er indeholdt i det pågældende transportbur, i overensstemmelse med bilag XII. Den kompetente myndighed i akvakulturbrugmedlemsstaten underretter straks den pågældende kompetente myndighed i fangstflag- eller netmedlemsstaten eller CPC'en og ICCAT's sekretariat om genudsættelsen."</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63</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2</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46</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A31D6F">
        <w:trPr>
          <w:jc w:val="center"/>
        </w:trPr>
        <w:tc>
          <w:tcPr>
            <w:tcW w:w="9752" w:type="dxa"/>
            <w:gridSpan w:val="2"/>
          </w:tcPr>
          <w:p w:rsidR="0049599D" w:rsidRPr="004F62DE" w:rsidRDefault="0049599D" w:rsidP="004B110E">
            <w:pPr>
              <w:keepNext/>
            </w:pPr>
          </w:p>
        </w:tc>
      </w:tr>
      <w:tr w:rsidR="00781BC4" w:rsidRPr="004F62DE" w:rsidTr="00A31D6F">
        <w:trPr>
          <w:jc w:val="center"/>
        </w:trPr>
        <w:tc>
          <w:tcPr>
            <w:tcW w:w="4876" w:type="dxa"/>
          </w:tcPr>
          <w:p w:rsidR="0049599D" w:rsidRPr="004F62DE" w:rsidRDefault="00F37C81" w:rsidP="004B110E">
            <w:pPr>
              <w:pStyle w:val="ColumnHeading"/>
              <w:keepNext/>
            </w:pPr>
            <w:r w:rsidRPr="004F62DE">
              <w:t>Kommissionens forslag</w:t>
            </w:r>
          </w:p>
        </w:tc>
        <w:tc>
          <w:tcPr>
            <w:tcW w:w="4876" w:type="dxa"/>
          </w:tcPr>
          <w:p w:rsidR="0049599D" w:rsidRPr="004F62DE" w:rsidRDefault="00F37C81" w:rsidP="004B110E">
            <w:pPr>
              <w:pStyle w:val="ColumnHeading"/>
              <w:keepNext/>
            </w:pPr>
            <w:r w:rsidRPr="004F62DE">
              <w:t>Ændringsforslag</w:t>
            </w:r>
          </w:p>
        </w:tc>
      </w:tr>
      <w:tr w:rsidR="00781BC4" w:rsidRPr="004F62DE" w:rsidTr="00A31D6F">
        <w:trPr>
          <w:jc w:val="center"/>
        </w:trPr>
        <w:tc>
          <w:tcPr>
            <w:tcW w:w="4876" w:type="dxa"/>
          </w:tcPr>
          <w:p w:rsidR="0049599D" w:rsidRPr="004F62DE" w:rsidRDefault="00F37C81" w:rsidP="004B110E">
            <w:pPr>
              <w:pStyle w:val="Normal6"/>
            </w:pPr>
            <w:r w:rsidRPr="004F62DE">
              <w:rPr>
                <w:b/>
                <w:i/>
              </w:rPr>
              <w:t>2)</w:t>
            </w:r>
            <w:r w:rsidRPr="004F62DE">
              <w:rPr>
                <w:b/>
                <w:i/>
              </w:rPr>
              <w:tab/>
              <w:t>I artikel 46, stk. (…), indsættes som litra a) og b):</w:t>
            </w:r>
          </w:p>
        </w:tc>
        <w:tc>
          <w:tcPr>
            <w:tcW w:w="4876" w:type="dxa"/>
          </w:tcPr>
          <w:p w:rsidR="0049599D" w:rsidRPr="004F62DE" w:rsidRDefault="00F37C81" w:rsidP="004B110E">
            <w:pPr>
              <w:pStyle w:val="Normal6"/>
              <w:rPr>
                <w:szCs w:val="24"/>
              </w:rPr>
            </w:pPr>
            <w:r w:rsidRPr="004F62DE">
              <w:rPr>
                <w:b/>
                <w:i/>
              </w:rPr>
              <w:t>udgår</w:t>
            </w:r>
          </w:p>
        </w:tc>
      </w:tr>
      <w:tr w:rsidR="00781BC4" w:rsidRPr="004F62DE" w:rsidTr="00A31D6F">
        <w:trPr>
          <w:jc w:val="center"/>
        </w:trPr>
        <w:tc>
          <w:tcPr>
            <w:tcW w:w="4876" w:type="dxa"/>
          </w:tcPr>
          <w:p w:rsidR="0049599D" w:rsidRPr="004F62DE" w:rsidRDefault="00F37C81" w:rsidP="004B110E">
            <w:pPr>
              <w:pStyle w:val="Normal6"/>
            </w:pPr>
            <w:r w:rsidRPr="004F62DE">
              <w:rPr>
                <w:b/>
                <w:i/>
              </w:rPr>
              <w:t>"a)</w:t>
            </w:r>
            <w:r w:rsidRPr="004F62DE">
              <w:rPr>
                <w:b/>
                <w:i/>
              </w:rPr>
              <w:tab/>
              <w:t>"a) Medlemsstaterne må ikke anbringe almindelig tun i akvakulturbrug, der ikke er godkendt af en medlemsstat eller CPC, eller som ikke er registreret i ICCAT's register over akvakulturbrug.</w:t>
            </w:r>
          </w:p>
        </w:tc>
        <w:tc>
          <w:tcPr>
            <w:tcW w:w="4876" w:type="dxa"/>
          </w:tcPr>
          <w:p w:rsidR="0049599D" w:rsidRPr="004F62DE" w:rsidRDefault="0049599D" w:rsidP="004B110E">
            <w:pPr>
              <w:pStyle w:val="Normal6"/>
              <w:rPr>
                <w:szCs w:val="24"/>
              </w:rPr>
            </w:pPr>
          </w:p>
        </w:tc>
      </w:tr>
      <w:tr w:rsidR="00781BC4" w:rsidRPr="004F62DE" w:rsidTr="00A31D6F">
        <w:trPr>
          <w:jc w:val="center"/>
        </w:trPr>
        <w:tc>
          <w:tcPr>
            <w:tcW w:w="4876" w:type="dxa"/>
          </w:tcPr>
          <w:p w:rsidR="0049599D" w:rsidRPr="004F62DE" w:rsidRDefault="00F37C81" w:rsidP="004B110E">
            <w:pPr>
              <w:pStyle w:val="Normal6"/>
            </w:pPr>
            <w:r w:rsidRPr="004F62DE">
              <w:rPr>
                <w:b/>
                <w:i/>
              </w:rPr>
              <w:t>b)</w:t>
            </w:r>
            <w:r w:rsidRPr="004F62DE">
              <w:rPr>
                <w:b/>
                <w:i/>
              </w:rPr>
              <w:tab/>
              <w:t>Akvakulturbrug-medlemsstater sikrer, at fangster af almindelig tun anbringes i separate bure eller rækker af bure og opdeles efter oprindelsesflagmedlemsstat eller oprindelsesflag-CPC. Som undtagelse herfra gælder, at hvis den almindelige tun fanges i fælles fiskeri med deltagelse af forskellige medlemsstater, sikrer akvakulturbrug-medlemsstaterne, at den almindelige tun anbringes i separate bure eller rækker af bure og opdeles efter de enkelte deltageres bidrag til det fælles fiskeri."</w:t>
            </w:r>
          </w:p>
        </w:tc>
        <w:tc>
          <w:tcPr>
            <w:tcW w:w="4876" w:type="dxa"/>
          </w:tcPr>
          <w:p w:rsidR="0049599D" w:rsidRPr="004F62DE" w:rsidRDefault="0049599D" w:rsidP="004B110E">
            <w:pPr>
              <w:pStyle w:val="Normal6"/>
              <w:rPr>
                <w:szCs w:val="24"/>
              </w:rPr>
            </w:pP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Bestemmelse, der allerede er medtaget i forordning (EU) XX/2022.</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64</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2 a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46</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2a)</w:t>
            </w:r>
            <w:r w:rsidRPr="004F62DE">
              <w:rPr>
                <w:b/>
                <w:i/>
              </w:rPr>
              <w:tab/>
              <w:t>Artikel 46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46</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Afvisning af en tilladelse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Den kompetente myndighed i den medlemsstat, der er ansvarlig for fangstfartøjet eller det faststående tunfiskenet, nægter at give tilladelse til anbringelsen i bur, hvis den vurderer: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at det fangstfartøj eller faststående tunfiskenet, der fangede fiskene, ikke havde en tilstrækkelig kvote til at dække den almindelige tun, der skal anbringes i bur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b)</w:t>
            </w:r>
            <w:r w:rsidRPr="004F62DE">
              <w:rPr>
                <w:b/>
                <w:i/>
              </w:rPr>
              <w:tab/>
              <w:t>at mængden af fisk, der skal anbringes i bur, ikke er blevet behørigt rapporteret af fangstfartøjet eller det faststående tunfiskenet, eller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c)</w:t>
            </w:r>
            <w:r w:rsidRPr="004F62DE">
              <w:rPr>
                <w:b/>
                <w:i/>
              </w:rPr>
              <w:tab/>
              <w:t>at det fangstfartøj, der angives at have fanget fiskene, ikke havde en gyldig tilladelse til at fiske efter almindelig tun i henhold til artikel 26.</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Hvis den medlemsstat, der er ansvarlig for fangstfartøjet eller det faststående tunfiskenet, nægter at give tilladelse til anbringelsen i bur, skal den: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underrette den kompetente myndighed i den medlemsstat eller CPC, der er ansvarlig for akvakulturbruget, og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w:t>
            </w:r>
            <w:r w:rsidRPr="004F62DE">
              <w:rPr>
                <w:b/>
                <w:i/>
              </w:rPr>
              <w:tab/>
              <w:t>anmode den pågældende kompetente myndighed om at beslaglægge fangsterne og udstede en ordre til at slippe fiskene fri."</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65</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2 b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46 b (ny)</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2b)</w:t>
            </w:r>
            <w:r w:rsidRPr="004F62DE">
              <w:rPr>
                <w:b/>
                <w:i/>
              </w:rPr>
              <w:tab/>
              <w:t>Følgende artikel indsættes: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rPr>
            </w:pPr>
            <w:r w:rsidRPr="004F62DE">
              <w:rPr>
                <w:b/>
                <w:i/>
              </w:rPr>
              <w:t>"Artikel 46b</w:t>
            </w:r>
          </w:p>
        </w:tc>
      </w:tr>
      <w:tr w:rsidR="00781BC4" w:rsidRPr="004F62DE" w:rsidTr="004B110E">
        <w:trPr>
          <w:jc w:val="center"/>
        </w:trPr>
        <w:tc>
          <w:tcPr>
            <w:tcW w:w="4876" w:type="dxa"/>
          </w:tcPr>
          <w:p w:rsidR="00BD2408" w:rsidRPr="004F62DE" w:rsidRDefault="00BD2408" w:rsidP="004B110E">
            <w:pPr>
              <w:pStyle w:val="Normal6"/>
            </w:pPr>
          </w:p>
        </w:tc>
        <w:tc>
          <w:tcPr>
            <w:tcW w:w="4876" w:type="dxa"/>
          </w:tcPr>
          <w:p w:rsidR="00BD2408" w:rsidRPr="004F62DE" w:rsidRDefault="00F37C81" w:rsidP="004B110E">
            <w:pPr>
              <w:pStyle w:val="Normal6"/>
              <w:rPr>
                <w:b/>
                <w:i/>
              </w:rPr>
            </w:pPr>
            <w:r w:rsidRPr="004F62DE">
              <w:rPr>
                <w:b/>
                <w:i/>
              </w:rPr>
              <w:t>Anbringelse i bur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Ved bugserbådens ankomst i nærheden af akvakulturbruget sikrer akvakulturbrugmedlemsstatens kompetente myndighed, at den pågældende bugserbåd holdes i en afstand af mindst en sømil fra akvakulturbrugets faciliteter, indtil akvakulturbrugmedlemsstatens kompetente myndighed er fysisk til stede; de relevante bugserbådes position og aktivitet skal til enhver tid overvåges.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Medlemsstaternes kompetente myndigheder må ikke give tilladelse til, at anbringelsen i bur påbegyndes, uden at den kompetente myndighed i akvakulturbrugmedlemsstaten og den regionale ICCAT-observatør er til stede, og inden eBCD's afsnit om fangst og handel med levende fisk er afsluttet og valideret af den eller de kompetente myndigheder i fangstflag- eller netmedlemsstaterne eller CPC.</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Forankring af transportbure som akvakulturbure uden flytning af fisk for at muliggøre optagelse med et stereokamera er forbudt.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Efter overførsel af almindelig tun fra bugserburet til akvakulturbrugsburet sikrer akvakulturbrugmedlemsstatens kontrolmyndighed, at akvakulturbrugsbure, der indeholder almindelig tun, til enhver tid er forseglet. Det vil kun være muligt at bryde forseglingen, hvis den kompetente myndighed i akvakulturbrugmedlemsstaten er til stede, og efter at den har givet tilladelse. Akvakulturbrugmedlemsstatens kontrolmyndighed udarbejder protokoller for forseglingen af akvakulturbrugsbure, der sikrer brugen af officielle plomberinger, og at disse plomberinger placeres på en sådan måde, at de forhindrer åbning af døre, uden at forseglingen brydes.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Akvakulturbrugmedlemsstater sikrer, at fangster af almindelig tun anbringes i separate bure eller rækker af bure og opdeles efter oprindelsesflagmedlemsstat eller oprindelsesflag-CPC og fangstår. Som undtagelse herfra gælder, at hvis den almindelige tun er blevet fanget i fælles fiskeri, anbringes de pågældende fangster i separate bure eller rækker af bure og opdeles efter det fælles fiskeri og fangstår.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6.</w:t>
            </w:r>
            <w:r w:rsidRPr="004F62DE">
              <w:rPr>
                <w:b/>
                <w:i/>
              </w:rPr>
              <w:tab/>
              <w:t>Fisk skal anbringes i bur inden den 22. august hvert år, medmindre de kompetente myndigheder i den medlemsstat eller CPC, der er ansvarlig for akvakulturbruget, fremfører gyldige grunde, herunder force majeure, som vedlægges rapporten om anbringelse i bur, når den indgives. Fisk må under ingen omstændigheder anbringes i bur efter den 7. september hvert år. Ovennævnte frister gælder ikke i tilfælde af overførsel mellem akvakulturbrug."</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AF0449" w:rsidRPr="004F62DE" w:rsidRDefault="00F37C81" w:rsidP="00AF0449">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66</w:t>
      </w:r>
      <w:r w:rsidRPr="004F62DE">
        <w:rPr>
          <w:rStyle w:val="HideTWBExt"/>
          <w:b w:val="0"/>
          <w:noProof w:val="0"/>
        </w:rPr>
        <w:t>&lt;/NumAm&gt;</w:t>
      </w:r>
    </w:p>
    <w:p w:rsidR="00AF0449" w:rsidRPr="004F62DE" w:rsidRDefault="00F37C81" w:rsidP="00AF0449">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AF0449" w:rsidRPr="004F62DE" w:rsidRDefault="00F37C81" w:rsidP="00AF0449">
      <w:pPr>
        <w:pStyle w:val="NormalBold"/>
      </w:pPr>
      <w:r w:rsidRPr="004F62DE">
        <w:rPr>
          <w:rStyle w:val="HideTWBExt"/>
          <w:b w:val="0"/>
          <w:noProof w:val="0"/>
        </w:rPr>
        <w:t>&lt;Article&gt;</w:t>
      </w:r>
      <w:r w:rsidRPr="004F62DE">
        <w:t>Artikel 2 – stk. 1 – nr. 2 c (nyt)</w:t>
      </w:r>
      <w:r w:rsidRPr="004F62DE">
        <w:rPr>
          <w:rStyle w:val="HideTWBExt"/>
          <w:b w:val="0"/>
          <w:noProof w:val="0"/>
        </w:rPr>
        <w:t>&lt;/Article&gt;</w:t>
      </w:r>
    </w:p>
    <w:p w:rsidR="00AF0449" w:rsidRPr="004F62DE" w:rsidRDefault="00F37C81" w:rsidP="00AF0449">
      <w:pPr>
        <w:keepNext/>
      </w:pPr>
      <w:r w:rsidRPr="004F62DE">
        <w:rPr>
          <w:rStyle w:val="HideTWBExt"/>
          <w:noProof w:val="0"/>
        </w:rPr>
        <w:t>&lt;DocAmend2&gt;</w:t>
      </w:r>
      <w:r w:rsidRPr="004F62DE">
        <w:t>Forordning (EU) XX/2023</w:t>
      </w:r>
      <w:r w:rsidRPr="004F62DE">
        <w:rPr>
          <w:rStyle w:val="HideTWBExt"/>
          <w:noProof w:val="0"/>
        </w:rPr>
        <w:t>&lt;/DocAmend2&gt;</w:t>
      </w:r>
    </w:p>
    <w:p w:rsidR="00AF0449" w:rsidRPr="004F62DE" w:rsidRDefault="00F37C81" w:rsidP="00AF0449">
      <w:r w:rsidRPr="004F62DE">
        <w:rPr>
          <w:rStyle w:val="HideTWBExt"/>
          <w:noProof w:val="0"/>
        </w:rPr>
        <w:t>&lt;Article2&gt;</w:t>
      </w:r>
      <w:r w:rsidRPr="004F62DE">
        <w:t>Artikel 47</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D618C2">
        <w:trPr>
          <w:jc w:val="center"/>
        </w:trPr>
        <w:tc>
          <w:tcPr>
            <w:tcW w:w="9752" w:type="dxa"/>
            <w:gridSpan w:val="2"/>
          </w:tcPr>
          <w:p w:rsidR="00AF0449" w:rsidRPr="004F62DE" w:rsidRDefault="00AF0449" w:rsidP="00D618C2">
            <w:pPr>
              <w:keepNext/>
            </w:pPr>
          </w:p>
        </w:tc>
      </w:tr>
      <w:tr w:rsidR="00781BC4" w:rsidRPr="004F62DE" w:rsidTr="00D618C2">
        <w:trPr>
          <w:jc w:val="center"/>
        </w:trPr>
        <w:tc>
          <w:tcPr>
            <w:tcW w:w="4876" w:type="dxa"/>
          </w:tcPr>
          <w:p w:rsidR="00AF0449" w:rsidRPr="004F62DE" w:rsidRDefault="00F37C81" w:rsidP="00D618C2">
            <w:pPr>
              <w:pStyle w:val="ColumnHeading"/>
              <w:keepNext/>
            </w:pPr>
            <w:r w:rsidRPr="004F62DE">
              <w:t>Nuværende ordlyd</w:t>
            </w:r>
          </w:p>
        </w:tc>
        <w:tc>
          <w:tcPr>
            <w:tcW w:w="4876" w:type="dxa"/>
          </w:tcPr>
          <w:p w:rsidR="00AF0449" w:rsidRPr="004F62DE" w:rsidRDefault="00F37C81" w:rsidP="00D618C2">
            <w:pPr>
              <w:pStyle w:val="ColumnHeading"/>
              <w:keepNext/>
            </w:pPr>
            <w:r w:rsidRPr="004F62DE">
              <w:t>Ændringsforslag</w:t>
            </w:r>
          </w:p>
        </w:tc>
      </w:tr>
      <w:tr w:rsidR="00781BC4" w:rsidRPr="004F62DE" w:rsidTr="00D618C2">
        <w:trPr>
          <w:jc w:val="center"/>
        </w:trPr>
        <w:tc>
          <w:tcPr>
            <w:tcW w:w="4876" w:type="dxa"/>
          </w:tcPr>
          <w:p w:rsidR="00AF0449" w:rsidRPr="004F62DE" w:rsidRDefault="00AF0449" w:rsidP="00D618C2">
            <w:pPr>
              <w:pStyle w:val="Normal6"/>
            </w:pPr>
          </w:p>
        </w:tc>
        <w:tc>
          <w:tcPr>
            <w:tcW w:w="4876" w:type="dxa"/>
          </w:tcPr>
          <w:p w:rsidR="00AF0449" w:rsidRPr="004F62DE" w:rsidRDefault="00F37C81" w:rsidP="004D3CA0">
            <w:pPr>
              <w:pStyle w:val="Normal6"/>
              <w:rPr>
                <w:szCs w:val="24"/>
              </w:rPr>
            </w:pPr>
            <w:r w:rsidRPr="004F62DE">
              <w:rPr>
                <w:b/>
                <w:i/>
              </w:rPr>
              <w:t>2c)</w:t>
            </w:r>
            <w:r w:rsidRPr="004F62DE">
              <w:rPr>
                <w:b/>
                <w:i/>
              </w:rPr>
              <w:tab/>
              <w:t>I artikel 47 udgår stk. 2 og 3.</w:t>
            </w:r>
          </w:p>
        </w:tc>
      </w:tr>
    </w:tbl>
    <w:p w:rsidR="00AF0449" w:rsidRPr="004F62DE" w:rsidRDefault="00F37C81" w:rsidP="00AF0449">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AF0449" w:rsidRPr="004F62DE" w:rsidRDefault="00F37C81" w:rsidP="00AF0449">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AF0449" w:rsidRPr="004F62DE" w:rsidRDefault="00F37C81" w:rsidP="00AF0449">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AF0449" w:rsidRPr="004F62DE" w:rsidRDefault="00F37C81" w:rsidP="00AF0449">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67</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rPr>
          <w:rStyle w:val="HideTWBExt"/>
          <w:b w:val="0"/>
          <w:noProof w:val="0"/>
        </w:rPr>
      </w:pPr>
      <w:r w:rsidRPr="004F62DE">
        <w:rPr>
          <w:rStyle w:val="HideTWBExt"/>
          <w:b w:val="0"/>
          <w:noProof w:val="0"/>
        </w:rPr>
        <w:t>&lt;Article&gt;</w:t>
      </w:r>
      <w:r w:rsidRPr="004F62DE">
        <w:t>Artikel 2 – stk. 1 – nr. 2 d (nyt)</w:t>
      </w:r>
      <w:r w:rsidRPr="004F62DE">
        <w:rPr>
          <w:rStyle w:val="HideTWBExt"/>
          <w:b w:val="0"/>
          <w:noProof w:val="0"/>
        </w:rPr>
        <w:t>&lt;/Article&gt;</w:t>
      </w:r>
    </w:p>
    <w:p w:rsidR="00D71C36" w:rsidRPr="004F62DE" w:rsidRDefault="00F37C81" w:rsidP="00D71C36">
      <w:pPr>
        <w:keepNext/>
      </w:pPr>
      <w:r w:rsidRPr="004F62DE">
        <w:rPr>
          <w:rStyle w:val="HideTWBExt"/>
          <w:noProof w:val="0"/>
        </w:rPr>
        <w:t>&lt;DocAmend2&gt;</w:t>
      </w:r>
      <w:r w:rsidRPr="004F62DE">
        <w:t>Forordning (EU) XX/2023</w:t>
      </w:r>
      <w:r w:rsidRPr="004F62DE">
        <w:rPr>
          <w:rStyle w:val="HideTWBExt"/>
          <w:noProof w:val="0"/>
        </w:rPr>
        <w:t>&lt;/DocAmend2&gt;</w:t>
      </w:r>
    </w:p>
    <w:p w:rsidR="00D71C36" w:rsidRPr="004F62DE" w:rsidRDefault="00F37C81" w:rsidP="00D71C36">
      <w:r w:rsidRPr="004F62DE">
        <w:rPr>
          <w:rStyle w:val="HideTWBExt"/>
          <w:noProof w:val="0"/>
        </w:rPr>
        <w:t>&lt;Article2&gt;</w:t>
      </w:r>
      <w:r w:rsidRPr="004F62DE">
        <w:t>Artikel 48</w:t>
      </w:r>
      <w:r w:rsidRPr="004F62DE">
        <w:rPr>
          <w:rStyle w:val="HideTWBExt"/>
          <w:noProof w:val="0"/>
        </w:rPr>
        <w:t>&lt;/Article2&gt;</w:t>
      </w:r>
    </w:p>
    <w:p w:rsidR="00D71C36" w:rsidRPr="004F62DE" w:rsidRDefault="00D71C36" w:rsidP="0049599D">
      <w:pPr>
        <w:pStyle w:val="NormalBold"/>
      </w:pP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D3CA0">
            <w:pPr>
              <w:pStyle w:val="Normal6"/>
              <w:rPr>
                <w:szCs w:val="24"/>
              </w:rPr>
            </w:pPr>
            <w:r w:rsidRPr="004F62DE">
              <w:rPr>
                <w:b/>
                <w:i/>
              </w:rPr>
              <w:t>2d)</w:t>
            </w:r>
            <w:r w:rsidRPr="004F62DE">
              <w:rPr>
                <w:b/>
                <w:i/>
              </w:rPr>
              <w:tab/>
              <w:t>Artikel 48 udgår.</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68</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2 e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49</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2e)</w:t>
            </w:r>
            <w:r w:rsidRPr="004F62DE">
              <w:rPr>
                <w:b/>
                <w:i/>
              </w:rPr>
              <w:tab/>
              <w:t>Artikel 49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49</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Optagelse af anbringelse i bur af kontrolkameraer og anbringelseserklæring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Medlemsstater med ansvar for akvakulturbrug sikrer, at anbringelse i bur overvåges af deres kontrolmyndigheder ved hjælp af både konventionelle og stereokameraer. Der foretages videooptagelse af hver enkelt anbringelse i bur i overensstemmelse med procedurerne i bilag X.</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Hvis kvaliteten af kontrolkameraets videooptagelser, der anvendes til at bestemme antallet og/eller vægten af almindelig tun i bur, ikke overholder minimumsstandarderne i bilag X, pålægger akvakulturbrugmedlemsstatens kompetente myndighed et kontrolbur, indtil det er muligt at bestemme antallet og/eller vægten. Gentagelse af anbringelse i bur er ikke underlagt en ny tilladelse til anbringelse i bur.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I tilfælde af kontrolbure skal den kompetente myndighed i akvakulturbrugmedlemsstaten sikre, at donorakvakulturbrugsburet er forseglet, og at buret ikke kan manipuleres forud for den nye anbringelse i bur. Det eller de modtagende akvakulturbrugsbure, der anvendes i kontrolburet, skal være tomme.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Ved afslutningen af anbringelsen i bur sikrer akvakulturbrugmedlemsstatens kompetente myndighed, at den regionale ICCAT-observatør har øjeblikkelig adgang til alle stereokamera- og konventionelle kameravideooptagelser og har tilladelse til at tage en kopi, hvis den har til hensigt at fuldføre sin opgave med at analysere optagelserne på et andet tidspunkt eller sted.</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Medlemsstater med ansvar for akvakulturbrug sikrer, at akvakulturbrugeren for hver anbringelse i bur indgiver en anbringelseserklæring senest en uge efter den faktiske anbringelse i bur under anvendelse af formularen i bilag XIV."</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69</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2 f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50</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2f)</w:t>
            </w:r>
            <w:r w:rsidRPr="004F62DE">
              <w:rPr>
                <w:b/>
                <w:i/>
              </w:rPr>
              <w:tab/>
              <w:t>Artikel 50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50</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Iværksættelse og gennemførelse af undersøgelser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Hvis antallet af almindelig tun, der anbringes i bur i forbindelse med en enkelt fangst som meddelt af den kompetente myndighed i akvakulturbrugmedlemsstaten i overensstemmelse med artikel 50, stk. 2, afviger med mere end 10 % fra dem, der er indberettet i ITD eller eBCD som fanget og/eller overført, indleder den kompetente myndighed i fangstflag- eller netmedlemsstaten en undersøgelse for at bestemme den nøjagtige fangstvægt, der skal fratrækkes den nationale kvote for almindelig tun. Til støtte for denne undersøgelse anmoder den kompetente myndighed i fangstflag- eller netmedlemsstaten om alle supplerende oplysninger og resultaterne af den relevante videooptagelsesanalyse, der er udført af den kompetente myndighed i flag- og akvakulturbrugmedlemsstaten, som har været involveret i den pågældende transport og den pågældende anbringelse i bur. Alle kompetente myndigheder, herunder dem, hvis fartøjer har deltaget i transporten af fiskene, samarbejder aktivt, herunder gennem udveksling af alle oplysninger og al dokumentation, som de har til rådighed. Den kompetente myndighed i fangstflag- eller netmedlemsstaten afslutter undersøgelsen senest en måned efter, at den kompetente myndighed i akvakulturbrugmedlemsstaten har meddelt resultaterne af anbringelsen i bur [paragraf 177]. En forskel på mere end 10 % mellem det antal almindelig tun, der er rapporteret fanget af det pågældende fartøj eller faststående tunfiskenet, og det antal, der er fastsat af den kompetente myndighed i fangstflag- eller netmedlemsstaten som følge af undersøgelsen, udgør en potentiel manglende overholdelse for det pågældende fartøj eller faststående tunfiskenet.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Den fejlmargen på 10 %, som er omhandlet i stk. 1, udtrykkes som en procentdel af de tal, der indberettes af fiskerfartøjets fører eller repræsentanten for faststående tunfiskenet, og gælder for de enkelte anbringelser i bur.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3.</w:t>
            </w:r>
            <w:r w:rsidRPr="004F62DE">
              <w:rPr>
                <w:b/>
                <w:i/>
              </w:rPr>
              <w:tab/>
              <w:t>Fangstflag- eller netmedlemsstaten fastsætter vægten af almindelig tun, der skal fratrækkes dens nationale kvote, under hensyntagen til de mængder, der er anbragt i bur, beregnet i overensstemmelse med bestemmelserne i bilag XI, som sikrer, at vægten ved anbringelse i bur beregnes på grundlag af forholdet mellem længde og vægt for vilde fisk og den rapporterede dødelighed, jf. bilag XIII.</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I de tilfælde, hvor den i stk. 1 omhandlede undersøgelse konkluderer, at eksempler af almindelig tun mangler, jf. bilag XIII, punkt 2, fratrækkes vægten af de manglende fisk dog fra den nationale kvote i overensstemmelse med bilag XIII ved at anvende den gennemsnitlige individuelle vægt ved anbringelse i bur, der er meddelt af den kompetente myndighed i akvakulturbrugmedlemsstaten, på antallet af almindelig tun i fangsten som fastsat af den kompetente myndighed i flag- eller netmedlemsstaten på baggrund af resultatet af dens analyse af den første overførselsvideooptagelse i forbindelse med undersøgelsen.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Uanset stk. 4 kan flag- eller netmedlemsstaten efter høring af den medlemsstat, der er involveret i transporten af fisk op til bestemmelsesakvakulturbruget, beslutte ikke at fratrække de fisk, der i undersøgelsen er fastslået at være gået tabt, fra den nationale kvote, når tabene er behørigt dokumenteret som "force majeure" af operatøren (dvs. billeder af det beskadigede bur, meteorologiske rapporter), de relevante oplysninger er blevet meddelt medlemsstatens kompetente myndighed umiddelbart efter hændelsen, og tabene ikke resulterede i kendte dødsfald."</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70</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2 g (nyt)</w:t>
      </w:r>
      <w:r w:rsidRPr="004F62DE">
        <w:rPr>
          <w:rStyle w:val="HideTWBExt"/>
          <w:b w:val="0"/>
          <w:noProof w:val="0"/>
        </w:rPr>
        <w:t>&lt;/Article&gt;</w:t>
      </w:r>
    </w:p>
    <w:p w:rsidR="00D22A4F" w:rsidRPr="004F62DE" w:rsidRDefault="00F37C81" w:rsidP="00D22A4F">
      <w:pPr>
        <w:keepNext/>
      </w:pPr>
      <w:r w:rsidRPr="004F62DE">
        <w:rPr>
          <w:rStyle w:val="HideTWBExt"/>
          <w:noProof w:val="0"/>
        </w:rPr>
        <w:t>&lt;DocAmend2&gt;</w:t>
      </w:r>
      <w:r w:rsidRPr="004F62DE">
        <w:t>Forordning (EU) XX/2023</w:t>
      </w:r>
      <w:r w:rsidRPr="004F62DE">
        <w:rPr>
          <w:rStyle w:val="HideTWBExt"/>
          <w:noProof w:val="0"/>
        </w:rPr>
        <w:t>&lt;/DocAmend2&gt;</w:t>
      </w:r>
    </w:p>
    <w:p w:rsidR="00D22A4F" w:rsidRPr="004F62DE" w:rsidRDefault="00F37C81" w:rsidP="00D22A4F">
      <w:pPr>
        <w:pStyle w:val="NormalBold"/>
        <w:rPr>
          <w:b w:val="0"/>
        </w:rPr>
      </w:pPr>
      <w:r w:rsidRPr="004F62DE">
        <w:rPr>
          <w:rStyle w:val="HideTWBExt"/>
          <w:b w:val="0"/>
          <w:noProof w:val="0"/>
        </w:rPr>
        <w:t>&lt;Article2&gt;</w:t>
      </w:r>
      <w:r w:rsidRPr="004F62DE">
        <w:rPr>
          <w:b w:val="0"/>
        </w:rPr>
        <w:t>Artikel 51</w:t>
      </w:r>
      <w:r w:rsidRPr="004F62DE">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A31D6F">
        <w:trPr>
          <w:jc w:val="center"/>
        </w:trPr>
        <w:tc>
          <w:tcPr>
            <w:tcW w:w="9752" w:type="dxa"/>
            <w:gridSpan w:val="2"/>
          </w:tcPr>
          <w:p w:rsidR="0049599D" w:rsidRPr="004F62DE" w:rsidRDefault="0049599D" w:rsidP="004B110E">
            <w:pPr>
              <w:keepNext/>
            </w:pPr>
          </w:p>
        </w:tc>
      </w:tr>
      <w:tr w:rsidR="00781BC4" w:rsidRPr="004F62DE" w:rsidTr="00A31D6F">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2g)</w:t>
            </w:r>
            <w:r w:rsidRPr="004F62DE">
              <w:rPr>
                <w:b/>
                <w:i/>
              </w:rPr>
              <w:tab/>
              <w:t>I artikel 51 foretages følgende ændringer:</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a)</w:t>
            </w:r>
            <w:r w:rsidRPr="004F62DE">
              <w:rPr>
                <w:b/>
                <w:i/>
              </w:rPr>
              <w:tab/>
              <w:t>Overskriften affattes således:</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51</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Foranstaltninger og programmer med henblik på skøn over antallet og vægten af almindelig tun, som skal anbringes i bur"</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b)</w:t>
            </w:r>
            <w:r w:rsidRPr="004F62DE">
              <w:rPr>
                <w:b/>
                <w:i/>
              </w:rPr>
              <w:tab/>
              <w:t>Stk. 1 affattes således:</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Den kompetente myndighed i akvakulturbrugmedlemsstaten bestemmer antallet og vægten af almindelig tun, der anbringes i bur, ved at analysere videooptagelserne af hver anbringelse i bur fra akvakulturbrugeren. Til gennemførelse af denne analyse følger myndighederne procedurerne i bilag XIV. Hvis der er en forskel på mere end 10 % mellem det antal og/eller den vægt, der er fastsat af akvakulturbrugets kompetente myndighed i CPC, og de tilsvarende tal, der er indberettet i anbringelsesopgørelsen, iværksætter akvakulturbrugmedlemsstatens kompetente myndighed en undersøgelse for at afdække årsagerne til uoverensstemmelsen og foretager den eventuelle justering af antallet og/eller vægten af fisk, der er blevet anbragt i bur. Den ovennævnte fejlmargen på 10 % udtrykkes som en procentdel af akvakulturbrugerens tal. Efter afslutningen af en anbringelse i bur eller, i tilfælde af fælles fiskeri eller faststående tunfiskenet fra samme EU-medlemsstat, den sidste anbringelse i bur i forbindelse med dette fælles fiskeri eller de faststående tunfiskenet, meddeler de medlemsstater, der er ansvarlige for akvakulturbruget, resultaterne af dette program til den medlemsstat eller CPC, der er ansvarlig for fangstfartøjerne eller det faststående tunfiskenet i overensstemmelse med punkt 2 a) og b) i bilag XI."</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c)</w:t>
            </w:r>
            <w:r w:rsidRPr="004F62DE">
              <w:rPr>
                <w:b/>
                <w:i/>
              </w:rPr>
              <w:tab/>
              <w:t>Følgende stykker indsættes:</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"3a.</w:t>
            </w:r>
            <w:r w:rsidRPr="004F62DE">
              <w:rPr>
                <w:b/>
                <w:i/>
              </w:rPr>
              <w:tab/>
              <w:t>Hver medlemsstat, der er ansvarlig for akvakulturbrug, indgiver procedurerne og resultaterne vedrørende stereokameraprogrammet (eller alternative metoder) til Kommissionen senest den 30. september, hvilke skal fremsendes til SCRS senest den 31. oktober hvert år.</w:t>
            </w:r>
          </w:p>
        </w:tc>
      </w:tr>
      <w:tr w:rsidR="00781BC4" w:rsidRPr="004F62DE" w:rsidTr="00A31D6F">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3b.</w:t>
            </w:r>
            <w:r w:rsidRPr="004F62DE">
              <w:rPr>
                <w:b/>
                <w:i/>
              </w:rPr>
              <w:tab/>
              <w:t>Al almindelig tun, der dør under en anbringelse i bur, indberettes af akvakulturbrugeren i overensstemmelse med procedurerne i bilag XIII."</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71</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2 h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52</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2h)</w:t>
            </w:r>
            <w:r w:rsidRPr="004F62DE">
              <w:rPr>
                <w:b/>
                <w:i/>
              </w:rPr>
              <w:tab/>
              <w:t>Artikel 52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52</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Frisætning i forbindelse med anbringelse i bur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Bestemmelsen af de fisk, der skal slippes fri, foretages i overensstemmelse med bestemmelserne i bilag XI, punkt 4. Hvis vægten af almindelig tun, der anbringes i bur, overstiger den vægt, der er angivet som fanget og/eller overført, udsteder fangstflag- eller net-CPC'ens kompetente myndighed en frigivelsesordre og underretter straks den pågældende kompetente myndighed i CPC's akvakulturbrug herom. Frigivelsesordren skal følge bestemmelserne i bilag IX, punkt 4, under hensyntagen til den mulige kompensation på niveau af fælles fiskeri eller faststående tunfiskenet, i overensstemmelse med bilag IX, punkt 5. Frisætningsoperationen gennemføres efter protokollen i bilag XII.</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AF0449" w:rsidRPr="004F62DE" w:rsidRDefault="00F37C81" w:rsidP="00AF0449">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72</w:t>
      </w:r>
      <w:r w:rsidRPr="004F62DE">
        <w:rPr>
          <w:rStyle w:val="HideTWBExt"/>
          <w:b w:val="0"/>
          <w:noProof w:val="0"/>
        </w:rPr>
        <w:t>&lt;/NumAm&gt;</w:t>
      </w:r>
    </w:p>
    <w:p w:rsidR="00AF0449" w:rsidRPr="004F62DE" w:rsidRDefault="00F37C81" w:rsidP="00AF0449">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AF0449" w:rsidRPr="004F62DE" w:rsidRDefault="00F37C81" w:rsidP="00AF0449">
      <w:pPr>
        <w:pStyle w:val="NormalBold"/>
        <w:rPr>
          <w:rStyle w:val="HideTWBExt"/>
          <w:b w:val="0"/>
          <w:noProof w:val="0"/>
        </w:rPr>
      </w:pPr>
      <w:r w:rsidRPr="004F62DE">
        <w:rPr>
          <w:rStyle w:val="HideTWBExt"/>
          <w:b w:val="0"/>
          <w:noProof w:val="0"/>
        </w:rPr>
        <w:t>&lt;Article&gt;</w:t>
      </w:r>
      <w:r w:rsidRPr="004F62DE">
        <w:t>Artikel 2 – stk. 1 – nr. 2 i (nyt)</w:t>
      </w:r>
      <w:r w:rsidRPr="004F62DE">
        <w:rPr>
          <w:rStyle w:val="HideTWBExt"/>
          <w:b w:val="0"/>
          <w:noProof w:val="0"/>
        </w:rPr>
        <w:t>&lt;/Article&gt;</w:t>
      </w:r>
    </w:p>
    <w:p w:rsidR="00AF0449" w:rsidRPr="004F62DE" w:rsidRDefault="00F37C81" w:rsidP="00AF0449">
      <w:pPr>
        <w:keepNext/>
      </w:pPr>
      <w:r w:rsidRPr="004F62DE">
        <w:rPr>
          <w:rStyle w:val="HideTWBExt"/>
          <w:noProof w:val="0"/>
        </w:rPr>
        <w:t>&lt;DocAmend2&gt;</w:t>
      </w:r>
      <w:r w:rsidRPr="004F62DE">
        <w:t>Forordning (EU) XX/2023</w:t>
      </w:r>
      <w:r w:rsidRPr="004F62DE">
        <w:rPr>
          <w:rStyle w:val="HideTWBExt"/>
          <w:noProof w:val="0"/>
        </w:rPr>
        <w:t>&lt;/DocAmend2&gt;</w:t>
      </w:r>
    </w:p>
    <w:p w:rsidR="00AF0449" w:rsidRPr="004F62DE" w:rsidRDefault="00F37C81" w:rsidP="00A31D6F">
      <w:r w:rsidRPr="004F62DE">
        <w:rPr>
          <w:rStyle w:val="HideTWBExt"/>
          <w:noProof w:val="0"/>
        </w:rPr>
        <w:t>&lt;Article2&gt;</w:t>
      </w:r>
      <w:r w:rsidRPr="004F62DE">
        <w:t>Artikel 53</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D618C2">
        <w:trPr>
          <w:jc w:val="center"/>
        </w:trPr>
        <w:tc>
          <w:tcPr>
            <w:tcW w:w="9752" w:type="dxa"/>
            <w:gridSpan w:val="2"/>
          </w:tcPr>
          <w:p w:rsidR="00AF0449" w:rsidRPr="004F62DE" w:rsidRDefault="00AF0449" w:rsidP="00D618C2">
            <w:pPr>
              <w:keepNext/>
            </w:pPr>
          </w:p>
        </w:tc>
      </w:tr>
      <w:tr w:rsidR="00781BC4" w:rsidRPr="004F62DE" w:rsidTr="00D618C2">
        <w:trPr>
          <w:jc w:val="center"/>
        </w:trPr>
        <w:tc>
          <w:tcPr>
            <w:tcW w:w="4876" w:type="dxa"/>
          </w:tcPr>
          <w:p w:rsidR="00AF0449" w:rsidRPr="004F62DE" w:rsidRDefault="00F37C81" w:rsidP="00D618C2">
            <w:pPr>
              <w:pStyle w:val="ColumnHeading"/>
              <w:keepNext/>
            </w:pPr>
            <w:r w:rsidRPr="004F62DE">
              <w:t>Nuværende ordlyd</w:t>
            </w:r>
          </w:p>
        </w:tc>
        <w:tc>
          <w:tcPr>
            <w:tcW w:w="4876" w:type="dxa"/>
          </w:tcPr>
          <w:p w:rsidR="00AF0449" w:rsidRPr="004F62DE" w:rsidRDefault="00F37C81" w:rsidP="00D618C2">
            <w:pPr>
              <w:pStyle w:val="ColumnHeading"/>
              <w:keepNext/>
            </w:pPr>
            <w:r w:rsidRPr="004F62DE">
              <w:t>Ændringsforslag</w:t>
            </w:r>
          </w:p>
        </w:tc>
      </w:tr>
      <w:tr w:rsidR="00781BC4" w:rsidRPr="004F62DE" w:rsidTr="00D618C2">
        <w:trPr>
          <w:jc w:val="center"/>
        </w:trPr>
        <w:tc>
          <w:tcPr>
            <w:tcW w:w="4876" w:type="dxa"/>
          </w:tcPr>
          <w:p w:rsidR="00AF0449" w:rsidRPr="004F62DE" w:rsidRDefault="00AF0449" w:rsidP="00D618C2">
            <w:pPr>
              <w:pStyle w:val="Normal6"/>
            </w:pPr>
          </w:p>
        </w:tc>
        <w:tc>
          <w:tcPr>
            <w:tcW w:w="4876" w:type="dxa"/>
          </w:tcPr>
          <w:p w:rsidR="00AF0449" w:rsidRPr="004F62DE" w:rsidRDefault="00F37C81" w:rsidP="004D3CA0">
            <w:pPr>
              <w:pStyle w:val="Normal6"/>
              <w:rPr>
                <w:szCs w:val="24"/>
              </w:rPr>
            </w:pPr>
            <w:r w:rsidRPr="004F62DE">
              <w:rPr>
                <w:b/>
                <w:i/>
              </w:rPr>
              <w:t>2i)</w:t>
            </w:r>
            <w:r w:rsidRPr="004F62DE">
              <w:rPr>
                <w:b/>
                <w:i/>
              </w:rPr>
              <w:tab/>
              <w:t>Artikel 53 udgår.</w:t>
            </w:r>
          </w:p>
        </w:tc>
      </w:tr>
    </w:tbl>
    <w:p w:rsidR="00AF0449" w:rsidRPr="004F62DE" w:rsidRDefault="00F37C81" w:rsidP="00AF0449">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AF0449" w:rsidRPr="004F62DE" w:rsidRDefault="00F37C81" w:rsidP="00AF0449">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AF0449" w:rsidRPr="004F62DE" w:rsidRDefault="00F37C81" w:rsidP="00AF0449">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AF0449" w:rsidRPr="004F62DE" w:rsidRDefault="00F37C81" w:rsidP="00AF0449">
      <w:r w:rsidRPr="004F62DE">
        <w:rPr>
          <w:rStyle w:val="HideTWBExt"/>
          <w:noProof w:val="0"/>
        </w:rPr>
        <w:t>&lt;/Amend&gt;</w:t>
      </w:r>
    </w:p>
    <w:p w:rsidR="00AF0449" w:rsidRPr="004F62DE" w:rsidRDefault="00F37C81" w:rsidP="00AF0449">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73</w:t>
      </w:r>
      <w:r w:rsidRPr="004F62DE">
        <w:rPr>
          <w:rStyle w:val="HideTWBExt"/>
          <w:b w:val="0"/>
          <w:noProof w:val="0"/>
        </w:rPr>
        <w:t>&lt;/NumAm&gt;</w:t>
      </w:r>
    </w:p>
    <w:p w:rsidR="00AF0449" w:rsidRPr="004F62DE" w:rsidRDefault="00F37C81" w:rsidP="00AF0449">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AF0449" w:rsidRPr="004F62DE" w:rsidRDefault="00F37C81" w:rsidP="00AF0449">
      <w:pPr>
        <w:pStyle w:val="NormalBold"/>
        <w:rPr>
          <w:rStyle w:val="HideTWBExt"/>
          <w:b w:val="0"/>
          <w:noProof w:val="0"/>
        </w:rPr>
      </w:pPr>
      <w:r w:rsidRPr="004F62DE">
        <w:rPr>
          <w:rStyle w:val="HideTWBExt"/>
          <w:b w:val="0"/>
          <w:noProof w:val="0"/>
        </w:rPr>
        <w:t>&lt;Article&gt;</w:t>
      </w:r>
      <w:r w:rsidRPr="004F62DE">
        <w:t>Artikel 2 – stk. 1 – nr. 2 j (nyt)</w:t>
      </w:r>
      <w:r w:rsidRPr="004F62DE">
        <w:rPr>
          <w:rStyle w:val="HideTWBExt"/>
          <w:b w:val="0"/>
          <w:noProof w:val="0"/>
        </w:rPr>
        <w:t>&lt;/Article&gt;</w:t>
      </w:r>
    </w:p>
    <w:p w:rsidR="00AF0449" w:rsidRPr="004F62DE" w:rsidRDefault="00F37C81" w:rsidP="00AF0449">
      <w:pPr>
        <w:keepNext/>
      </w:pPr>
      <w:r w:rsidRPr="004F62DE">
        <w:rPr>
          <w:rStyle w:val="HideTWBExt"/>
          <w:noProof w:val="0"/>
        </w:rPr>
        <w:t>&lt;DocAmend2&gt;</w:t>
      </w:r>
      <w:r w:rsidRPr="004F62DE">
        <w:t>Forordning (EU) XX/2023</w:t>
      </w:r>
      <w:r w:rsidRPr="004F62DE">
        <w:rPr>
          <w:rStyle w:val="HideTWBExt"/>
          <w:noProof w:val="0"/>
        </w:rPr>
        <w:t>&lt;/DocAmend2&gt;</w:t>
      </w:r>
    </w:p>
    <w:p w:rsidR="00AF0449" w:rsidRPr="004F62DE" w:rsidRDefault="00F37C81" w:rsidP="00A31D6F">
      <w:r w:rsidRPr="004F62DE">
        <w:rPr>
          <w:rStyle w:val="HideTWBExt"/>
          <w:noProof w:val="0"/>
        </w:rPr>
        <w:t>&lt;Article2&gt;</w:t>
      </w:r>
      <w:r w:rsidRPr="004F62DE">
        <w:t>Artikel 54</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D618C2">
        <w:trPr>
          <w:jc w:val="center"/>
        </w:trPr>
        <w:tc>
          <w:tcPr>
            <w:tcW w:w="9752" w:type="dxa"/>
            <w:gridSpan w:val="2"/>
          </w:tcPr>
          <w:p w:rsidR="00AF0449" w:rsidRPr="004F62DE" w:rsidRDefault="00AF0449" w:rsidP="00D618C2">
            <w:pPr>
              <w:keepNext/>
            </w:pPr>
          </w:p>
        </w:tc>
      </w:tr>
      <w:tr w:rsidR="00781BC4" w:rsidRPr="004F62DE" w:rsidTr="00D618C2">
        <w:trPr>
          <w:jc w:val="center"/>
        </w:trPr>
        <w:tc>
          <w:tcPr>
            <w:tcW w:w="4876" w:type="dxa"/>
          </w:tcPr>
          <w:p w:rsidR="00AF0449" w:rsidRPr="004F62DE" w:rsidRDefault="00F37C81" w:rsidP="00D618C2">
            <w:pPr>
              <w:pStyle w:val="ColumnHeading"/>
              <w:keepNext/>
            </w:pPr>
            <w:r w:rsidRPr="004F62DE">
              <w:t>Nuværende ordlyd</w:t>
            </w:r>
          </w:p>
        </w:tc>
        <w:tc>
          <w:tcPr>
            <w:tcW w:w="4876" w:type="dxa"/>
          </w:tcPr>
          <w:p w:rsidR="00AF0449" w:rsidRPr="004F62DE" w:rsidRDefault="00F37C81" w:rsidP="00D618C2">
            <w:pPr>
              <w:pStyle w:val="ColumnHeading"/>
              <w:keepNext/>
            </w:pPr>
            <w:r w:rsidRPr="004F62DE">
              <w:t>Ændringsforslag</w:t>
            </w:r>
          </w:p>
        </w:tc>
      </w:tr>
      <w:tr w:rsidR="00781BC4" w:rsidRPr="004F62DE" w:rsidTr="00D618C2">
        <w:trPr>
          <w:jc w:val="center"/>
        </w:trPr>
        <w:tc>
          <w:tcPr>
            <w:tcW w:w="4876" w:type="dxa"/>
          </w:tcPr>
          <w:p w:rsidR="00AF0449" w:rsidRPr="004F62DE" w:rsidRDefault="00AF0449" w:rsidP="00D618C2">
            <w:pPr>
              <w:pStyle w:val="Normal6"/>
            </w:pPr>
          </w:p>
        </w:tc>
        <w:tc>
          <w:tcPr>
            <w:tcW w:w="4876" w:type="dxa"/>
          </w:tcPr>
          <w:p w:rsidR="00AF0449" w:rsidRPr="004F62DE" w:rsidRDefault="00F37C81" w:rsidP="004D3CA0">
            <w:pPr>
              <w:pStyle w:val="Normal6"/>
              <w:rPr>
                <w:szCs w:val="24"/>
              </w:rPr>
            </w:pPr>
            <w:r w:rsidRPr="004F62DE">
              <w:rPr>
                <w:b/>
                <w:i/>
              </w:rPr>
              <w:t>2j)</w:t>
            </w:r>
            <w:r w:rsidRPr="004F62DE">
              <w:rPr>
                <w:b/>
                <w:i/>
              </w:rPr>
              <w:tab/>
              <w:t>Artikel 54 udgår.</w:t>
            </w:r>
          </w:p>
        </w:tc>
      </w:tr>
    </w:tbl>
    <w:p w:rsidR="00AF0449" w:rsidRPr="004F62DE" w:rsidRDefault="00F37C81" w:rsidP="00AF0449">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AF0449" w:rsidRPr="004F62DE" w:rsidRDefault="00F37C81" w:rsidP="00AF0449">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AF0449" w:rsidRPr="004F62DE" w:rsidRDefault="00F37C81" w:rsidP="00AF0449">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AF0449" w:rsidRPr="004F62DE" w:rsidRDefault="00F37C81" w:rsidP="00AF0449">
      <w:r w:rsidRPr="004F62DE">
        <w:rPr>
          <w:rStyle w:val="HideTWBExt"/>
          <w:noProof w:val="0"/>
        </w:rPr>
        <w:t>&lt;/Amend&gt;</w:t>
      </w:r>
    </w:p>
    <w:p w:rsidR="00AF0449" w:rsidRPr="004F62DE" w:rsidRDefault="00F37C81" w:rsidP="00AF0449">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74</w:t>
      </w:r>
      <w:r w:rsidRPr="004F62DE">
        <w:rPr>
          <w:rStyle w:val="HideTWBExt"/>
          <w:b w:val="0"/>
          <w:noProof w:val="0"/>
        </w:rPr>
        <w:t>&lt;/NumAm&gt;</w:t>
      </w:r>
    </w:p>
    <w:p w:rsidR="00AF0449" w:rsidRPr="004F62DE" w:rsidRDefault="00F37C81" w:rsidP="00AF0449">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AF0449" w:rsidRPr="004F62DE" w:rsidRDefault="00F37C81" w:rsidP="00AF0449">
      <w:pPr>
        <w:pStyle w:val="NormalBold"/>
        <w:rPr>
          <w:rStyle w:val="HideTWBExt"/>
          <w:b w:val="0"/>
          <w:noProof w:val="0"/>
        </w:rPr>
      </w:pPr>
      <w:r w:rsidRPr="004F62DE">
        <w:rPr>
          <w:rStyle w:val="HideTWBExt"/>
          <w:b w:val="0"/>
          <w:noProof w:val="0"/>
        </w:rPr>
        <w:t>&lt;Article&gt;</w:t>
      </w:r>
      <w:r w:rsidRPr="004F62DE">
        <w:t>Artikel 2 – stk. 1 – nr. 2 k (nyt)</w:t>
      </w:r>
      <w:r w:rsidRPr="004F62DE">
        <w:rPr>
          <w:rStyle w:val="HideTWBExt"/>
          <w:b w:val="0"/>
          <w:noProof w:val="0"/>
        </w:rPr>
        <w:t>&lt;/Article&gt;</w:t>
      </w:r>
    </w:p>
    <w:p w:rsidR="00AF0449" w:rsidRPr="004F62DE" w:rsidRDefault="00F37C81" w:rsidP="00AF0449">
      <w:pPr>
        <w:keepNext/>
      </w:pPr>
      <w:r w:rsidRPr="004F62DE">
        <w:rPr>
          <w:rStyle w:val="HideTWBExt"/>
          <w:noProof w:val="0"/>
        </w:rPr>
        <w:t>&lt;DocAmend2&gt;</w:t>
      </w:r>
      <w:r w:rsidRPr="004F62DE">
        <w:t>Forordning (EU) XX/2023</w:t>
      </w:r>
      <w:r w:rsidRPr="004F62DE">
        <w:rPr>
          <w:rStyle w:val="HideTWBExt"/>
          <w:noProof w:val="0"/>
        </w:rPr>
        <w:t>&lt;/DocAmend2&gt;</w:t>
      </w:r>
    </w:p>
    <w:p w:rsidR="00AF0449" w:rsidRPr="004F62DE" w:rsidRDefault="00F37C81" w:rsidP="00A31D6F">
      <w:r w:rsidRPr="004F62DE">
        <w:rPr>
          <w:rStyle w:val="HideTWBExt"/>
          <w:noProof w:val="0"/>
        </w:rPr>
        <w:t>&lt;Article2&gt;</w:t>
      </w:r>
      <w:r w:rsidRPr="004F62DE">
        <w:t>Artikel 55</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D618C2">
        <w:trPr>
          <w:jc w:val="center"/>
        </w:trPr>
        <w:tc>
          <w:tcPr>
            <w:tcW w:w="9752" w:type="dxa"/>
            <w:gridSpan w:val="2"/>
          </w:tcPr>
          <w:p w:rsidR="00AF0449" w:rsidRPr="004F62DE" w:rsidRDefault="00AF0449" w:rsidP="00D618C2">
            <w:pPr>
              <w:keepNext/>
            </w:pPr>
          </w:p>
        </w:tc>
      </w:tr>
      <w:tr w:rsidR="00781BC4" w:rsidRPr="004F62DE" w:rsidTr="00D618C2">
        <w:trPr>
          <w:jc w:val="center"/>
        </w:trPr>
        <w:tc>
          <w:tcPr>
            <w:tcW w:w="4876" w:type="dxa"/>
          </w:tcPr>
          <w:p w:rsidR="00AF0449" w:rsidRPr="004F62DE" w:rsidRDefault="00F37C81" w:rsidP="00D618C2">
            <w:pPr>
              <w:pStyle w:val="ColumnHeading"/>
              <w:keepNext/>
            </w:pPr>
            <w:r w:rsidRPr="004F62DE">
              <w:t>Nuværende ordlyd</w:t>
            </w:r>
          </w:p>
        </w:tc>
        <w:tc>
          <w:tcPr>
            <w:tcW w:w="4876" w:type="dxa"/>
          </w:tcPr>
          <w:p w:rsidR="00AF0449" w:rsidRPr="004F62DE" w:rsidRDefault="00F37C81" w:rsidP="00D618C2">
            <w:pPr>
              <w:pStyle w:val="ColumnHeading"/>
              <w:keepNext/>
            </w:pPr>
            <w:r w:rsidRPr="004F62DE">
              <w:t>Ændringsforslag</w:t>
            </w:r>
          </w:p>
        </w:tc>
      </w:tr>
      <w:tr w:rsidR="00781BC4" w:rsidRPr="004F62DE" w:rsidTr="00D618C2">
        <w:trPr>
          <w:jc w:val="center"/>
        </w:trPr>
        <w:tc>
          <w:tcPr>
            <w:tcW w:w="4876" w:type="dxa"/>
          </w:tcPr>
          <w:p w:rsidR="00AF0449" w:rsidRPr="004F62DE" w:rsidRDefault="00AF0449" w:rsidP="00D618C2">
            <w:pPr>
              <w:pStyle w:val="Normal6"/>
            </w:pPr>
          </w:p>
        </w:tc>
        <w:tc>
          <w:tcPr>
            <w:tcW w:w="4876" w:type="dxa"/>
          </w:tcPr>
          <w:p w:rsidR="00AF0449" w:rsidRPr="004F62DE" w:rsidRDefault="00F37C81" w:rsidP="004D3CA0">
            <w:pPr>
              <w:pStyle w:val="Normal6"/>
              <w:rPr>
                <w:szCs w:val="24"/>
              </w:rPr>
            </w:pPr>
            <w:r w:rsidRPr="004F62DE">
              <w:rPr>
                <w:b/>
                <w:i/>
              </w:rPr>
              <w:t>2k)</w:t>
            </w:r>
            <w:r w:rsidRPr="004F62DE">
              <w:rPr>
                <w:b/>
                <w:i/>
              </w:rPr>
              <w:tab/>
              <w:t>Artikel 55 udgår.</w:t>
            </w:r>
          </w:p>
        </w:tc>
      </w:tr>
    </w:tbl>
    <w:p w:rsidR="00AF0449" w:rsidRPr="004F62DE" w:rsidRDefault="00F37C81" w:rsidP="00AF0449">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AF0449" w:rsidRPr="004F62DE" w:rsidRDefault="00F37C81" w:rsidP="00AF0449">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AF0449" w:rsidRPr="004F62DE" w:rsidRDefault="00F37C81" w:rsidP="00AF0449">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AF0449" w:rsidRPr="004F62DE" w:rsidRDefault="00F37C81" w:rsidP="00AF0449">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75</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2 l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Afdeling 7a (ny)</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2l)</w:t>
            </w:r>
            <w:r w:rsidRPr="004F62DE">
              <w:rPr>
                <w:b/>
                <w:i/>
              </w:rPr>
              <w:tab/>
              <w:t>Følgende afsnit tilføjes: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"AFSNIT 7a</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HØST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56a</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Høst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Fabriksskibe, der har til hensigt at drive akvakulturbrug eller faststående tunfiskenet, skal sende en forhåndsmeddelelse til akvakulturbruget eller netmedlemsstaten mindst 48 timer før fartøjets ankomst til akvakulturbruget/netområdet. Forhåndsmeddelelsen skal som minimum indeholde dato og forventet ankomsttidspunkt og oplysninger om, hvorvidt fabriksskibet allerede har almindelig tun om bord, og i bekræftende fald indeholde oplysninger om lasten, herunder mængder i forarbejdet vægt og levende vægt og oplysninger om den almindelige tuns oprindelse om bord (akvakulturbrug/fritstående tunfiskenet og CPC).</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Enhver høst på akvakulturbrug eller i fritstående tunfiskenet skal godkendes af akvakulturbruget eller netmedlemsstaten. Med henblik herpå indgiver akvakulturbrugeren eller operatøren af faststående tunfiskenet, der har til hensigt at høste almindelig tun, en anmodning til sin medlemsstat, som mindst skal omfatte følgende oplysninger: - høstdato eller -periode - anslåede mængder, der skal høstes i antal individer og kg - eBCD-nummer i forbindelse med den almindelige tun, der skal høstes - oplysninger om hjælpefartøjer, der er involveret i operationen - bestemmelsessted for den høstede tun (fabriksskib, eksport, lokalt marked osv.).</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Bortset fra individer af almindelig tun, der er tæt på at dø, må der ikke gives tilladelse til høst, før resultaterne af kvoteudnyttelsen i overensstemmelse med artikel 51 er blevet fastlagt, og de dermed forbundne frisætninger er blevet gennemført.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Høsten må ikke finde sted uden tilstedeværelse af en CPC-observatør i tilfælde af faststående tunfiskenet eller en regional ICCAT-observatører i tilfælde af høst på akvakulturbrug. For fisk, der leveres til et fabriksskib, kan CPC eller den regionale ICCAT-observatør udføre sine relevante opgaver fra fabriksskibet.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C26B70">
            <w:pPr>
              <w:pStyle w:val="Normal6"/>
              <w:rPr>
                <w:szCs w:val="24"/>
              </w:rPr>
            </w:pPr>
            <w:r w:rsidRPr="004F62DE">
              <w:rPr>
                <w:b/>
                <w:i/>
              </w:rPr>
              <w:t>5.</w:t>
            </w:r>
            <w:r w:rsidRPr="004F62DE">
              <w:rPr>
                <w:b/>
                <w:i/>
              </w:rPr>
              <w:tab/>
            </w:r>
            <w:r w:rsidR="00C26B70" w:rsidRPr="004F62DE">
              <w:rPr>
                <w:b/>
                <w:i/>
              </w:rPr>
              <w:t>A</w:t>
            </w:r>
            <w:r w:rsidRPr="004F62DE">
              <w:rPr>
                <w:b/>
                <w:i/>
              </w:rPr>
              <w:t>kvakulturbrug- eller netmedlemsstaterne verificerer og krydstjekker resultaterne af alle høstaktiviteter, der finder sted på akvakulturbrug og faststående tunfiskenet under deres myndighed, ved hjælp af alle de relevante oplysninger, de er i besiddelse af. akvakulturbrug- eller netmedlemsstaterne inspicerer alle fangster af almindelig tun bestemt til fabriksskibe og en procentdel af resten af fangsterne baseret på risikoanalyse.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49599D" w:rsidP="004B110E">
            <w:pPr>
              <w:pStyle w:val="Normal6"/>
              <w:rPr>
                <w:szCs w:val="24"/>
              </w:rPr>
            </w:pP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C61170" w:rsidP="00C61170">
            <w:pPr>
              <w:pStyle w:val="Normal6"/>
              <w:rPr>
                <w:szCs w:val="24"/>
              </w:rPr>
            </w:pPr>
            <w:r w:rsidRPr="004F62DE">
              <w:rPr>
                <w:b/>
                <w:i/>
              </w:rPr>
              <w:t>6</w:t>
            </w:r>
            <w:r w:rsidR="00F37C81" w:rsidRPr="004F62DE">
              <w:rPr>
                <w:b/>
                <w:i/>
              </w:rPr>
              <w:t>.</w:t>
            </w:r>
            <w:r w:rsidR="00F37C81" w:rsidRPr="004F62DE">
              <w:rPr>
                <w:b/>
                <w:i/>
              </w:rPr>
              <w:tab/>
              <w:t>Hvis destinationen for almindelig tun er et fabriksskib, skal føreren eller repræsentanten for fabriksskibet udfylde en forarbejdningsopgørelse. Når den høstede almindelige tun skal landes direkte i havn, skal akvakulturbrugeren eller operatøren af faststående tunfiskenet udfylde en høsterklæring.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C61170" w:rsidP="00C61170">
            <w:pPr>
              <w:pStyle w:val="Normal6"/>
              <w:rPr>
                <w:szCs w:val="24"/>
              </w:rPr>
            </w:pPr>
            <w:r w:rsidRPr="004F62DE">
              <w:rPr>
                <w:b/>
                <w:i/>
              </w:rPr>
              <w:t>7</w:t>
            </w:r>
            <w:r w:rsidR="00F37C81" w:rsidRPr="004F62DE">
              <w:rPr>
                <w:b/>
                <w:i/>
              </w:rPr>
              <w:t>.</w:t>
            </w:r>
            <w:r w:rsidR="00F37C81" w:rsidRPr="004F62DE">
              <w:rPr>
                <w:b/>
                <w:i/>
              </w:rPr>
              <w:tab/>
              <w:t xml:space="preserve">Forarbejdnings- og høsterklæringen valideres af den regionale ICCAT-observatør eller CPC-observatør, der er til stede ved høsten. Forarbejdnings- og høsterklæringen sendes pr. e-mail til akvakulturbrugets kompetente myndigheder i </w:t>
            </w:r>
            <w:r w:rsidRPr="004F62DE">
              <w:rPr>
                <w:b/>
                <w:i/>
              </w:rPr>
              <w:t xml:space="preserve">medlemsstaten </w:t>
            </w:r>
            <w:r w:rsidR="00F37C81" w:rsidRPr="004F62DE">
              <w:rPr>
                <w:b/>
                <w:i/>
              </w:rPr>
              <w:t>senest 48 timer efter høsten ved hjælp af modellen i bilag X</w:t>
            </w:r>
            <w:r w:rsidRPr="004F62DE">
              <w:rPr>
                <w:b/>
                <w:i/>
              </w:rPr>
              <w:t>Vb</w:t>
            </w:r>
            <w:r w:rsidR="00F37C81" w:rsidRPr="004F62DE">
              <w:rPr>
                <w:b/>
                <w:i/>
              </w:rPr>
              <w: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76</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2 m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Afdeling 7b (ny)</w:t>
      </w:r>
      <w:r w:rsidRPr="004F62D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D3CA0">
        <w:trPr>
          <w:jc w:val="center"/>
        </w:trPr>
        <w:tc>
          <w:tcPr>
            <w:tcW w:w="9752" w:type="dxa"/>
            <w:gridSpan w:val="2"/>
          </w:tcPr>
          <w:p w:rsidR="0049599D" w:rsidRPr="004F62DE" w:rsidRDefault="0049599D" w:rsidP="004B110E">
            <w:pPr>
              <w:keepNext/>
            </w:pPr>
          </w:p>
        </w:tc>
      </w:tr>
      <w:tr w:rsidR="00781BC4" w:rsidRPr="004F62DE" w:rsidTr="004D3CA0">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D3CA0">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2m)</w:t>
            </w:r>
            <w:r w:rsidRPr="004F62DE">
              <w:rPr>
                <w:b/>
                <w:i/>
              </w:rPr>
              <w:tab/>
              <w:t>Følgende afdeling tilføjes:</w:t>
            </w:r>
          </w:p>
        </w:tc>
      </w:tr>
      <w:tr w:rsidR="00781BC4" w:rsidRPr="004F62DE" w:rsidTr="004D3CA0">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"AFDELING 7b</w:t>
            </w:r>
          </w:p>
        </w:tc>
      </w:tr>
      <w:tr w:rsidR="00781BC4" w:rsidRPr="004F62DE" w:rsidTr="004D3CA0">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KONTROLAKTIVITETER PÅ AKVAKULTURBRUGET EFTER ANBRINGELSE I BUR</w:t>
            </w:r>
          </w:p>
        </w:tc>
      </w:tr>
      <w:tr w:rsidR="00781BC4" w:rsidRPr="004F62DE" w:rsidTr="004D3CA0">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Artikel 56b</w:t>
            </w:r>
          </w:p>
        </w:tc>
      </w:tr>
      <w:tr w:rsidR="00781BC4" w:rsidRPr="004F62DE" w:rsidTr="004D3CA0">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Overførsler mellem akvakulturbrug</w:t>
            </w:r>
          </w:p>
        </w:tc>
      </w:tr>
      <w:tr w:rsidR="00781BC4" w:rsidRPr="004F62DE" w:rsidTr="004D3CA0">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Overførsler mellem akvakulturbrug må ikke finde sted uden tilladelse og tilstedeværelse af akvakulturbrugets kompetente myndighed i CPC. Hver overførsel registreres af kontrolkameraer for at bekræfte antallet af overførte individer af almindelig tun. Videooptagelserne skal være i overensstemmelse med de minimumsstandarder, der er fastsat i bilag X. Akvakulturbrugets kompetente myndighed i CPC overvåger og kontrollerer disse overførsler, herunder sikrer, at hver overførsel mellem akvakulturbrug registreres i eBCD-systemet.</w:t>
            </w:r>
          </w:p>
        </w:tc>
      </w:tr>
      <w:tr w:rsidR="00781BC4" w:rsidRPr="004F62DE" w:rsidTr="004D3CA0">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Uanset definitionen af anbringelse i bur i artikel 5, nr. 31), betragtes flytning af almindelig tun mellem to forskellige steder på samme akvakulturbrug (overførsel mellem akvakulturbrug) ved hjælp af et transportbur ikke som anbringelse i bur med henblik på kravene i afdeling 7.</w:t>
            </w:r>
          </w:p>
        </w:tc>
      </w:tr>
      <w:tr w:rsidR="00781BC4" w:rsidRPr="004F62DE" w:rsidTr="004D3CA0">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Under overførsler inden for akvakulturbrug kan den kompetente myndighed i akvakulturbrugmedlemsstaten give tilladelse til omgruppering af fisk af samme flagoprindelse og samme fælles foranstaltning, forudsat at sporbarheden og anvendelsen af SCRS' vækstrater opretholdes.</w:t>
            </w:r>
          </w:p>
        </w:tc>
      </w:tr>
      <w:tr w:rsidR="00781BC4" w:rsidRPr="004F62DE" w:rsidTr="004D3CA0">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Den kompetente myndighed i akvakulturbrugmedlemsstaten og akvakulturbrugeren opbevarer videooptagelser fra overførsler inden for akvakulturbrug på akvakulturbrug under deres jurisdiktion i mindst tre år og opbevarer oplysningerne, så længe det er nødvendigt til håndhævelsesformål.</w:t>
            </w:r>
          </w:p>
        </w:tc>
      </w:tr>
      <w:tr w:rsidR="00781BC4" w:rsidRPr="004F62DE" w:rsidTr="004D3CA0">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Artikel 56c</w:t>
            </w:r>
          </w:p>
        </w:tc>
      </w:tr>
      <w:tr w:rsidR="00781BC4" w:rsidRPr="004F62DE" w:rsidTr="004D3CA0">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Overførsel</w:t>
            </w:r>
          </w:p>
        </w:tc>
      </w:tr>
      <w:tr w:rsidR="00781BC4" w:rsidRPr="004F62DE" w:rsidTr="004D3CA0">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1.</w:t>
            </w:r>
            <w:r w:rsidRPr="004F62DE">
              <w:rPr>
                <w:b/>
                <w:i/>
              </w:rPr>
              <w:tab/>
              <w:t>Inden begyndelsen af den næste not- og netfiskesæson vurderer akvakulturbrugmedlemsstatens kompetente myndighed grundigt den overførte levende almindelig tun på akvakulturbrugene under deres jurisdiktion. Med henblik herpå overføres den pågældende levende almindelig tun til et tomt bur og overvåges ved hjælp af et eller flere kontrolkameraer for at bestemme antallet og vægten af de overførte fisk.</w:t>
            </w:r>
          </w:p>
        </w:tc>
      </w:tr>
      <w:tr w:rsidR="00781BC4" w:rsidRPr="004F62DE" w:rsidTr="004D3CA0">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2.</w:t>
            </w:r>
            <w:r w:rsidRPr="004F62DE">
              <w:rPr>
                <w:b/>
                <w:i/>
              </w:rPr>
              <w:tab/>
              <w:t>Som en undtagelse kontrolleres overførslen af almindelig tun fra år og bure, hvor der ikke fandt nogen høst sted, årligt ved anvendelse af den stikprøvekontrolprocedure, der er omhandlet i artikel 56e.</w:t>
            </w:r>
          </w:p>
        </w:tc>
      </w:tr>
      <w:tr w:rsidR="00781BC4" w:rsidRPr="004F62DE" w:rsidTr="004D3CA0">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3.</w:t>
            </w:r>
            <w:r w:rsidRPr="004F62DE">
              <w:rPr>
                <w:b/>
                <w:i/>
              </w:rPr>
              <w:tab/>
              <w:t>Den overførte levende almindelige tun anbringes i separate bure eller rækker af bure i akvakulturbruget på grundlag af fangstår og fælles fiskeri eller samme oprindelige CPC-net.</w:t>
            </w:r>
          </w:p>
        </w:tc>
      </w:tr>
      <w:tr w:rsidR="00781BC4" w:rsidRPr="004F62DE" w:rsidTr="004D3CA0">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4.</w:t>
            </w:r>
            <w:r w:rsidRPr="004F62DE">
              <w:rPr>
                <w:b/>
                <w:i/>
              </w:rPr>
              <w:tab/>
              <w:t>Den kompetente myndighed i akvakulturbrugmedlemsstaten sikrer, at kontrolkameraets videooptagelser fra overslæbsvurderingsoverførslerne overholder de relevante krav i bilag X, og bestemmelsen af antallet og vægten af overførte fisk er i overensstemmelse med bilag XI, punkt 1, i denne forordning.</w:t>
            </w:r>
          </w:p>
        </w:tc>
      </w:tr>
      <w:tr w:rsidR="00781BC4" w:rsidRPr="004F62DE" w:rsidTr="004D3CA0">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5.</w:t>
            </w:r>
            <w:r w:rsidRPr="004F62DE">
              <w:rPr>
                <w:b/>
                <w:i/>
              </w:rPr>
              <w:tab/>
              <w:t>Indtil SCRS udvikler en algoritme til at omregne længde til vægt for opfedede og/eller opdrættede fisk, skal bestemmelsen af vægten af de overførte fisk estimeres ved hjælp af de mest opdaterede vækstratetabeller produceret af SCRS.</w:t>
            </w:r>
          </w:p>
        </w:tc>
      </w:tr>
      <w:tr w:rsidR="00781BC4" w:rsidRPr="004F62DE" w:rsidTr="004D3CA0">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6.</w:t>
            </w:r>
            <w:r w:rsidRPr="004F62DE">
              <w:rPr>
                <w:b/>
                <w:i/>
              </w:rPr>
              <w:tab/>
              <w:t>Den kompetente myndighed i akvakulturbrugmedlemsstaten foretager en behørig undersøgelse af en forskel i antallet af individer af almindelig tun mellem det antal, der fremkommer ved vurderingen af overførslen, og det forventede antal efter høst, og denne forskel registreres i eBCD-systemet. I tilfælde af overtal pålægger akvakulturbrugmedlemsstatens kompetente myndighed frisætning af det tilsvarende antal fisk. Frisætningsoperationen gennemføres efter bilag XII. Der ydes ikke kompensation for forskelle mellem forskellige bure på akvakulturbruget. Medlemsstatens kompetente myndighed kan tillade en fejlmargen på op til 5 % mellem det antal individer, der fremkommer ved vurderingen af overførslen, og det forventede antal i buret.</w:t>
            </w:r>
          </w:p>
        </w:tc>
      </w:tr>
      <w:tr w:rsidR="00781BC4" w:rsidRPr="004F62DE" w:rsidTr="004D3CA0">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7.</w:t>
            </w:r>
            <w:r w:rsidRPr="004F62DE">
              <w:rPr>
                <w:b/>
                <w:i/>
              </w:rPr>
              <w:tab/>
              <w:t>Den kompetente myndighed i akvakulturbrugmedlemsstaten opbevarer videooptagelser og al relevant dokumentation fra overførselsvurderingerne på akvakulturbrug under deres jurisdiktion i mindst tre år og opbevarer oplysningerne, så længe det er nødvendigt til håndhævelsesformål.</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Artikel 56d</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Overførselserklæring</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1.</w:t>
            </w:r>
            <w:r w:rsidRPr="004F62DE">
              <w:rPr>
                <w:b/>
                <w:i/>
              </w:rPr>
              <w:tab/>
              <w:t>Akvakulturbrugmedlemsstaterne udfylder og vedlægger den reviderede akvakulturbrugsforvaltningsplan en årlig overførselserklæring til Kommissionen senest ti dage efter afslutningen af vurderingen efter formatet i bilag XXI. Kommissionen videresender oplysningerne til IATTC's sekretariat senest 15 dage efter afslutningen af vurderingen</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2.</w:t>
            </w:r>
            <w:r w:rsidRPr="004F62DE">
              <w:rPr>
                <w:b/>
                <w:i/>
              </w:rPr>
              <w:tab/>
              <w:t>Stereokamerarapporten skal, hvor det er relevant, vedhæftes overførselserklæringen.</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Artikel 56e</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Stikprøvekontroller</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1.</w:t>
            </w:r>
            <w:r w:rsidRPr="004F62DE">
              <w:rPr>
                <w:b/>
                <w:i/>
              </w:rPr>
              <w:tab/>
              <w:t>Den kompetente myndighed i akvakulturbrugmedlemsstaten foretager stikprøvekontrol på akvakulturbrug under deres jurisdiktion. Den stikprøvekontrol, der er omhandlet i stk. 2, finder som minimum sted på akvakulturbrug mellem det tidspunkt, hvor anbringelsen i bur afsluttes, og det følgende års første anbringelse i bur. Denne kontrol skal omfatte obligatorisk overførsel af alle fisk fra akvakulturbrugsbure til andre akvakulturbrugsbure, således at antallet af individer af almindelig tun kan tælles ved hjælp af kontrolvideooptagelser.</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2.</w:t>
            </w:r>
            <w:r w:rsidRPr="004F62DE">
              <w:rPr>
                <w:b/>
                <w:i/>
              </w:rPr>
              <w:tab/>
              <w:t>Hver akvakulturbrugmedlemsstat fastsætter et minimumsantal stikprøvekontroller, der skal udføres på hvert akvakulturbrug under dens suverænitet. Antallet af stikprøvekontroller skal dække mindst 10 % af antallet af bure på hvert akvakulturbrug efter afslutningen af anbringelsen i bur, og skal altid omfatte mindst én kontrol pr. akvakulturbrug og afrundes om nødvendigt. Udvælgelsen af bure, der skal kontrolleres, baseres på en risikoanalyse. Planlægningen af stikprøvekontroller, der skal udføres, skal afspejles i medlemsstatens kontrolplan, jf. artikel 10.</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3.</w:t>
            </w:r>
            <w:r w:rsidRPr="004F62DE">
              <w:rPr>
                <w:b/>
                <w:i/>
              </w:rPr>
              <w:tab/>
              <w:t>Selv om det ikke er påkrævet, kan den eller de pågældende akvakulturbrug underrettes af akvakulturbrugmedlemsstatens kompetente myndighed med et maksimalt forudgående varsel på to kalenderdage om, at der skal foretages stikprøvekontrol(ler). De valgte bure meddeles først akvakulturbrugmedlemsstatens kompetente myndighed til akvakulturbrugeren ved ankomsten til det pågældende akvakulturbrug.</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4.</w:t>
            </w:r>
            <w:r w:rsidRPr="004F62DE">
              <w:rPr>
                <w:b/>
                <w:i/>
              </w:rPr>
              <w:tab/>
              <w:t>Hvis der gives forudgående varsel, sikrer akvakulturbrugerne, at alle midler er på plads, således at den kompetente myndighed i akvakulturbrugmedlemsstaten til enhver tid kan foretage stikprøvekontrol i ethvert bur på akvakulturbruget. Hvis der ikke gives forudgående varsel, skal akvakulturbrugerne stadig træffe alle passende foranstaltninger for at lette stikprøvekontrollerne.</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5.</w:t>
            </w:r>
            <w:r w:rsidRPr="004F62DE">
              <w:rPr>
                <w:b/>
                <w:i/>
              </w:rPr>
              <w:tab/>
              <w:t>Den kompetente myndighed i akvakulturbrugmedlemsstaten bestræber sig på at reducere tidsrammen mellem rækkefølgen af de stikprøvekontroller, og hvornår kontroloperationerne udføres. Den kompetente myndighed i akvakulturbrugmedlemsstaten sikrer, at der træffes alle nødvendige foranstaltninger for at sikre, at operatøren ikke har mulighed for at manipulere de pågældende bure, før stikprøvekontrollen finder sted.</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6.</w:t>
            </w:r>
            <w:r w:rsidRPr="004F62DE">
              <w:rPr>
                <w:b/>
                <w:i/>
              </w:rPr>
              <w:tab/>
              <w:t>Efter stikprøvekontrollen skal enhver forskel mellem antallet af almindelig tun, der bestemmes ved stikprøvekontrollen, og det antal, der forventes at være til stede i buret, undersøges og registreres behørigt i eBCD-systemet. I tilfælde af overtal pålægger akvakulturbrugmedlemsstatens kompetente myndighed frisætning af det tilsvarende antal fisk. Frisætningsoperationen gennemføres efter bilag XII. Der ydes ikke kompensation for forskelle mellem forskellige bure på akvakulturbruget. Medlemsstatens kompetente myndighed kan tillade en fejlmargen på 5 % mellem det antal individer, der fremkommer ved kontroloverførslen, og det forventede antal i buret.</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7.</w:t>
            </w:r>
            <w:r w:rsidRPr="004F62DE">
              <w:rPr>
                <w:b/>
                <w:i/>
              </w:rPr>
              <w:tab/>
              <w:t>Den kompetente myndighed i akvakulturbrugmedlemsstaten opbevarer alle videooptagelser fra stikprøvekontrol på akvakulturbrug under deres jurisdiktion i mindst tre år og opbevarer disse oplysninger, så længe det er nødvendigt til håndhævelsesformål.</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8.</w:t>
            </w:r>
            <w:r w:rsidRPr="004F62DE">
              <w:rPr>
                <w:b/>
                <w:i/>
              </w:rPr>
              <w:tab/>
              <w:t>Kommissionen meddeler ICCAT's sekretariat resultaterne af de stikprøvekontroller, inden den nye notfiskesæson, der gælder for hver medlemsstat, indledes, jf. artikel 16, med henblik på fremsendelse til Compliancekomitéen.</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Artikel 56f</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Overførsler mellem akvakulturbrug</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1.</w:t>
            </w:r>
            <w:r w:rsidRPr="004F62DE">
              <w:rPr>
                <w:b/>
                <w:i/>
              </w:rPr>
              <w:tab/>
              <w:t>Overførsel af levende almindelig tun mellem to forskellige akvakulturbrug må ikke finde sted uden forudgående skriftlig tilladelse fra medlemsstatens kompetente myndigheder for begge akvakulturbrug.</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2.</w:t>
            </w:r>
            <w:r w:rsidRPr="004F62DE">
              <w:rPr>
                <w:b/>
                <w:i/>
              </w:rPr>
              <w:tab/>
              <w:t>Overførslen fra donorakvakulturbrugsburet til transportburet skal opfylde kravene i denne forordnings afdeling 6, herunder en videooptagelse til bekræftelse af antallet af overførte individer af almindelig tun, gennemførelse af en ITD og verifikation af operationen foretaget af en regional ICCAT-observatør. Uanset ovenstående er det i tilfælde, hvor hele akvakulturbruget skal flyttes til det modtagende akvakulturbrug, ikke nødvendigt at optage operationen på video, og buret skal transporteres forseglet til bestemmelsesbruget.</w:t>
            </w:r>
          </w:p>
        </w:tc>
      </w:tr>
      <w:tr w:rsidR="00781BC4" w:rsidRPr="004F62DE" w:rsidTr="00D618C2">
        <w:trPr>
          <w:jc w:val="center"/>
        </w:trPr>
        <w:tc>
          <w:tcPr>
            <w:tcW w:w="4876" w:type="dxa"/>
          </w:tcPr>
          <w:p w:rsidR="004D3CA0" w:rsidRPr="004F62DE" w:rsidRDefault="004D3CA0" w:rsidP="00D618C2">
            <w:pPr>
              <w:pStyle w:val="Normal6"/>
            </w:pPr>
          </w:p>
        </w:tc>
        <w:tc>
          <w:tcPr>
            <w:tcW w:w="4876" w:type="dxa"/>
          </w:tcPr>
          <w:p w:rsidR="004D3CA0" w:rsidRPr="004F62DE" w:rsidRDefault="00F37C81" w:rsidP="00D618C2">
            <w:pPr>
              <w:pStyle w:val="Normal6"/>
              <w:rPr>
                <w:szCs w:val="24"/>
              </w:rPr>
            </w:pPr>
            <w:r w:rsidRPr="004F62DE">
              <w:rPr>
                <w:b/>
                <w:i/>
              </w:rPr>
              <w:t>3.</w:t>
            </w:r>
            <w:r w:rsidRPr="004F62DE">
              <w:rPr>
                <w:b/>
                <w:i/>
              </w:rPr>
              <w:tab/>
              <w:t>Anbringelse i bur af almindelig tun på bestemmelsesakvakulturbruget er underlagt de krav til anbringelse i bur, der er fastsat i artikel 45, herunder en videooptagelse til bekræftelse af antallet og vægten af almindelig tun i bur og verifikation af operationen foretaget af en regional ICCAT-observatør. Bestemmelsen af vægten for fisk i bur fra et andet akvakulturbrug finder ikke anvendelse, før SCRS har udviklet en algoritme til at omregne længde til vægt for opfedede og/eller opdrættede fisk."</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77</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2n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57</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2n)</w:t>
            </w:r>
            <w:r w:rsidRPr="004F62DE">
              <w:rPr>
                <w:b/>
                <w:i/>
              </w:rPr>
              <w:tab/>
              <w:t>I artikel 57 foretages følgende ændringer: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a)</w:t>
            </w:r>
            <w:r w:rsidRPr="004F62DE">
              <w:rPr>
                <w:b/>
                <w:i/>
              </w:rPr>
              <w:tab/>
              <w:t>Stk. 1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Uanset artikel 9 i forordning (EF) nr. 1224/2009 indfører flagmedlemsstaterne fartøjsovervågningssystemer (FOS) for alle fiskerfartøjer, der fører deres flag, og som har en længde overalt på 12 meter eller derover, og for alle bugserbåde, uanset deres længde. Alle fartøjer, der er omhandlet i første afsnit, skal indberette fartøjets positionsdata mindst en gang hver anden time, undtagen for bugserbåd og notfartøjer, der skal indberette mindst hver time."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b)</w:t>
            </w:r>
            <w:r w:rsidRPr="004F62DE">
              <w:rPr>
                <w:b/>
                <w:i/>
              </w:rPr>
              <w:tab/>
              <w:t>Stk. 2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Fiskerfartøjer som omhandlet i artikel 26, stk. 1, litra b), skal begynde at indberette FOS-data til ICCAT mindst fem dage før deres tilladelsesperiode og skal fortsætte mindst fem dage efter deres tilladelsesperiode, medmindre der på forhånd sendes en anmodning til Kommissionen om, at fartøjet slettes fra ICCAT's fartøjsregister."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c)</w:t>
            </w:r>
            <w:r w:rsidRPr="004F62DE">
              <w:rPr>
                <w:b/>
                <w:i/>
              </w:rPr>
              <w:tab/>
              <w:t>Stk. 5, litra a),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FOS-data fra fiskerfartøjer, der fører deres flag, fremsendes til Kommissionen i henhold til stk. 1."</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d)</w:t>
            </w:r>
            <w:r w:rsidRPr="004F62DE">
              <w:rPr>
                <w:b/>
                <w:i/>
              </w:rPr>
              <w:tab/>
              <w:t>I stk. 5, tilføjes følgende litra:</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"ba)</w:t>
            </w:r>
            <w:r w:rsidRPr="004F62DE">
              <w:rPr>
                <w:b/>
                <w:i/>
              </w:rPr>
              <w:tab/>
              <w:t>i tilfælde af teknisk funktionsfejl i FOS, skal den pågældende bugserbåd erstattes af en anden bugserbåd med et fuldt fungerende FOS. Hvis der ikke er andre bugserbåde til rådighed, skal et nyt operationelt FOS-system installeres om bord eller anvendes, hvis det allerede er installeret, så hurtigt som muligt og inden for 72 timer, undtagen i tilfælde af force majeure, som skal meddeles ICCAT's sekretariat. I mellemtiden meddeler førerne eller deres repræsentanter hver time bugserbådens opdaterede geografiske koordinater ved hjælp af passende telekommunikationsmidler, begyndende fra det tidspunkt, hvor hændelsen blev opdaget og/eller informeret, til flagmedlemsstatens kontrolmyndigheder."</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78</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2 o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59 – overskrift</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2o)</w:t>
            </w:r>
            <w:r w:rsidRPr="004F62DE">
              <w:rPr>
                <w:b/>
                <w:i/>
              </w:rPr>
              <w:tab/>
              <w:t>Overskriften til artikel 59 ændres som følger: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"Inspektioner i tilfælde af mistanke om overtrædelser"</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79</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2 p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61</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2p)</w:t>
            </w:r>
            <w:r w:rsidRPr="004F62DE">
              <w:rPr>
                <w:b/>
                <w:i/>
              </w:rPr>
              <w:tab/>
              <w:t>Artikel 61 affattes således:</w:t>
            </w:r>
          </w:p>
        </w:tc>
      </w:tr>
      <w:tr w:rsidR="00781BC4" w:rsidRPr="004F62DE" w:rsidTr="004B110E">
        <w:trPr>
          <w:jc w:val="center"/>
        </w:trPr>
        <w:tc>
          <w:tcPr>
            <w:tcW w:w="4876" w:type="dxa"/>
          </w:tcPr>
          <w:p w:rsidR="007B7F19" w:rsidRPr="004F62DE" w:rsidRDefault="007B7F19" w:rsidP="004B110E">
            <w:pPr>
              <w:pStyle w:val="Normal6"/>
            </w:pPr>
          </w:p>
        </w:tc>
        <w:tc>
          <w:tcPr>
            <w:tcW w:w="4876" w:type="dxa"/>
          </w:tcPr>
          <w:p w:rsidR="007B7F19" w:rsidRPr="004F62DE" w:rsidRDefault="00F37C81" w:rsidP="004B110E">
            <w:pPr>
              <w:pStyle w:val="Normal6"/>
              <w:rPr>
                <w:b/>
                <w:i/>
              </w:rPr>
            </w:pPr>
            <w:r w:rsidRPr="004F62DE">
              <w:rPr>
                <w:b/>
                <w:i/>
              </w:rPr>
              <w:t>"Artikel 61</w:t>
            </w:r>
          </w:p>
        </w:tc>
      </w:tr>
      <w:tr w:rsidR="00781BC4" w:rsidRPr="004F62DE" w:rsidTr="004B110E">
        <w:trPr>
          <w:jc w:val="center"/>
        </w:trPr>
        <w:tc>
          <w:tcPr>
            <w:tcW w:w="4876" w:type="dxa"/>
          </w:tcPr>
          <w:p w:rsidR="007B7F19" w:rsidRPr="004F62DE" w:rsidRDefault="007B7F19" w:rsidP="004B110E">
            <w:pPr>
              <w:pStyle w:val="Normal6"/>
            </w:pPr>
          </w:p>
        </w:tc>
        <w:tc>
          <w:tcPr>
            <w:tcW w:w="4876" w:type="dxa"/>
          </w:tcPr>
          <w:p w:rsidR="007B7F19" w:rsidRPr="004F62DE" w:rsidRDefault="00F37C81" w:rsidP="004B110E">
            <w:pPr>
              <w:pStyle w:val="Normal6"/>
              <w:rPr>
                <w:b/>
                <w:i/>
              </w:rPr>
            </w:pPr>
            <w:r w:rsidRPr="004F62DE">
              <w:rPr>
                <w:b/>
                <w:i/>
              </w:rPr>
              <w:t>Håndhævelse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Uden at det berører artikel 89-91 i forordning (EF) nr. 1224/2009 og navnlig medlemsstaternes forpligtelse til at træffe de fornødne håndhævelsesforanstaltninger over for et fiskerfartøj, træffer den medlemsstat, der er ansvarlig for akvakulturbrug for almindelig tun, de fornødne håndhævelsesforanstaltninger over for et akvakulturbrug, hvis den i overensstemmelse med den nationale lovgivning har fastslået, at akvakulturbruget ikke overholder bestemmelserne i artikel 45-55. Foranstaltningerne kan, afhængigt af overtrædelsens grovhed og i overensstemmelse med de relevante bestemmelser i national lovgivning, suspendere tilladelsen eller tilbagetrækningen fra ICCAT's Record of Bluefin Tuna Farming Facilities (register over opdrætsfaciliteter for almindelig tun), der er oprettet i overensstemmelse med punkt 61 i henstilling 22-08 og/eller bøder."</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 i det østlige Atlanterhav og Middelhavet.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80</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Artikel 2 – stk. 1 – nr. 2 q (nyt)</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Artikel 66 – stk. 1</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2)</w:t>
            </w:r>
            <w:r w:rsidRPr="004F62DE">
              <w:rPr>
                <w:b/>
                <w:i/>
              </w:rPr>
              <w:tab/>
              <w:t>I artikel 66, stk. 1, foretages følgende ændringer: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a)</w:t>
            </w:r>
            <w:r w:rsidRPr="004F62DE">
              <w:rPr>
                <w:b/>
                <w:i/>
              </w:rPr>
              <w:tab/>
              <w:t>Litra a), b) og c) affattes således: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årlig overførsel i henhold til artikel 8 for almindelig tun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b)</w:t>
            </w:r>
            <w:r w:rsidRPr="004F62DE">
              <w:rPr>
                <w:b/>
                <w:i/>
              </w:rPr>
              <w:tab/>
              <w:t>fristerne for indberetning af oplysninger som fastsat i artikel 15, stk. 7, artikel 16, stk. 1, artikel 24, stk. 4, artikel 26, stk. 1, artikel 29, stk. 1, artikel 32, stk. 2 og 3, artikel 35, stk. 5 og 6, artikel 36, artikel 41, stk. 3, artikel 44, stk. 2, artikel 51, stk. 7, artikel 52, stk. 12, artikel 55, artikel 57, stk. 5, litra b), og artikel 58, stk. 6</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207C4A">
            <w:pPr>
              <w:pStyle w:val="Normal6"/>
              <w:rPr>
                <w:szCs w:val="24"/>
              </w:rPr>
            </w:pPr>
            <w:r w:rsidRPr="004F62DE">
              <w:rPr>
                <w:b/>
                <w:i/>
              </w:rPr>
              <w:t>c)</w:t>
            </w:r>
            <w:r w:rsidRPr="004F62DE">
              <w:rPr>
                <w:b/>
                <w:i/>
              </w:rPr>
              <w:tab/>
              <w:t>fangstperioder som omhandlet i artikel 17, stk. 1 og 4."</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pPr>
              <w:pStyle w:val="Normal6"/>
              <w:rPr>
                <w:szCs w:val="24"/>
              </w:rPr>
            </w:pPr>
            <w:r w:rsidRPr="004F62DE">
              <w:rPr>
                <w:b/>
                <w:i/>
              </w:rPr>
              <w:t>b)</w:t>
            </w:r>
            <w:r w:rsidRPr="004F62DE">
              <w:rPr>
                <w:b/>
                <w:i/>
              </w:rPr>
              <w:tab/>
              <w:t>Følgende punkter tilføjes: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"ka)</w:t>
            </w:r>
            <w:r w:rsidRPr="004F62DE">
              <w:rPr>
                <w:b/>
                <w:i/>
              </w:rPr>
              <w:tab/>
              <w:t>indholdet af overførselserklæringen i artikel 7, stk. 1, litra a), og bestemmelserne for anbringelse i bur i artikel 7, stk. 2, litra b)"</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kb)</w:t>
            </w:r>
            <w:r w:rsidRPr="004F62DE">
              <w:rPr>
                <w:b/>
                <w:i/>
              </w:rPr>
              <w:tab/>
              <w:t xml:space="preserve">undtagelserne i artikel 17, stk. 2, for så vidt angår udpegelse af fiskeriområder, fiskerfartøjer og </w:t>
            </w:r>
            <w:r w:rsidRPr="004F62DE">
              <w:rPr>
                <w:b/>
                <w:i/>
              </w:rPr>
              <w:noBreakHyphen/>
              <w:t>redskaber og i artikel 17, stk. 3, for så vidt angår fiskeri efter almindelig tun til opdrætsformål</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kc)</w:t>
            </w:r>
            <w:r w:rsidRPr="004F62DE">
              <w:rPr>
                <w:b/>
                <w:i/>
              </w:rPr>
              <w:tab/>
              <w:t>betingelserne for tildeling af regionale observatører til akvakulturbrug i artikel 39, stk. 4</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kd)</w:t>
            </w:r>
            <w:r w:rsidRPr="004F62DE">
              <w:rPr>
                <w:b/>
                <w:i/>
              </w:rPr>
              <w:tab/>
              <w:t>medlemsstaternes forpligtelser og indholdet af den årlige rapport om anbringelse i bur, der er omhandlet i artikel 55."</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pPr>
        <w:pStyle w:val="JustificationTitle"/>
        <w:rPr>
          <w:noProof w:val="0"/>
        </w:rPr>
      </w:pPr>
      <w:r w:rsidRPr="004F62DE">
        <w:rPr>
          <w:rStyle w:val="HideTWBExt"/>
          <w:i w:val="0"/>
          <w:noProof w:val="0"/>
        </w:rPr>
        <w:t>&lt;TitreJust&gt;</w:t>
      </w:r>
      <w:r w:rsidRPr="004F62DE">
        <w:rPr>
          <w:noProof w:val="0"/>
        </w:rPr>
        <w:t>Begrundelse</w:t>
      </w:r>
      <w:r w:rsidRPr="004F62DE">
        <w:rPr>
          <w:rStyle w:val="HideTWBExt"/>
          <w:i w:val="0"/>
          <w:noProof w:val="0"/>
        </w:rPr>
        <w:t>&lt;/TitreJust&gt;</w:t>
      </w:r>
    </w:p>
    <w:p w:rsidR="0049599D" w:rsidRPr="004F62DE" w:rsidRDefault="00F37C81" w:rsidP="0049599D">
      <w:pPr>
        <w:pStyle w:val="Normal12Italic"/>
        <w:rPr>
          <w:noProof w:val="0"/>
        </w:rPr>
      </w:pPr>
      <w:r w:rsidRPr="004F62DE">
        <w:rPr>
          <w:noProof w:val="0"/>
        </w:rPr>
        <w:t>ICCAT-henstilling 22-08 ændrer henstilling 21-08 om fastlæggelse af en flerårig forvaltningsplan for almindelig tun.</w:t>
      </w:r>
    </w:p>
    <w:p w:rsidR="0049599D" w:rsidRPr="004F62DE" w:rsidRDefault="00F37C81" w:rsidP="0049599D">
      <w:r w:rsidRPr="004F62DE">
        <w:rPr>
          <w:rStyle w:val="HideTWBExt"/>
          <w:noProof w:val="0"/>
        </w:rPr>
        <w:t>&lt;/Amend&gt;</w:t>
      </w:r>
    </w:p>
    <w:p w:rsidR="007B7F19" w:rsidRPr="004F62DE" w:rsidRDefault="00F37C81" w:rsidP="007B7F19">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81</w:t>
      </w:r>
      <w:r w:rsidRPr="004F62DE">
        <w:rPr>
          <w:rStyle w:val="HideTWBExt"/>
          <w:b w:val="0"/>
          <w:noProof w:val="0"/>
        </w:rPr>
        <w:t>&lt;/NumAm&gt;</w:t>
      </w:r>
    </w:p>
    <w:p w:rsidR="007B7F19" w:rsidRPr="004F62DE" w:rsidRDefault="00F37C81" w:rsidP="007B7F19">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7B7F19" w:rsidRPr="004F62DE" w:rsidRDefault="00F37C81" w:rsidP="00BD2408">
      <w:pPr>
        <w:pStyle w:val="NormalBold"/>
      </w:pPr>
      <w:r w:rsidRPr="004F62DE">
        <w:rPr>
          <w:rStyle w:val="HideTWBExt"/>
          <w:b w:val="0"/>
          <w:noProof w:val="0"/>
        </w:rPr>
        <w:t>&lt;Article&gt;</w:t>
      </w:r>
      <w:r w:rsidRPr="004F62DE">
        <w:t>Artikel 2 – stk. 1 – nr. 2 r (nyt)</w:t>
      </w:r>
      <w:r w:rsidRPr="004F62DE">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A31D6F">
        <w:trPr>
          <w:jc w:val="center"/>
        </w:trPr>
        <w:tc>
          <w:tcPr>
            <w:tcW w:w="9752" w:type="dxa"/>
            <w:gridSpan w:val="2"/>
          </w:tcPr>
          <w:p w:rsidR="007B7F19" w:rsidRPr="004F62DE" w:rsidRDefault="007B7F19" w:rsidP="00C84F42">
            <w:pPr>
              <w:keepNext/>
            </w:pPr>
          </w:p>
        </w:tc>
      </w:tr>
      <w:tr w:rsidR="00781BC4" w:rsidRPr="004F62DE" w:rsidTr="00A31D6F">
        <w:trPr>
          <w:jc w:val="center"/>
        </w:trPr>
        <w:tc>
          <w:tcPr>
            <w:tcW w:w="4876" w:type="dxa"/>
          </w:tcPr>
          <w:p w:rsidR="007B7F19" w:rsidRPr="004F62DE" w:rsidRDefault="00F37C81" w:rsidP="00C84F42">
            <w:pPr>
              <w:pStyle w:val="ColumnHeading"/>
              <w:keepNext/>
            </w:pPr>
            <w:r w:rsidRPr="004F62DE">
              <w:t>Nuværende ordlyd</w:t>
            </w:r>
          </w:p>
        </w:tc>
        <w:tc>
          <w:tcPr>
            <w:tcW w:w="4876" w:type="dxa"/>
          </w:tcPr>
          <w:p w:rsidR="007B7F19" w:rsidRPr="004F62DE" w:rsidRDefault="00F37C81" w:rsidP="00C84F42">
            <w:pPr>
              <w:pStyle w:val="ColumnHeading"/>
              <w:keepNext/>
            </w:pPr>
            <w:r w:rsidRPr="004F62DE">
              <w:t>Ændringsforslag</w:t>
            </w:r>
          </w:p>
        </w:tc>
      </w:tr>
      <w:tr w:rsidR="00781BC4" w:rsidRPr="004F62DE" w:rsidTr="00A31D6F">
        <w:trPr>
          <w:jc w:val="center"/>
        </w:trPr>
        <w:tc>
          <w:tcPr>
            <w:tcW w:w="4876" w:type="dxa"/>
          </w:tcPr>
          <w:p w:rsidR="007B7F19" w:rsidRPr="004F62DE" w:rsidRDefault="007B7F19" w:rsidP="00C84F42">
            <w:pPr>
              <w:pStyle w:val="Normal6"/>
            </w:pPr>
          </w:p>
        </w:tc>
        <w:tc>
          <w:tcPr>
            <w:tcW w:w="4876" w:type="dxa"/>
          </w:tcPr>
          <w:p w:rsidR="007B7F19" w:rsidRPr="004F62DE" w:rsidRDefault="00F37C81">
            <w:pPr>
              <w:pStyle w:val="Normal6"/>
              <w:rPr>
                <w:szCs w:val="24"/>
              </w:rPr>
            </w:pPr>
            <w:r w:rsidRPr="004F62DE">
              <w:rPr>
                <w:b/>
                <w:i/>
              </w:rPr>
              <w:t xml:space="preserve">2r) </w:t>
            </w:r>
            <w:r w:rsidRPr="004F62DE">
              <w:rPr>
                <w:b/>
                <w:i/>
              </w:rPr>
              <w:tab/>
              <w:t>Teksten i bilaget til nærværende forordning tilføjes som bilag XVa, XVb og XVc til delegeret forordning (EU) XX/2023.</w:t>
            </w:r>
          </w:p>
        </w:tc>
      </w:tr>
    </w:tbl>
    <w:p w:rsidR="007B7F19" w:rsidRPr="004F62DE" w:rsidRDefault="00F37C81" w:rsidP="007B7F19">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7B7F19" w:rsidRPr="004F62DE" w:rsidRDefault="00F37C81" w:rsidP="007B7F19">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82</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Bilag</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Bilag VIII a (nyt)</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Bilag VIIIa</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Minimumsstandarder vedrørende sikker håndtering og procedurer for udsætning i live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Følgende indeholder minimumsstandarder for sikker håndtering af nord- og sydatlantisk kortfinnet makohaj og indeholder specifikke henstillinger til både langline- og notfiskeri. Disse minimumsstandarder er passende for levende kortfinnet makohaj, når de frigives, uanset om det er under ingen tilbageholdelsespolitikker, eller når de genudsættes frivilligt. Disse grundlæggende retningslinjer erstatter ikke eventuelle strengere sikkerhedsregler, som måtte være blevet fastsat af de nationale myndigheder i de enkelte medlemsstater.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Sikkerhed i første række: Disse minimumsstandarder skal overvejes i lyset af sikkerheden og gennemførligheden for besætningen. Besætningens sikkerhed kommer altid i første række. Besætningen skal som minimum bære passende handsker og undgå at arbejde omkring munden på hajer. Uddannelse: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Uddannelsesmateriale er til rådighed for medlemsstaterne på de tre officielle ICCAT-sprog. Metode for genudsættelse: I videst muligt omfang skal alle hajer, der genudsættes, til enhver tid forblive i vandet, medmindre det er nødvendigt at løfte hajen med henblik på at identificere arten. Dette omfatter at skære snoren over for at frigøre hajen, mens den stadig er i vandet, ved hjælp af boltsakse eller krogløsnere for at fjerne krogen, hvis det er muligt, eller skære snoren over så tæt på krogen som muligt (og så efterlade så lidt efterfølgende snor som muligt).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Vær beredt: Værktøj skal forberedes på forhånd (f.eks. lærred eller netstropper, bårer til transport eller løftning, stormasket net eller gitter til dækning af luger/tragter i notfiskeri, boltsakse med langt håndtag og redskaber til at fjerne krog i langlinefiskeri osv., der er anført i slutningen af dette dokument).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Generelle henstillinger for alle fiskerier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Hvis det er driftsmæssigt sikkert, skal fartøjet stoppes eller hastigheden skal sænkes væsentligt.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Når hajen er viklet ind (i net, fiskeline osv.), skal nettet/linen, hvis det er sikkert at gøre det, forsigtigt klippes fri for dyret, så det slipper ud i havet så hurtigt som muligt uden sammenfiltringer.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Hvor det er muligt, og mens hajen holdes i vandet, skal det forsøges at måle hajens længde.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For at forhindre bid skal en genstand såsom en fisk eller en stor pind/træpind placeres i kæben.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Hvis en haj af en eller anden grund skal bringes på dækket, skal den tid minimeres, det tager at returnere den til vandet, for at øge overlevelsen og reducere risikoen for besætningen.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Specifik sikker håndtering af langlinefiskeri</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Bring hajen så tæt på fartøjet som muligt uden at lægge for meget spænding på tavserne for at undgå, at en frigjort krog eller brækket tavs kan skyde kroge, vægte og andre dele mod fartøjerne og besætningen med høj hastighed.</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Fastgør den anden side af langlinehovedlinen til båden for at undgå, at eventuelt resterende udstyr i vandet trækker i linen og dyret.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Hvis den sidder fast i en krog, og krogen er synlig i kroppen eller munden, skal et redskab til at fjerne krogen eller en boltsaks med langt håndtag bruges til at fjerne spidsen af krogen, og derefter skal krogen fjernes.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Hvis det ikke er muligt at fjerne krogen, eller krogen ikke kan ses, skal linen skæres af forfanget så tæt på krogen som muligt (ideelt set skal så lidt line og/eller forfang som muligt efterlades og ingen vægte skal være fastgjort til dyret).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Specifik sikker håndtering i notfiskeri</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Hvis i notfartøjets net: scan nettet så langt fremme som muligt for at få øje på hajerne tidligt for at reagere hurtigt, undgå at løfte dem op i nettet mod kraftblokken, sæt fartøjets hastighed ned for at løsne nettet og tillade, at dyr, der er viklet ind i nettet, kan fjernes fra nettet, brug om nødvendigt sakse til at klippe nettet i stykker.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b/>
                <w:i/>
              </w:rPr>
            </w:pPr>
            <w:r w:rsidRPr="004F62DE">
              <w:rPr>
                <w:b/>
                <w:i/>
              </w:rPr>
              <w:t>2.</w:t>
            </w:r>
            <w:r w:rsidRPr="004F62DE">
              <w:rPr>
                <w:b/>
                <w:i/>
              </w:rPr>
              <w:tab/>
              <w:t>Hvis under ophaling eller på dæk: brug et specialbygget stormasket forsyningsnet eller lærredsstopper eller lignende enhed. Hvis fartøjets indretning tillader det, kan disse hajer også genudsættes ved at tømme nettet direkte på en tragt og frigøre rampen holdt op i en vinkel, der forbinder en åbning på det øverste dæk, uden at det er nødvendigt for besætningen at foretage løft eller nogen håndtering.</w:t>
            </w:r>
          </w:p>
          <w:p w:rsidR="00C61170" w:rsidRPr="004F62DE" w:rsidRDefault="00C61170" w:rsidP="00C61170">
            <w:pPr>
              <w:pStyle w:val="Normal6"/>
              <w:rPr>
                <w:szCs w:val="24"/>
              </w:rPr>
            </w:pPr>
            <w:r w:rsidRPr="004F62DE">
              <w:rPr>
                <w:b/>
                <w:i/>
              </w:rPr>
              <w:t>Forbudt praksis for al fiskeri</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I videst muligt omfang løftes hajen fra vandet med tavserne, især hvis den sidder fast i en krog, medmindre det er nødvendigt at løfte hajen med henblik på at identificere arten.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Hajer må ikke løftes ved hjælp af tynde liner eller kabler eller ved halen alene.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Hajer må ikke slås mod nogen overflade for at fjerne dyret fra linen.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Forsøg at løsne en krog, der er dybt nedsvælget og ikke er synlig.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Prøv at fjerne en krog ved et hurtigt træk i tavsen.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6.</w:t>
            </w:r>
            <w:r w:rsidRPr="004F62DE">
              <w:rPr>
                <w:b/>
                <w:i/>
              </w:rPr>
              <w:tab/>
              <w:t>Skær halen eller enhver anden kropsdel af.</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7.</w:t>
            </w:r>
            <w:r w:rsidRPr="004F62DE">
              <w:rPr>
                <w:b/>
                <w:i/>
              </w:rPr>
              <w:tab/>
              <w:t>Skær eller slå huller gennem hajen.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8.</w:t>
            </w:r>
            <w:r w:rsidRPr="004F62DE">
              <w:rPr>
                <w:b/>
                <w:i/>
              </w:rPr>
              <w:tab/>
              <w:t>Hal op eller spark en haj, eller stik hænderne ind i gællespalterne.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9.</w:t>
            </w:r>
            <w:r w:rsidRPr="004F62DE">
              <w:rPr>
                <w:b/>
                <w:i/>
              </w:rPr>
              <w:tab/>
              <w:t>Udsæt hajen for sol i længere perioder.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10.</w:t>
            </w:r>
            <w:r w:rsidRPr="004F62DE">
              <w:rPr>
                <w:b/>
                <w:i/>
              </w:rPr>
              <w:tab/>
              <w:t>Læg fingrene, hænderne eller armene om linen, når en haj eller rokke bringes til båden (kan resultere i alvorlig skade).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Nyttige værktøjer til sikker håndtering og genudsættelse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Handsker (hajhud er ru; sikrer sikker håndtering af hajer og beskytter besætningens hænder mod bid)</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Håndklæde eller klud (et håndklæde eller en klud gennemblødt i havvand kan placeres over hajens øjne; bruges til at berolige hajer)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Afkrogningsværktøj (f.eks. grisehaleafkrogningsværktøj, boltsaks eller tænger)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 xml:space="preserve">Hajsele eller </w:t>
            </w:r>
            <w:r w:rsidRPr="004F62DE">
              <w:rPr>
                <w:b/>
                <w:i/>
              </w:rPr>
              <w:noBreakHyphen/>
              <w:t>båre (om nødvendigt)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Halereb (for at sikre en haj, der sidder fast i en krog, hvis den skal fjernes fra vandet)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6.</w:t>
            </w:r>
            <w:r w:rsidRPr="004F62DE">
              <w:rPr>
                <w:b/>
                <w:i/>
              </w:rPr>
              <w:tab/>
              <w:t>Saltvandsslange (hvis det forventes, at det kan tage mere end fem minutter at genudsætte en haj, skal en slange placeres i munden, så havvand flyder moderat ind i den. Sørg for, at dækspumpen har kørt flere minutter, før den placeres i hajens mund)</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7.</w:t>
            </w:r>
            <w:r w:rsidRPr="004F62DE">
              <w:rPr>
                <w:b/>
                <w:i/>
              </w:rPr>
              <w:tab/>
              <w:t>Måleenhed (f.eks. markér en stang, forfang og flyder eller et målebånd)</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8.</w:t>
            </w:r>
            <w:r w:rsidRPr="004F62DE">
              <w:rPr>
                <w:b/>
                <w:i/>
              </w:rPr>
              <w:tab/>
              <w:t>Datablad til registrering af al fangst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9.</w:t>
            </w:r>
            <w:r w:rsidRPr="004F62DE">
              <w:rPr>
                <w:b/>
                <w:i/>
              </w:rPr>
              <w:tab/>
              <w:t>Markeringsudstyr (hvis relevant)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83</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Bilag</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Bilag VIII b (nyt)</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Bilag VIIIb</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Retningslinjer for reduktion af FAD'ers økologiske indvirkning i ICCAT-fiskeri</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FAD'ens overflade må ikke være dækket eller kun være dækket af materiale, der indebærer mindst mulig risiko for indfiltring af bifangstarter.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Komponenterne under overfladen må udelukkende bestå af ikkeindfiltrende materiale (f.eks. reb eller lærred).</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Ved udformning af FAD'er skal anvendelsen af bionedbrydelige materialer prioriteres.</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84</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Bilag</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2017/2107</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Bilag VIII c (nyt)</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Bilag VIIIc</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Sikker håndtering og genudsættelsespraksis for havskildpadder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Sikker håndtering og genudsættelse i notfiskeri</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Når en havskildpadde bliver set i nettet, skal der gøres alle rimelige bestræbelser på at redde havskildpadden, før den bliver indfiltret i nettet.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Havskildpadder må ikke hales om bord ved hjælp af en fiskeline, som sidder fast på eller er viklet om havskildpaddens krop.</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Hvis en havskildpadde indfiltres under netrullen, skal netrullen stoppes, straks skildpadden kommer ud af vandet. Skildpadden skal vikles ud uden at skade den, før netrullen startes igen.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Hvis en havskildpadde på trods af de trufne foranstaltninger ved et uheld bringes om bord på fartøjet og er i live og aktiv eller død, skal havskildpadden genudsættes så hurtigt som muligt.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Hvis en havskildpadde bringes om bord på fartøjet og er bevidstløs eller inaktiv, skal genoplivning forsøges.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Sikker håndtering og genudsættelse med langliner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Når det er praktisk muligt, og når operatøren eller besætningen om bord er uddannet, skal bevidstløse havskildpadder straks bringes om bord.</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Ved observation af en havskildpadde skal fartøjets og linehjulets hastighed sænkes, og fartøjets retning justeres til at bevæge sig mod havskildpadden, hvilket minimerer spændingen på linen.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Havskildpadder må ikke hales om bord ved hjælp af en fiskeline, som sidder fast på eller er viklet om havskildpaddens krop.</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Hvis en havskildpadde er for stor eller sidder fast i en krog på en sådan måde, at sikker boarding udelukkes uden at forårsage yderligere skade på havskildpadden, skal lineklippere bruges til at klippe linen og fjerne så meget line som muligt, før havskildpadden genudsættes.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Hvis det observeres, at en havskildpadde sidder fast i en krog eller er viklet ind i udstyr til langliner under indhaling, skal fartøjsoperatøren straks ophøre med indhaling, indtil havskildpadden er blevet fjernet fra udstyret til langliner eller bragt om bord på fartøjet.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6.</w:t>
            </w:r>
            <w:r w:rsidRPr="004F62DE">
              <w:rPr>
                <w:b/>
                <w:i/>
              </w:rPr>
              <w:tab/>
              <w:t>Hvis krogen er hægtet udvendigt, eller krogen er fuldt synlig, skal krogene fjernes fra havskildpadden så hurtigt og omhyggeligt som muligt. Hvis en krog ikke kan fjernes fra en havskildpadde (f.eks. nedsvælget eller i munden), skal linen skæres over så tæt på krogen som muligt.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7.</w:t>
            </w:r>
            <w:r w:rsidRPr="004F62DE">
              <w:rPr>
                <w:b/>
                <w:i/>
              </w:rPr>
              <w:tab/>
              <w:t>Levende havskildpadder returneres til havet efter håndtering på følgende måde: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fartøjets motor sættes i neutralt gear, så skruen frakobles, og fartøjet standses, og havskildpadden genudsættes væk fra de anvendte redskaber, og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w:t>
            </w:r>
            <w:r w:rsidRPr="004F62DE">
              <w:rPr>
                <w:b/>
                <w:i/>
              </w:rPr>
              <w:tab/>
              <w:t>det observeres, at havskildpadden er på sikker afstand af fartøjet, før skruen startes, og operationen fortsættes.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8.</w:t>
            </w:r>
            <w:r w:rsidRPr="004F62DE">
              <w:rPr>
                <w:b/>
                <w:i/>
              </w:rPr>
              <w:tab/>
              <w:t>Hvis havskildpadden, der bringes om bord på fartøjet, er bevidstløs eller inaktiv, skal genoplivning forsøges (stk. 3).</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Genoplivning af en havskildpadde om bord</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1.</w:t>
            </w:r>
            <w:r w:rsidRPr="004F62DE">
              <w:rPr>
                <w:b/>
                <w:i/>
              </w:rPr>
              <w:tab/>
              <w:t>Ved håndtering af en havskildpadde skal der gøres forsøg på at holde dyret i skjoldet, idet man undgår hoved- og nakkeområdet og lufferne.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2.</w:t>
            </w:r>
            <w:r w:rsidRPr="004F62DE">
              <w:rPr>
                <w:b/>
                <w:i/>
              </w:rPr>
              <w:tab/>
              <w:t>Det skal tilstræbes at fjerne og/eller vikle eventuelle fremmedlegemer ud af havskildpadden såsom plastikgenstande, net eller indlejrede kroge osv.</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3.</w:t>
            </w:r>
            <w:r w:rsidRPr="004F62DE">
              <w:rPr>
                <w:b/>
                <w:i/>
              </w:rPr>
              <w:tab/>
              <w:t>Placering af havskildpadden på dens bugskjold (plastron), så havskildpadden vender den rigtige side opad, sikkert isoleret og ikke kan bevæge sig på en polstret overflade såsom et bildæk uden fælg, en bådpude eller rulle reb. Det primære formål med den polstrede overflade er at hæve havskildpadden fra dækket som hjælp til at fastholde den. Løft bagpartiet mindst 15 cm i en periode på fire til 24 timer. Højden afhænger af skildpaddens størrelse; større havskildpadder skal løftes højere. Bevæg med jævne mellemrum havskildpadden forsigtigt fra venstre mod højre og fra højre mod venstre ved at holde den ydre kant af skjoldet (rygskjoldet) og løfte den ene side omkring 8 cm og derefter skifte til den anden side. Rør forsigtigt ved øjet, og klem jævnligt halen (refleks-test) for at se, om der er en reaktion.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4.</w:t>
            </w:r>
            <w:r w:rsidRPr="004F62DE">
              <w:rPr>
                <w:b/>
                <w:i/>
              </w:rPr>
              <w:tab/>
              <w:t>Havskildpadder, der genoplives, skal være i skyggen og holdes vædede eller fugtige, men må under ingen omstændigheder placeres i en beholder med vand. Et vådt håndklæde placeret over hovedet, rygskjoldet og lufferne er den mest effektive metode til at holde en havskildpadde fugtig.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5.</w:t>
            </w:r>
            <w:r w:rsidRPr="004F62DE">
              <w:rPr>
                <w:b/>
                <w:i/>
              </w:rPr>
              <w:tab/>
              <w:t>Havskildpadder, der genoplives og bliver aktive, må kun genudsættes over bådens agterstavn, når fiskeredskaberne ikke er i brug (dvs. ikke aktivt sat eller indhalet), når motorens redskaber er i neutral position, og i områder, hvor det er usandsynligt, at de bliver fanget eller skadet af fartøjer.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6.</w:t>
            </w:r>
            <w:r w:rsidRPr="004F62DE">
              <w:rPr>
                <w:b/>
                <w:i/>
              </w:rPr>
              <w:tab/>
              <w:t>Havskildpadder, der ikke reagerer på refleksprøven eller undlader at bevæge sig inden for fire timer (op til 24, hvis det er muligt), skal returneres til vandet på samme måde som havskildpadder, der bevæger sig aktivt."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85</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Bilag</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Bilag XV a (nyt)</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Bilag XVa</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Procedure for forsegling af transportbure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Inden de anvendes på et notfartøj, et faststående tunfiskenet eller en bugserbåd, skal den udbyder, der er ansvarlig for procedurereglerne, forsyne hver af de regionale ICCAT-observatører, som de er ansvarlige for, med mindst 25 ICCAT-segl, og føre en fortegnelse over de segl, der leveres og anvendes.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Føreren af fangstfartøjet eller bugserbåden eller dets repræsentant eller repræsentanten for et akvakulturbrug eller faststående tunfiskenet, som en overførsel stammer fra, er ansvarlig for at forsegle burene. Til dette formål skal der anbringes mindst tre forseglinger, der skal være placeret på en sådan måde, at de forhindrer åbning af låger uden at bryde forseglingen, på hver burlåge.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Forseglingsoperationen skal være videooptaget af føreren af fangstfartøjet eller bugserbåden eller dets repræsentant eller repræsentanten for et akvakulturbrug eller et faststående tunfiskenet, som en overførsel stammer fra, og skal gøre det muligt at genkende forseglingerne og kontrollere, at forseglingerne er korrekt placeret. Videoen skal overholde stk. 1, litra a)-c), i bilag X. De pågældende videooptagelser skal ledsage fiskene op til bestemmelsesbruget. En kopi skal opbevares om bord på det eller de donerende fartøjer eller det eller de faststående tunfiskenet og forblive tilgængelig til kontrolformål til enhver tid under fiskerikampagnen. En kopi af videooptagelserne stilles til rådighed for den regionale ICCAT-observatør om bord på notfartøjet eller på det faststående tunfiskenet eller for den nationale observatør på den modtagende bugserbåd med henblik på fremsendelse til den kompetente myndighed i CPC eller den regionale observatør, der er til stede ved den efterfølgende kontroloverførsel.</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Videooptagelserne af den efterfølgende kontroloverførsel skal omfatte bruddet af forseglingen, som skal udføres på en sådan måde, at forseglingerne kan genkendes, og det kan kontrolleres, at forseglingerne ikke er blevet manipuleret.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86</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Bilag</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Bilag XV b (nyt)</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Bilag XVb</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Skabelon til forarbejdnings- og høsterklæring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Forarbejdning/høst (sæt ring om én af dem)</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Høstdato (dd/mm/åååå): / /</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Akvakulturbrug/faststående tunfiskenet (sæt ring om én af dem)</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 xml:space="preserve">Akvakulturbrugsnummer eller </w:t>
            </w:r>
            <w:r w:rsidRPr="004F62DE">
              <w:rPr>
                <w:b/>
                <w:i/>
              </w:rPr>
              <w:noBreakHyphen/>
              <w:t>numre: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Antal høstede individer: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Levende vægt i kg af den høstede almindelige tun: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Forarbejdet vægt i kg af den høstede almindelige tun: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 xml:space="preserve">eBCD-nummer eller </w:t>
            </w:r>
            <w:r w:rsidRPr="004F62DE">
              <w:rPr>
                <w:b/>
                <w:i/>
              </w:rPr>
              <w:noBreakHyphen/>
              <w:t>numre i forbindelse med den høstede almindelige tun: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Oplysninger om hjælpefartøjer, der er involveret i operationen: Navn: Flag: ICCAT-registreringsnummer: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Den høstede tuns bestemmelsessted (eksport, lokalt marked eller andet) (sæt ring om én af dem), i tilfælde af andet, angiv venligst: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Validering foretaget af den regionale ICCAT-observatør eller CPC-observatøren, alt efter hvad der er relevant: Observatør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Navn:</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ICCAT-nr.: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Underskrift: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r w:rsidRPr="004F62DE">
        <w:rPr>
          <w:rStyle w:val="HideTWBExt"/>
          <w:noProof w:val="0"/>
        </w:rPr>
        <w:t>&lt;/Amend&gt;</w:t>
      </w:r>
    </w:p>
    <w:p w:rsidR="0049599D" w:rsidRPr="004F62DE" w:rsidRDefault="00F37C81" w:rsidP="0049599D">
      <w:pPr>
        <w:pStyle w:val="AMNumberTabs0"/>
        <w:keepNext/>
      </w:pPr>
      <w:r w:rsidRPr="004F62DE">
        <w:rPr>
          <w:rStyle w:val="HideTWBExt"/>
          <w:b w:val="0"/>
          <w:noProof w:val="0"/>
        </w:rPr>
        <w:t>&lt;Amend&gt;</w:t>
      </w:r>
      <w:r w:rsidRPr="004F62DE">
        <w:t>Ændringsforslag</w:t>
      </w:r>
      <w:r w:rsidRPr="004F62DE">
        <w:tab/>
      </w:r>
      <w:r w:rsidRPr="004F62DE">
        <w:tab/>
      </w:r>
      <w:r w:rsidRPr="004F62DE">
        <w:rPr>
          <w:rStyle w:val="HideTWBExt"/>
          <w:b w:val="0"/>
          <w:noProof w:val="0"/>
        </w:rPr>
        <w:t>&lt;NumAm&gt;</w:t>
      </w:r>
      <w:r w:rsidRPr="004F62DE">
        <w:t>87</w:t>
      </w:r>
      <w:r w:rsidRPr="004F62DE">
        <w:rPr>
          <w:rStyle w:val="HideTWBExt"/>
          <w:b w:val="0"/>
          <w:noProof w:val="0"/>
        </w:rPr>
        <w:t>&lt;/NumAm&gt;</w:t>
      </w:r>
    </w:p>
    <w:p w:rsidR="0049599D" w:rsidRPr="004F62DE" w:rsidRDefault="00F37C81" w:rsidP="0049599D">
      <w:pPr>
        <w:pStyle w:val="NormalBold12b"/>
        <w:keepNext/>
      </w:pPr>
      <w:r w:rsidRPr="004F62DE">
        <w:rPr>
          <w:rStyle w:val="HideTWBExt"/>
          <w:b w:val="0"/>
          <w:noProof w:val="0"/>
        </w:rPr>
        <w:t>&lt;DocAmend&gt;</w:t>
      </w:r>
      <w:r w:rsidRPr="004F62DE">
        <w:t>Forslag til forordning</w:t>
      </w:r>
      <w:r w:rsidRPr="004F62DE">
        <w:rPr>
          <w:rStyle w:val="HideTWBExt"/>
          <w:b w:val="0"/>
          <w:noProof w:val="0"/>
        </w:rPr>
        <w:t>&lt;/DocAmend&gt;</w:t>
      </w:r>
    </w:p>
    <w:p w:rsidR="0049599D" w:rsidRPr="004F62DE" w:rsidRDefault="00F37C81" w:rsidP="0049599D">
      <w:pPr>
        <w:pStyle w:val="NormalBold"/>
      </w:pPr>
      <w:r w:rsidRPr="004F62DE">
        <w:rPr>
          <w:rStyle w:val="HideTWBExt"/>
          <w:b w:val="0"/>
          <w:noProof w:val="0"/>
        </w:rPr>
        <w:t>&lt;Article&gt;</w:t>
      </w:r>
      <w:r w:rsidRPr="004F62DE">
        <w:t>Bilag</w:t>
      </w:r>
      <w:r w:rsidRPr="004F62DE">
        <w:rPr>
          <w:rStyle w:val="HideTWBExt"/>
          <w:b w:val="0"/>
          <w:noProof w:val="0"/>
        </w:rPr>
        <w:t>&lt;/Article&gt;</w:t>
      </w:r>
    </w:p>
    <w:p w:rsidR="0049599D" w:rsidRPr="004F62DE" w:rsidRDefault="00F37C81" w:rsidP="0049599D">
      <w:pPr>
        <w:keepNext/>
      </w:pPr>
      <w:r w:rsidRPr="004F62DE">
        <w:rPr>
          <w:rStyle w:val="HideTWBExt"/>
          <w:noProof w:val="0"/>
        </w:rPr>
        <w:t>&lt;DocAmend2&gt;</w:t>
      </w:r>
      <w:r w:rsidRPr="004F62DE">
        <w:t>Forordning (EU) XX/2023</w:t>
      </w:r>
      <w:r w:rsidRPr="004F62DE">
        <w:rPr>
          <w:rStyle w:val="HideTWBExt"/>
          <w:noProof w:val="0"/>
        </w:rPr>
        <w:t>&lt;/DocAmend2&gt;</w:t>
      </w:r>
    </w:p>
    <w:p w:rsidR="0049599D" w:rsidRPr="004F62DE" w:rsidRDefault="00F37C81" w:rsidP="0049599D">
      <w:r w:rsidRPr="004F62DE">
        <w:rPr>
          <w:rStyle w:val="HideTWBExt"/>
          <w:noProof w:val="0"/>
        </w:rPr>
        <w:t>&lt;Article2&gt;</w:t>
      </w:r>
      <w:r w:rsidRPr="004F62DE">
        <w:t>Bilag XV c (nyt)</w:t>
      </w:r>
      <w:r w:rsidRPr="004F62D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1BC4" w:rsidRPr="004F62DE" w:rsidTr="004B110E">
        <w:trPr>
          <w:jc w:val="center"/>
        </w:trPr>
        <w:tc>
          <w:tcPr>
            <w:tcW w:w="9752" w:type="dxa"/>
            <w:gridSpan w:val="2"/>
          </w:tcPr>
          <w:p w:rsidR="0049599D" w:rsidRPr="004F62DE" w:rsidRDefault="0049599D" w:rsidP="004B110E">
            <w:pPr>
              <w:keepNext/>
            </w:pPr>
          </w:p>
        </w:tc>
      </w:tr>
      <w:tr w:rsidR="00781BC4" w:rsidRPr="004F62DE" w:rsidTr="004B110E">
        <w:trPr>
          <w:jc w:val="center"/>
        </w:trPr>
        <w:tc>
          <w:tcPr>
            <w:tcW w:w="4876" w:type="dxa"/>
          </w:tcPr>
          <w:p w:rsidR="0049599D" w:rsidRPr="004F62DE" w:rsidRDefault="00F37C81" w:rsidP="004B110E">
            <w:pPr>
              <w:pStyle w:val="ColumnHeading"/>
              <w:keepNext/>
            </w:pPr>
            <w:r w:rsidRPr="004F62DE">
              <w:t>Nuværende ordlyd</w:t>
            </w:r>
          </w:p>
        </w:tc>
        <w:tc>
          <w:tcPr>
            <w:tcW w:w="4876" w:type="dxa"/>
          </w:tcPr>
          <w:p w:rsidR="0049599D" w:rsidRPr="004F62DE" w:rsidRDefault="00F37C81" w:rsidP="004B110E">
            <w:pPr>
              <w:pStyle w:val="ColumnHeading"/>
              <w:keepNext/>
            </w:pPr>
            <w:r w:rsidRPr="004F62DE">
              <w:t>Ændringsforslag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Bilag XVc</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Oplysninger, der skal angives i den årlige overførselserklæring</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a)</w:t>
            </w:r>
            <w:r w:rsidRPr="004F62DE">
              <w:rPr>
                <w:b/>
                <w:i/>
              </w:rPr>
              <w:tab/>
              <w:t>flagmedlemsstater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b)</w:t>
            </w:r>
            <w:r w:rsidRPr="004F62DE">
              <w:rPr>
                <w:b/>
                <w:i/>
              </w:rPr>
              <w:tab/>
              <w:t>akvakulturbrugets navn og ICCAT-nummer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c)</w:t>
            </w:r>
            <w:r w:rsidRPr="004F62DE">
              <w:rPr>
                <w:b/>
                <w:i/>
              </w:rPr>
              <w:tab/>
              <w:t>fangstår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d)</w:t>
            </w:r>
            <w:r w:rsidRPr="004F62DE">
              <w:rPr>
                <w:b/>
                <w:i/>
              </w:rPr>
              <w:tab/>
              <w:t>henvisninger til det eBCD, som svarer til de fangster, der overføres</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e)</w:t>
            </w:r>
            <w:r w:rsidRPr="004F62DE">
              <w:rPr>
                <w:b/>
                <w:i/>
              </w:rPr>
              <w:tab/>
              <w:t>burnummer</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f)</w:t>
            </w:r>
            <w:r w:rsidRPr="004F62DE">
              <w:rPr>
                <w:b/>
                <w:i/>
              </w:rPr>
              <w:tab/>
              <w:t>mængde (i kg) og antal fisk, der er overført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g)</w:t>
            </w:r>
            <w:r w:rsidRPr="004F62DE">
              <w:rPr>
                <w:b/>
                <w:i/>
              </w:rPr>
              <w:tab/>
              <w:t>gennemsnitsvægt</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h)</w:t>
            </w:r>
            <w:r w:rsidRPr="004F62DE">
              <w:rPr>
                <w:b/>
                <w:i/>
              </w:rPr>
              <w:tab/>
              <w:t>oplysninger om hver af overførselsvurderingsoperationerne: dato og burnumre</w:t>
            </w:r>
          </w:p>
        </w:tc>
      </w:tr>
      <w:tr w:rsidR="00781BC4" w:rsidRPr="004F62DE" w:rsidTr="004B110E">
        <w:trPr>
          <w:jc w:val="center"/>
        </w:trPr>
        <w:tc>
          <w:tcPr>
            <w:tcW w:w="4876" w:type="dxa"/>
          </w:tcPr>
          <w:p w:rsidR="0049599D" w:rsidRPr="004F62DE" w:rsidRDefault="0049599D" w:rsidP="004B110E">
            <w:pPr>
              <w:pStyle w:val="Normal6"/>
            </w:pPr>
          </w:p>
        </w:tc>
        <w:tc>
          <w:tcPr>
            <w:tcW w:w="4876" w:type="dxa"/>
          </w:tcPr>
          <w:p w:rsidR="0049599D" w:rsidRPr="004F62DE" w:rsidRDefault="00F37C81" w:rsidP="004B110E">
            <w:pPr>
              <w:pStyle w:val="Normal6"/>
              <w:rPr>
                <w:szCs w:val="24"/>
              </w:rPr>
            </w:pPr>
            <w:r w:rsidRPr="004F62DE">
              <w:rPr>
                <w:b/>
                <w:i/>
              </w:rPr>
              <w:t>i)</w:t>
            </w:r>
            <w:r w:rsidRPr="004F62DE">
              <w:rPr>
                <w:b/>
                <w:i/>
              </w:rPr>
              <w:tab/>
              <w:t>oplysninger om tidligere overførsler inden for akvakulturbruget, hvor det er relevant.</w:t>
            </w:r>
          </w:p>
        </w:tc>
      </w:tr>
    </w:tbl>
    <w:p w:rsidR="0049599D" w:rsidRPr="004F62DE" w:rsidRDefault="00F37C81" w:rsidP="0049599D">
      <w:pPr>
        <w:pStyle w:val="Olang"/>
        <w:rPr>
          <w:noProof w:val="0"/>
        </w:rPr>
      </w:pPr>
      <w:r w:rsidRPr="004F62DE">
        <w:rPr>
          <w:noProof w:val="0"/>
        </w:rPr>
        <w:t xml:space="preserve">Or. </w:t>
      </w:r>
      <w:r w:rsidRPr="004F62DE">
        <w:rPr>
          <w:rStyle w:val="HideTWBExt"/>
          <w:noProof w:val="0"/>
        </w:rPr>
        <w:t>&lt;Original&gt;</w:t>
      </w:r>
      <w:r w:rsidRPr="004F62DE">
        <w:rPr>
          <w:rStyle w:val="HideTWBInt"/>
          <w:noProof w:val="0"/>
        </w:rPr>
        <w:t>{EN}</w:t>
      </w:r>
      <w:r w:rsidRPr="004F62DE">
        <w:rPr>
          <w:noProof w:val="0"/>
        </w:rPr>
        <w:t>en</w:t>
      </w:r>
      <w:r w:rsidRPr="004F62DE">
        <w:rPr>
          <w:rStyle w:val="HideTWBExt"/>
          <w:noProof w:val="0"/>
        </w:rPr>
        <w:t>&lt;/Original&gt;</w:t>
      </w:r>
    </w:p>
    <w:p w:rsidR="0049599D" w:rsidRPr="004F62DE" w:rsidRDefault="00F37C81" w:rsidP="0049599D">
      <w:r w:rsidRPr="004F62DE">
        <w:rPr>
          <w:rStyle w:val="HideTWBExt"/>
          <w:noProof w:val="0"/>
        </w:rPr>
        <w:t>&lt;/Amend&gt;&lt;/RepeatBlock-Amend&gt;</w:t>
      </w:r>
    </w:p>
    <w:p w:rsidR="0049599D" w:rsidRPr="004F62DE" w:rsidRDefault="0049599D" w:rsidP="0049599D"/>
    <w:p w:rsidR="0049599D" w:rsidRPr="004F62DE" w:rsidRDefault="0049599D" w:rsidP="0049599D"/>
    <w:p w:rsidR="0049599D" w:rsidRPr="004F62DE" w:rsidRDefault="00F37C81" w:rsidP="0049599D">
      <w:pPr>
        <w:widowControl/>
      </w:pPr>
      <w:r w:rsidRPr="004F62DE">
        <w:br w:type="page"/>
      </w:r>
    </w:p>
    <w:p w:rsidR="0049599D" w:rsidRPr="004F62DE" w:rsidRDefault="00F37C81" w:rsidP="0049599D">
      <w:pPr>
        <w:pStyle w:val="PageHeading"/>
      </w:pPr>
      <w:bookmarkStart w:id="1" w:name="_Toc144908667"/>
      <w:r w:rsidRPr="004F62DE">
        <w:t>BEGRUNDELSE</w:t>
      </w:r>
      <w:bookmarkEnd w:id="1"/>
    </w:p>
    <w:p w:rsidR="0049599D" w:rsidRPr="004F62DE" w:rsidRDefault="00F37C81" w:rsidP="003F6008">
      <w:pPr>
        <w:tabs>
          <w:tab w:val="left" w:pos="3855"/>
        </w:tabs>
        <w:spacing w:after="240"/>
        <w:rPr>
          <w:b/>
        </w:rPr>
      </w:pPr>
      <w:r w:rsidRPr="004F62DE">
        <w:rPr>
          <w:b/>
        </w:rPr>
        <w:t>BAGGRUNDSNOTAT</w:t>
      </w:r>
    </w:p>
    <w:p w:rsidR="0049599D" w:rsidRPr="004F62DE" w:rsidRDefault="00F37C81" w:rsidP="003F6008">
      <w:pPr>
        <w:pStyle w:val="Normal1"/>
        <w:shd w:val="clear" w:color="auto" w:fill="FFFFFF"/>
        <w:spacing w:before="0" w:beforeAutospacing="0" w:after="240" w:afterAutospacing="0"/>
        <w:textAlignment w:val="baseline"/>
        <w:rPr>
          <w:color w:val="000000"/>
          <w:bdr w:val="none" w:sz="0" w:space="0" w:color="auto" w:frame="1"/>
        </w:rPr>
      </w:pPr>
      <w:r w:rsidRPr="004F62DE">
        <w:rPr>
          <w:color w:val="000000"/>
          <w:bdr w:val="none" w:sz="0" w:space="0" w:color="auto" w:frame="1"/>
        </w:rPr>
        <w:t>ICCAT-konventionen fastsætter rammer for det regionale samarbejde om bevarelse og forvaltning af tun og tunlignende arter i Atlanterhavet og de tilstødende havområder gennem oprettelse af Den Internationale Kommission for Bevarelse af Tunfiskebestanden i Atlanterhavet (i det følgende benævnt "ICCAT").</w:t>
      </w:r>
    </w:p>
    <w:p w:rsidR="0049599D" w:rsidRPr="004F62DE" w:rsidRDefault="00F37C81" w:rsidP="003F6008">
      <w:pPr>
        <w:pStyle w:val="Normal1"/>
        <w:shd w:val="clear" w:color="auto" w:fill="FFFFFF"/>
        <w:spacing w:before="0" w:beforeAutospacing="0" w:after="240" w:afterAutospacing="0"/>
        <w:textAlignment w:val="baseline"/>
        <w:rPr>
          <w:color w:val="000000"/>
          <w:bdr w:val="none" w:sz="0" w:space="0" w:color="auto" w:frame="1"/>
        </w:rPr>
      </w:pPr>
      <w:r w:rsidRPr="004F62DE">
        <w:rPr>
          <w:color w:val="000000"/>
          <w:bdr w:val="none" w:sz="0" w:space="0" w:color="auto" w:frame="1"/>
        </w:rPr>
        <w:t xml:space="preserve">Den fælles fiskeripolitik som fastsat i </w:t>
      </w:r>
      <w:hyperlink r:id="rId9" w:history="1">
        <w:r w:rsidRPr="004F62DE">
          <w:rPr>
            <w:rStyle w:val="Hyperlink"/>
            <w:color w:val="000000"/>
            <w:bdr w:val="none" w:sz="0" w:space="0" w:color="auto" w:frame="1"/>
          </w:rPr>
          <w:t>Europa-Parlamentets og Rådets forordning (EU) nr. 1380/2013</w:t>
        </w:r>
      </w:hyperlink>
      <w:r w:rsidRPr="004F62DE">
        <w:rPr>
          <w:color w:val="000000"/>
          <w:bdr w:val="none" w:sz="0" w:space="0" w:color="auto" w:frame="1"/>
        </w:rPr>
        <w:t xml:space="preserve"> har til målsætning at sikre, at havets biologiske ressourcer udnyttes på en miljømæssigt, økonomisk og socialt bæredygtig måde på lang sigt. Den Europæiske Union har været kontraherende part i den internationale konvention om bevarelse af tunfiskebestanden i Atlanterhavet (i det følgende benævnt "ICCAT-konventionen") siden den 14. november 1997.</w:t>
      </w:r>
    </w:p>
    <w:p w:rsidR="0049599D" w:rsidRPr="004F62DE" w:rsidRDefault="00F37C81" w:rsidP="003F6008">
      <w:pPr>
        <w:pStyle w:val="Normal1"/>
        <w:shd w:val="clear" w:color="auto" w:fill="FFFFFF"/>
        <w:spacing w:before="0" w:beforeAutospacing="0" w:after="240" w:afterAutospacing="0"/>
        <w:textAlignment w:val="baseline"/>
        <w:rPr>
          <w:color w:val="000000"/>
          <w:bdr w:val="none" w:sz="0" w:space="0" w:color="auto" w:frame="1"/>
        </w:rPr>
      </w:pPr>
      <w:r w:rsidRPr="004F62DE">
        <w:rPr>
          <w:color w:val="000000"/>
          <w:bdr w:val="none" w:sz="0" w:space="0" w:color="auto" w:frame="1"/>
        </w:rPr>
        <w:t>ICCAT har beføjelse til at vedtage bindende henstillinger med henblik på bevarelsen og forvaltningen af det fiskeri, der hører under organisationens kompetenceområde. Disse henstillinger er hovedsagelig er rettet til de kontraherende parter i ICCAT, men indeholder også forpligtelser for private operatører (f.eks. fartøjsførere). ICCAT's henstillinger træder i kraft seks måneder efter vedtagelsen og skal, for EU's vedkommende, gennemføres i EU-lovgivningen.</w:t>
      </w:r>
    </w:p>
    <w:p w:rsidR="0049599D" w:rsidRPr="004F62DE" w:rsidRDefault="00F37C81" w:rsidP="003F6008">
      <w:pPr>
        <w:pStyle w:val="Normal1"/>
        <w:shd w:val="clear" w:color="auto" w:fill="FFFFFF"/>
        <w:spacing w:before="0" w:beforeAutospacing="0" w:after="240" w:afterAutospacing="0"/>
        <w:textAlignment w:val="baseline"/>
        <w:rPr>
          <w:b/>
          <w:color w:val="000000"/>
          <w:bdr w:val="none" w:sz="0" w:space="0" w:color="auto" w:frame="1"/>
        </w:rPr>
      </w:pPr>
      <w:r w:rsidRPr="004F62DE">
        <w:rPr>
          <w:b/>
          <w:color w:val="000000"/>
          <w:bdr w:val="none" w:sz="0" w:space="0" w:color="auto" w:frame="1"/>
        </w:rPr>
        <w:t xml:space="preserve">FORSLAGETS INDHOLD </w:t>
      </w:r>
    </w:p>
    <w:p w:rsidR="0049599D" w:rsidRPr="004F62DE" w:rsidRDefault="00F37C81" w:rsidP="00F37C81">
      <w:pPr>
        <w:pStyle w:val="Normal1"/>
        <w:shd w:val="clear" w:color="auto" w:fill="FFFFFF"/>
        <w:spacing w:before="0" w:beforeAutospacing="0" w:after="120" w:afterAutospacing="0"/>
        <w:textAlignment w:val="baseline"/>
        <w:rPr>
          <w:color w:val="000000"/>
          <w:bdr w:val="none" w:sz="0" w:space="0" w:color="auto" w:frame="1"/>
        </w:rPr>
      </w:pPr>
      <w:r w:rsidRPr="004F62DE">
        <w:rPr>
          <w:color w:val="000000"/>
          <w:bdr w:val="none" w:sz="0" w:space="0" w:color="auto" w:frame="1"/>
        </w:rPr>
        <w:t xml:space="preserve">Forslaget vedrører et antal bestemmelser, som omfatter ICCAT's henstillinger, der ændrer forordning (EU) 2017/2107, herunder: </w:t>
      </w:r>
    </w:p>
    <w:p w:rsidR="0049599D" w:rsidRPr="004F62DE" w:rsidRDefault="00F37C81" w:rsidP="00F37C81">
      <w:pPr>
        <w:pStyle w:val="Normal1"/>
        <w:shd w:val="clear" w:color="auto" w:fill="FFFFFF"/>
        <w:spacing w:before="0" w:beforeAutospacing="0" w:after="120" w:afterAutospacing="0"/>
        <w:ind w:left="720" w:hanging="360"/>
        <w:textAlignment w:val="baseline"/>
        <w:rPr>
          <w:color w:val="000000"/>
          <w:bdr w:val="none" w:sz="0" w:space="0" w:color="auto" w:frame="1"/>
        </w:rPr>
      </w:pPr>
      <w:r w:rsidRPr="004F62DE">
        <w:rPr>
          <w:color w:val="000000"/>
          <w:bdr w:val="none" w:sz="0" w:space="0" w:color="auto" w:frame="1"/>
        </w:rPr>
        <w:sym w:font="Symbol" w:char="F0B7"/>
      </w:r>
      <w:r w:rsidRPr="004F62DE">
        <w:rPr>
          <w:color w:val="000000"/>
          <w:bdr w:val="none" w:sz="0" w:space="0" w:color="auto" w:frame="1"/>
        </w:rPr>
        <w:tab/>
        <w:t xml:space="preserve">definitioner af hjælpefartøjer og anordninger til tiltrækning af fisk (FAD'er), sæt i forbindelse med en FAD, flydende genstand og bøje i drift i henhold til ICCAT-henstilling 19-02 </w:t>
      </w:r>
    </w:p>
    <w:p w:rsidR="0049599D" w:rsidRPr="004F62DE" w:rsidRDefault="00F37C81" w:rsidP="00F37C81">
      <w:pPr>
        <w:pStyle w:val="Normal1"/>
        <w:shd w:val="clear" w:color="auto" w:fill="FFFFFF"/>
        <w:spacing w:before="0" w:beforeAutospacing="0" w:after="120" w:afterAutospacing="0"/>
        <w:ind w:left="720" w:hanging="360"/>
        <w:textAlignment w:val="baseline"/>
        <w:rPr>
          <w:color w:val="000000"/>
          <w:bdr w:val="none" w:sz="0" w:space="0" w:color="auto" w:frame="1"/>
        </w:rPr>
      </w:pPr>
      <w:r w:rsidRPr="004F62DE">
        <w:rPr>
          <w:color w:val="000000"/>
          <w:bdr w:val="none" w:sz="0" w:space="0" w:color="auto" w:frame="1"/>
        </w:rPr>
        <w:sym w:font="Symbol" w:char="F0B7"/>
      </w:r>
      <w:r w:rsidRPr="004F62DE">
        <w:rPr>
          <w:color w:val="000000"/>
          <w:bdr w:val="none" w:sz="0" w:space="0" w:color="auto" w:frame="1"/>
        </w:rPr>
        <w:tab/>
        <w:t xml:space="preserve">for tropisk tun, kapacitetsbegrænsninger og forbud mod udsmid fra notfartøjer, som skal gennemføres i EU-retten i henhold ICCAT-henstilling 17-01 </w:t>
      </w:r>
    </w:p>
    <w:p w:rsidR="0049599D" w:rsidRPr="004F62DE" w:rsidRDefault="00F37C81" w:rsidP="00F37C81">
      <w:pPr>
        <w:pStyle w:val="Normal1"/>
        <w:shd w:val="clear" w:color="auto" w:fill="FFFFFF"/>
        <w:spacing w:before="0" w:beforeAutospacing="0" w:after="120" w:afterAutospacing="0"/>
        <w:ind w:left="720" w:hanging="360"/>
        <w:textAlignment w:val="baseline"/>
        <w:rPr>
          <w:color w:val="000000"/>
          <w:bdr w:val="none" w:sz="0" w:space="0" w:color="auto" w:frame="1"/>
        </w:rPr>
      </w:pPr>
      <w:r w:rsidRPr="004F62DE">
        <w:rPr>
          <w:color w:val="000000"/>
          <w:bdr w:val="none" w:sz="0" w:space="0" w:color="auto" w:frame="1"/>
        </w:rPr>
        <w:sym w:font="Symbol" w:char="F0B7"/>
      </w:r>
      <w:r w:rsidRPr="004F62DE">
        <w:rPr>
          <w:color w:val="000000"/>
          <w:bdr w:val="none" w:sz="0" w:space="0" w:color="auto" w:frame="1"/>
        </w:rPr>
        <w:tab/>
        <w:t xml:space="preserve">nye bestemmelser for udsætningen af FAD'er og observatørdækning i henhold til ICCAT-henstilling 19-02 </w:t>
      </w:r>
    </w:p>
    <w:p w:rsidR="0049599D" w:rsidRPr="004F62DE" w:rsidRDefault="00F37C81" w:rsidP="00F37C81">
      <w:pPr>
        <w:pStyle w:val="Normal1"/>
        <w:shd w:val="clear" w:color="auto" w:fill="FFFFFF"/>
        <w:spacing w:before="0" w:beforeAutospacing="0" w:after="120" w:afterAutospacing="0"/>
        <w:ind w:left="720" w:hanging="360"/>
        <w:textAlignment w:val="baseline"/>
        <w:rPr>
          <w:color w:val="000000"/>
          <w:bdr w:val="none" w:sz="0" w:space="0" w:color="auto" w:frame="1"/>
        </w:rPr>
      </w:pPr>
      <w:r w:rsidRPr="004F62DE">
        <w:rPr>
          <w:color w:val="000000"/>
          <w:bdr w:val="none" w:sz="0" w:space="0" w:color="auto" w:frame="1"/>
        </w:rPr>
        <w:sym w:font="Symbol" w:char="F0B7"/>
      </w:r>
      <w:r w:rsidRPr="004F62DE">
        <w:rPr>
          <w:color w:val="000000"/>
          <w:bdr w:val="none" w:sz="0" w:space="0" w:color="auto" w:frame="1"/>
        </w:rPr>
        <w:tab/>
        <w:t xml:space="preserve">bestemmelser vedrørende nord- og sydatlantisk hvid tun i henhold til ICCAT-henstilling 16-06 og 16-07, herunder bestemmelser om overførsel samt en overførsel for nord- og sydatlantisk sværdfisk i henhold til ICCAT-henstilling 17-02 og 17-03 </w:t>
      </w:r>
    </w:p>
    <w:p w:rsidR="0049599D" w:rsidRPr="004F62DE" w:rsidRDefault="00F37C81" w:rsidP="00F37C81">
      <w:pPr>
        <w:pStyle w:val="Normal1"/>
        <w:shd w:val="clear" w:color="auto" w:fill="FFFFFF"/>
        <w:spacing w:before="0" w:beforeAutospacing="0" w:after="120" w:afterAutospacing="0"/>
        <w:ind w:left="720" w:hanging="360"/>
        <w:textAlignment w:val="baseline"/>
        <w:rPr>
          <w:color w:val="000000"/>
          <w:bdr w:val="none" w:sz="0" w:space="0" w:color="auto" w:frame="1"/>
        </w:rPr>
      </w:pPr>
      <w:r w:rsidRPr="004F62DE">
        <w:rPr>
          <w:color w:val="000000"/>
          <w:bdr w:val="none" w:sz="0" w:space="0" w:color="auto" w:frame="1"/>
        </w:rPr>
        <w:sym w:font="Symbol" w:char="F0B7"/>
      </w:r>
      <w:r w:rsidRPr="004F62DE">
        <w:rPr>
          <w:color w:val="000000"/>
          <w:bdr w:val="none" w:sz="0" w:space="0" w:color="auto" w:frame="1"/>
        </w:rPr>
        <w:tab/>
        <w:t xml:space="preserve">bestemmelser vedrørende indsamling af data om atlantisk sejlfisk, sejlfiskarter og marlinarter i henhold til ICCAT-henstilling 16-11, 18-05 og 19-05 </w:t>
      </w:r>
    </w:p>
    <w:p w:rsidR="0049599D" w:rsidRPr="004F62DE" w:rsidRDefault="00F37C81" w:rsidP="00F37C81">
      <w:pPr>
        <w:pStyle w:val="Normal1"/>
        <w:shd w:val="clear" w:color="auto" w:fill="FFFFFF"/>
        <w:spacing w:before="0" w:beforeAutospacing="0" w:after="120" w:afterAutospacing="0"/>
        <w:ind w:left="720" w:hanging="360"/>
        <w:textAlignment w:val="baseline"/>
        <w:rPr>
          <w:color w:val="000000"/>
        </w:rPr>
      </w:pPr>
      <w:r w:rsidRPr="004F62DE">
        <w:rPr>
          <w:color w:val="000000"/>
        </w:rPr>
        <w:sym w:font="Symbol" w:char="F0B7"/>
      </w:r>
      <w:r w:rsidRPr="004F62DE">
        <w:rPr>
          <w:color w:val="000000"/>
        </w:rPr>
        <w:tab/>
      </w:r>
      <w:r w:rsidRPr="004F62DE">
        <w:rPr>
          <w:color w:val="000000"/>
          <w:bdr w:val="none" w:sz="0" w:space="0" w:color="auto" w:frame="1"/>
        </w:rPr>
        <w:t>og vi) bestemmelser om overførsel for storøjet tun i henhold til ICCAT-henstilling 21-01.</w:t>
      </w:r>
    </w:p>
    <w:p w:rsidR="0049599D" w:rsidRPr="004F62DE" w:rsidRDefault="00F37C81" w:rsidP="00F37C81">
      <w:pPr>
        <w:pStyle w:val="Normal1"/>
        <w:shd w:val="clear" w:color="auto" w:fill="FFFFFF"/>
        <w:spacing w:before="0" w:beforeAutospacing="0" w:after="120" w:afterAutospacing="0"/>
        <w:ind w:left="720" w:hanging="360"/>
        <w:textAlignment w:val="baseline"/>
        <w:rPr>
          <w:color w:val="000000"/>
          <w:bdr w:val="none" w:sz="0" w:space="0" w:color="auto" w:frame="1"/>
        </w:rPr>
      </w:pPr>
      <w:r w:rsidRPr="004F62DE">
        <w:rPr>
          <w:color w:val="000000"/>
          <w:bdr w:val="none" w:sz="0" w:space="0" w:color="auto" w:frame="1"/>
        </w:rPr>
        <w:sym w:font="Symbol" w:char="F0B7"/>
      </w:r>
      <w:r w:rsidRPr="004F62DE">
        <w:rPr>
          <w:color w:val="000000"/>
          <w:bdr w:val="none" w:sz="0" w:space="0" w:color="auto" w:frame="1"/>
        </w:rPr>
        <w:tab/>
        <w:t>For så vidt angår hajer, indeholder forslaget ajourførte bestemmelser vedrørende indsamling af data om kortfinnet makohaj og andre hajer i henhold til ICCAT-henstilling 19-06, 19-07 og 19-08. Desuden indeholder forslaget, i henhold til ICCAT's henstillinger (16-14, 16-15, 18-10 og 19-10), bestemmelser vedrørende hyppigheden af fremsendelse af data for notfartøjer, nye bestemmelser vedrørende ICCAT's register over transportfartøjer og medlemsstaternes forpligtelser til medtage observatører inden for rammerne af ICCAT's regionale observatørprogram, herunder minimumsobservatørdækning.</w:t>
      </w:r>
    </w:p>
    <w:p w:rsidR="0049599D" w:rsidRPr="004F62DE" w:rsidRDefault="00F37C81" w:rsidP="00F37C81">
      <w:pPr>
        <w:pStyle w:val="Normal1"/>
        <w:shd w:val="clear" w:color="auto" w:fill="FFFFFF"/>
        <w:spacing w:before="0" w:beforeAutospacing="0" w:after="120" w:afterAutospacing="0"/>
        <w:ind w:left="720" w:hanging="360"/>
        <w:textAlignment w:val="baseline"/>
        <w:rPr>
          <w:color w:val="000000"/>
          <w:bdr w:val="none" w:sz="0" w:space="0" w:color="auto" w:frame="1"/>
        </w:rPr>
      </w:pPr>
      <w:r w:rsidRPr="004F62DE">
        <w:rPr>
          <w:color w:val="000000"/>
          <w:bdr w:val="none" w:sz="0" w:space="0" w:color="auto" w:frame="1"/>
        </w:rPr>
        <w:sym w:font="Symbol" w:char="F0B7"/>
      </w:r>
      <w:r w:rsidRPr="004F62DE">
        <w:rPr>
          <w:color w:val="000000"/>
          <w:bdr w:val="none" w:sz="0" w:space="0" w:color="auto" w:frame="1"/>
        </w:rPr>
        <w:tab/>
        <w:t>ICCAT-henstilling 19-02 vedrørende videnskabelige observatørers ansvar kræver en ajourføring af forordning (EU) 2017/2107, herunder når det drejer sig om observatørdækning.</w:t>
      </w:r>
    </w:p>
    <w:p w:rsidR="0049599D" w:rsidRPr="004F62DE" w:rsidRDefault="00F37C81" w:rsidP="003F6008">
      <w:pPr>
        <w:pStyle w:val="Normal1"/>
        <w:shd w:val="clear" w:color="auto" w:fill="FFFFFF"/>
        <w:spacing w:before="0" w:beforeAutospacing="0" w:after="240" w:afterAutospacing="0"/>
        <w:ind w:left="720" w:hanging="360"/>
        <w:textAlignment w:val="baseline"/>
        <w:rPr>
          <w:color w:val="000000"/>
          <w:bdr w:val="none" w:sz="0" w:space="0" w:color="auto" w:frame="1"/>
        </w:rPr>
      </w:pPr>
      <w:r w:rsidRPr="004F62DE">
        <w:rPr>
          <w:color w:val="000000"/>
          <w:bdr w:val="none" w:sz="0" w:space="0" w:color="auto" w:frame="1"/>
        </w:rPr>
        <w:sym w:font="Symbol" w:char="F0B7"/>
      </w:r>
      <w:r w:rsidRPr="004F62DE">
        <w:rPr>
          <w:color w:val="000000"/>
          <w:bdr w:val="none" w:sz="0" w:space="0" w:color="auto" w:frame="1"/>
        </w:rPr>
        <w:tab/>
        <w:t>Forslaget vedrører også forpligtelser vedrørende observation af fartøjer i henhold til ICCAT-henstilling 19-09 samt navne på nye arter, som ICCAT forvalter, med henblik på ændring af bilag I til forordning (EU) 2017/2107, i henhold til ICCAT-henstilling 19-01.</w:t>
      </w:r>
    </w:p>
    <w:p w:rsidR="0049599D" w:rsidRPr="004F62DE" w:rsidRDefault="00F37C81" w:rsidP="003F6008">
      <w:pPr>
        <w:pStyle w:val="Normal1"/>
        <w:shd w:val="clear" w:color="auto" w:fill="FFFFFF"/>
        <w:spacing w:before="0" w:beforeAutospacing="0" w:after="240" w:afterAutospacing="0"/>
        <w:textAlignment w:val="baseline"/>
        <w:rPr>
          <w:color w:val="000000"/>
          <w:bdr w:val="none" w:sz="0" w:space="0" w:color="auto" w:frame="1"/>
        </w:rPr>
      </w:pPr>
      <w:r w:rsidRPr="004F62DE">
        <w:rPr>
          <w:color w:val="000000"/>
          <w:bdr w:val="none" w:sz="0" w:space="0" w:color="auto" w:frame="1"/>
        </w:rPr>
        <w:t>Forslaget indeholder også en ændring af forordningen XX/2022 om den flerårige plan for almindelig tun, med medlemsstaternes årlige overførselserklæringer og visse bestemmelse vedrørende anbringelse i bur i henhold til ICCAT-henstilling 06-07 samt årlig overførsel af storøjet tun i henhold til ICCAT-henstilling 21-01.</w:t>
      </w:r>
    </w:p>
    <w:p w:rsidR="0049599D" w:rsidRPr="004F62DE" w:rsidRDefault="00F37C81" w:rsidP="003F6008">
      <w:pPr>
        <w:pStyle w:val="Normal1"/>
        <w:shd w:val="clear" w:color="auto" w:fill="FFFFFF"/>
        <w:spacing w:before="0" w:beforeAutospacing="0" w:after="240" w:afterAutospacing="0"/>
        <w:textAlignment w:val="baseline"/>
        <w:rPr>
          <w:color w:val="000000"/>
          <w:bdr w:val="none" w:sz="0" w:space="0" w:color="auto" w:frame="1"/>
        </w:rPr>
      </w:pPr>
      <w:r w:rsidRPr="004F62DE">
        <w:rPr>
          <w:color w:val="000000"/>
          <w:bdr w:val="none" w:sz="0" w:space="0" w:color="auto" w:frame="1"/>
        </w:rPr>
        <w:t>Desuden indeholder forslaget også en ændring af Kommissionens beføjelser til at ændre forordning (EU) 2017/2107 efter efterfølgende ændringer vedtaget af ICCAT vedrørende: i) kapacitetsbegrænsninger for tropisk tun og rapporteringen om de årlige planer for fiskerikapacitet for arten, ii) årlig kvoteoverførsel for storøjet tun, nord- og sydatlantisk hvid tun og nord- og sydatlantisk sværdfisk, iii) forvaltningsplaner for anordninger til tiltrækning af fisk, iv) antal instrumentbøjer, v) krav vedrørende FAD'er, vi) oplysninger, som fartøjer skal indgive om FAD'er, vii) perioder, hvor FAD'er er forbudt, viii) begrænsning af antallet af fartøjer, der fisker efter nordatlantisk hvid tun, ix) forvaltningsplanen for nordatlantisk sværdfisk, x) betingelser for tilladelse til at fange og beholde kortfinnet makohaj om bord, xi) krav, som har til formål at sikre, at havskildpadders overlevelseschancer øges mest muligt, xii) mindste procentdel af fangstrejserne, der skal være omfattet af observatørdækning, og måling heraf samt listen over ICCAT-arter.</w:t>
      </w:r>
    </w:p>
    <w:p w:rsidR="0049599D" w:rsidRPr="004F62DE" w:rsidRDefault="00F37C81" w:rsidP="003F6008">
      <w:pPr>
        <w:pStyle w:val="Normal1"/>
        <w:shd w:val="clear" w:color="auto" w:fill="FFFFFF"/>
        <w:spacing w:before="0" w:beforeAutospacing="0" w:after="240" w:afterAutospacing="0"/>
        <w:textAlignment w:val="baseline"/>
        <w:rPr>
          <w:b/>
          <w:color w:val="000000"/>
          <w:bdr w:val="none" w:sz="0" w:space="0" w:color="auto" w:frame="1"/>
        </w:rPr>
      </w:pPr>
      <w:r w:rsidRPr="004F62DE">
        <w:rPr>
          <w:b/>
          <w:color w:val="000000"/>
          <w:bdr w:val="none" w:sz="0" w:space="0" w:color="auto" w:frame="1"/>
        </w:rPr>
        <w:t>ORDFØRERENS HOLDNING</w:t>
      </w:r>
    </w:p>
    <w:p w:rsidR="0049599D" w:rsidRPr="004F62DE" w:rsidRDefault="00F37C81" w:rsidP="003F6008">
      <w:pPr>
        <w:pStyle w:val="Normal1"/>
        <w:shd w:val="clear" w:color="auto" w:fill="FFFFFF"/>
        <w:spacing w:before="0" w:beforeAutospacing="0" w:after="240" w:afterAutospacing="0"/>
        <w:textAlignment w:val="baseline"/>
        <w:rPr>
          <w:color w:val="000000"/>
          <w:bdr w:val="none" w:sz="0" w:space="0" w:color="auto" w:frame="1"/>
        </w:rPr>
      </w:pPr>
      <w:r w:rsidRPr="004F62DE">
        <w:rPr>
          <w:color w:val="000000"/>
          <w:bdr w:val="none" w:sz="0" w:space="0" w:color="auto" w:frame="1"/>
        </w:rPr>
        <w:t>For at have en afbalanceret tilgang, der sikrer en bæredygtig udnyttelse af havets biologiske ressourcer sammen med lige vilkår i ICCAT-konventionsområdet, bør gennemførelsen af henstillingerne i EU-lovgivningen ske på den mest nøjagtige måde. EU's fiskerflåde bør have samme betingelser og foranstaltninger som dem, der anvendes af tredjelandes fiskerflåder, der opererer i området.</w:t>
      </w:r>
    </w:p>
    <w:p w:rsidR="0049599D" w:rsidRPr="004F62DE" w:rsidRDefault="00F37C81" w:rsidP="003F6008">
      <w:pPr>
        <w:pStyle w:val="Normal1"/>
        <w:shd w:val="clear" w:color="auto" w:fill="FFFFFF"/>
        <w:spacing w:before="0" w:beforeAutospacing="0" w:after="240" w:afterAutospacing="0"/>
        <w:textAlignment w:val="baseline"/>
        <w:rPr>
          <w:color w:val="000000"/>
          <w:bdr w:val="none" w:sz="0" w:space="0" w:color="auto" w:frame="1"/>
        </w:rPr>
      </w:pPr>
      <w:r w:rsidRPr="004F62DE">
        <w:rPr>
          <w:color w:val="000000"/>
          <w:bdr w:val="none" w:sz="0" w:space="0" w:color="auto" w:frame="1"/>
        </w:rPr>
        <w:t xml:space="preserve">Ud over bestemmelserne i forslag COM(2022)0171 – 2022/0111 (COD) har ordføreren medtaget de mest opdaterede ICCAT-henstillinger, og derfor blev der medtaget mange andre ændringer for at gennemføre henstillinger, der blev vedtaget på årsmøderne i 2019, 2020, 2021 og 2022, som endnu ikke var gennemført. </w:t>
      </w:r>
    </w:p>
    <w:p w:rsidR="0049599D" w:rsidRPr="004F62DE" w:rsidRDefault="00F37C81" w:rsidP="003F6008">
      <w:pPr>
        <w:pStyle w:val="Normal1"/>
        <w:shd w:val="clear" w:color="auto" w:fill="FFFFFF"/>
        <w:spacing w:before="0" w:beforeAutospacing="0" w:after="240" w:afterAutospacing="0"/>
        <w:textAlignment w:val="baseline"/>
        <w:rPr>
          <w:color w:val="000000"/>
          <w:bdr w:val="none" w:sz="0" w:space="0" w:color="auto" w:frame="1"/>
        </w:rPr>
      </w:pPr>
      <w:r w:rsidRPr="004F62DE">
        <w:rPr>
          <w:color w:val="000000"/>
          <w:bdr w:val="none" w:sz="0" w:space="0" w:color="auto" w:frame="1"/>
        </w:rPr>
        <w:t>Derfor omfatter dette udkast til betænkning ændringer af forordning (EU) 2017/2107 med henblik på at gennemføre ICCAT-foranstaltninger for tropisk tun, hvid middelhavstun, nordatlantisk og sydatlantisk hvid tun, sejlfisk, blå og hvid marlin, indberetning af data om sejlfiskarter, nordatlantisk og sydatlantisk kortfinnet makohaj, bifangst af skildpadder og bestemmelser vedrørende ulovligt, urapporteret og ureguleret fiskeri (IUU-fiskeri) samt et observatørprogram, der omfatter videnskabelige observatørers ansvar og en ajourført liste over ICCAT-arter i EU-retten.</w:t>
      </w:r>
    </w:p>
    <w:p w:rsidR="0049599D" w:rsidRPr="004F62DE" w:rsidRDefault="00F37C81" w:rsidP="003F6008">
      <w:pPr>
        <w:pStyle w:val="Normal1"/>
        <w:shd w:val="clear" w:color="auto" w:fill="FFFFFF"/>
        <w:spacing w:before="0" w:beforeAutospacing="0" w:after="240" w:afterAutospacing="0"/>
        <w:textAlignment w:val="baseline"/>
        <w:rPr>
          <w:bdr w:val="none" w:sz="0" w:space="0" w:color="auto" w:frame="1"/>
        </w:rPr>
      </w:pPr>
      <w:r w:rsidRPr="004F62DE">
        <w:rPr>
          <w:bdr w:val="none" w:sz="0" w:space="0" w:color="auto" w:frame="1"/>
        </w:rPr>
        <w:t>Desuden ændrer udkastet til betænkning forordning (EU) XX/2022 om indførelse af en flerårig forvaltningsplan for almindelig tun i det østlige Atlanterhav og Middelhavet (COM(2019)0619 – 2019/0272 (COD)) med henblik på i EU-lovgivningen at gennemføre bestemmelser om forvaltning af almindelig tun vedrørende definitioner, kvoteoverførsler, opbevaringsforbud, sportsfiskeri og rekreativt fiskeri, registrering af akvakulturbrug, rapportering, overførselstilladelser, identifikatorer for anbringelse i bur, tilladelser til anbringelse i bur, anbringelse i bur og videoovervågning heraf, kontrol med anbringelse i bur, høstkontrolaktiviteter på akvakulturbrugene efter anbringelse i bur.</w:t>
      </w:r>
      <w:r w:rsidRPr="004F62DE">
        <w:rPr>
          <w:color w:val="000000"/>
          <w:bdr w:val="none" w:sz="0" w:space="0" w:color="auto" w:frame="1"/>
        </w:rPr>
        <w:t xml:space="preserve"> </w:t>
      </w:r>
      <w:r w:rsidRPr="004F62DE">
        <w:rPr>
          <w:bdr w:val="none" w:sz="0" w:space="0" w:color="auto" w:frame="1"/>
        </w:rPr>
        <w:t>I udkastet til betænkning udgår de oprindelige forslag i artikel 7 og 46, da disse bestemmelser blev medtaget i den aftale, som medlovgiverne nåede frem til i april 2023 om Europa-Parlamentets og Rådets forordning (EU) XX/2022 om indførelse af en flerårig forvaltningsplan for almindelig tun i det østlige Atlanterhav og Middelhavet, der muligvis vil blive officielt vedtaget i september 2023 og derefter offentliggjort i Den Europæiske Unions Tidende.</w:t>
      </w:r>
      <w:bookmarkStart w:id="2" w:name="_GoBack"/>
      <w:bookmarkEnd w:id="2"/>
    </w:p>
    <w:p w:rsidR="003F6008" w:rsidRPr="004F62DE" w:rsidRDefault="003F6008" w:rsidP="003F6008">
      <w:pPr>
        <w:pStyle w:val="Normal1"/>
        <w:shd w:val="clear" w:color="auto" w:fill="FFFFFF"/>
        <w:spacing w:before="0" w:beforeAutospacing="0" w:after="240" w:afterAutospacing="0"/>
        <w:textAlignment w:val="baseline"/>
      </w:pPr>
    </w:p>
    <w:sectPr w:rsidR="003F6008" w:rsidRPr="004F62DE" w:rsidSect="007F4D7A">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274" w:rsidRPr="007F4D7A" w:rsidRDefault="00F37C81">
      <w:r w:rsidRPr="007F4D7A">
        <w:separator/>
      </w:r>
    </w:p>
  </w:endnote>
  <w:endnote w:type="continuationSeparator" w:id="0">
    <w:p w:rsidR="00891274" w:rsidRPr="007F4D7A" w:rsidRDefault="00F37C81">
      <w:r w:rsidRPr="007F4D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D7A" w:rsidRPr="00C61170" w:rsidRDefault="007F4D7A" w:rsidP="007F4D7A">
    <w:pPr>
      <w:pStyle w:val="EPFooter"/>
      <w:rPr>
        <w:lang w:val="fr-FR"/>
      </w:rPr>
    </w:pPr>
    <w:r w:rsidRPr="00C61170">
      <w:rPr>
        <w:lang w:val="fr-FR"/>
      </w:rPr>
      <w:t>PE</w:t>
    </w:r>
    <w:r w:rsidRPr="00C61170">
      <w:rPr>
        <w:rStyle w:val="HideTWBExt"/>
        <w:lang w:val="fr-FR"/>
      </w:rPr>
      <w:t>&lt;NoPE&gt;</w:t>
    </w:r>
    <w:r w:rsidRPr="00C61170">
      <w:rPr>
        <w:lang w:val="fr-FR"/>
      </w:rPr>
      <w:t>750.194</w:t>
    </w:r>
    <w:r w:rsidRPr="00C61170">
      <w:rPr>
        <w:rStyle w:val="HideTWBExt"/>
        <w:lang w:val="fr-FR"/>
      </w:rPr>
      <w:t>&lt;/NoPE&gt;&lt;Version&gt;</w:t>
    </w:r>
    <w:r w:rsidRPr="00C61170">
      <w:rPr>
        <w:lang w:val="fr-FR"/>
      </w:rPr>
      <w:t>v03-00</w:t>
    </w:r>
    <w:r w:rsidRPr="00C61170">
      <w:rPr>
        <w:rStyle w:val="HideTWBExt"/>
        <w:lang w:val="fr-FR"/>
      </w:rPr>
      <w:t>&lt;/Version&gt;</w:t>
    </w:r>
    <w:r w:rsidRPr="00C61170">
      <w:rPr>
        <w:lang w:val="fr-FR"/>
      </w:rPr>
      <w:tab/>
    </w:r>
    <w:r w:rsidRPr="007F4D7A">
      <w:fldChar w:fldCharType="begin"/>
    </w:r>
    <w:r w:rsidRPr="00C61170">
      <w:rPr>
        <w:lang w:val="fr-FR"/>
      </w:rPr>
      <w:instrText xml:space="preserve"> PAGE  \* MERGEFORMAT </w:instrText>
    </w:r>
    <w:r w:rsidRPr="007F4D7A">
      <w:fldChar w:fldCharType="separate"/>
    </w:r>
    <w:r w:rsidR="004F62DE">
      <w:rPr>
        <w:noProof/>
        <w:lang w:val="fr-FR"/>
      </w:rPr>
      <w:t>104</w:t>
    </w:r>
    <w:r w:rsidRPr="007F4D7A">
      <w:fldChar w:fldCharType="end"/>
    </w:r>
    <w:r w:rsidRPr="00C61170">
      <w:rPr>
        <w:lang w:val="fr-FR"/>
      </w:rPr>
      <w:t>/</w:t>
    </w:r>
    <w:r w:rsidR="00C61170">
      <w:fldChar w:fldCharType="begin"/>
    </w:r>
    <w:r w:rsidR="00C61170" w:rsidRPr="00C61170">
      <w:rPr>
        <w:lang w:val="fr-FR"/>
      </w:rPr>
      <w:instrText xml:space="preserve"> NUMPAGES  \* MERGEFORMAT </w:instrText>
    </w:r>
    <w:r w:rsidR="00C61170">
      <w:fldChar w:fldCharType="separate"/>
    </w:r>
    <w:r w:rsidR="004F62DE">
      <w:rPr>
        <w:noProof/>
        <w:lang w:val="fr-FR"/>
      </w:rPr>
      <w:t>107</w:t>
    </w:r>
    <w:r w:rsidR="00C61170">
      <w:rPr>
        <w:noProof/>
      </w:rPr>
      <w:fldChar w:fldCharType="end"/>
    </w:r>
    <w:r w:rsidRPr="00C61170">
      <w:rPr>
        <w:lang w:val="fr-FR"/>
      </w:rPr>
      <w:tab/>
    </w:r>
    <w:r w:rsidRPr="00C61170">
      <w:rPr>
        <w:rStyle w:val="HideTWBExt"/>
        <w:lang w:val="fr-FR"/>
      </w:rPr>
      <w:t>&lt;PathFdR&gt;</w:t>
    </w:r>
    <w:r w:rsidRPr="00C61170">
      <w:rPr>
        <w:lang w:val="fr-FR"/>
      </w:rPr>
      <w:t>PR\1284694DA.docx</w:t>
    </w:r>
    <w:r w:rsidRPr="00C61170">
      <w:rPr>
        <w:rStyle w:val="HideTWBExt"/>
        <w:lang w:val="fr-FR"/>
      </w:rPr>
      <w:t>&lt;/PathFdR&gt;</w:t>
    </w:r>
  </w:p>
  <w:p w:rsidR="00C84F42" w:rsidRPr="007F4D7A" w:rsidRDefault="007F4D7A" w:rsidP="007F4D7A">
    <w:pPr>
      <w:pStyle w:val="EPFooter2"/>
    </w:pPr>
    <w:r w:rsidRPr="007F4D7A">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D7A" w:rsidRPr="007F4D7A" w:rsidRDefault="007F4D7A" w:rsidP="007F4D7A">
    <w:pPr>
      <w:pStyle w:val="EPFooter"/>
    </w:pPr>
    <w:r w:rsidRPr="007F4D7A">
      <w:rPr>
        <w:rStyle w:val="HideTWBExt"/>
      </w:rPr>
      <w:t>&lt;PathFdR&gt;</w:t>
    </w:r>
    <w:r w:rsidRPr="007F4D7A">
      <w:t>PR\1284694DA.docx</w:t>
    </w:r>
    <w:r w:rsidRPr="007F4D7A">
      <w:rPr>
        <w:rStyle w:val="HideTWBExt"/>
      </w:rPr>
      <w:t>&lt;/PathFdR&gt;</w:t>
    </w:r>
    <w:r w:rsidRPr="007F4D7A">
      <w:tab/>
    </w:r>
    <w:r w:rsidRPr="007F4D7A">
      <w:fldChar w:fldCharType="begin"/>
    </w:r>
    <w:r w:rsidRPr="007F4D7A">
      <w:instrText xml:space="preserve"> PAGE  \* MERGEFORMAT </w:instrText>
    </w:r>
    <w:r w:rsidRPr="007F4D7A">
      <w:fldChar w:fldCharType="separate"/>
    </w:r>
    <w:r w:rsidR="004F62DE">
      <w:rPr>
        <w:noProof/>
      </w:rPr>
      <w:t>105</w:t>
    </w:r>
    <w:r w:rsidRPr="007F4D7A">
      <w:fldChar w:fldCharType="end"/>
    </w:r>
    <w:r w:rsidRPr="007F4D7A">
      <w:t>/</w:t>
    </w:r>
    <w:r w:rsidR="004F62DE">
      <w:fldChar w:fldCharType="begin"/>
    </w:r>
    <w:r w:rsidR="004F62DE">
      <w:instrText xml:space="preserve"> NUMPAGES  \* MERGEFORMAT </w:instrText>
    </w:r>
    <w:r w:rsidR="004F62DE">
      <w:fldChar w:fldCharType="separate"/>
    </w:r>
    <w:r w:rsidR="004F62DE">
      <w:rPr>
        <w:noProof/>
      </w:rPr>
      <w:t>107</w:t>
    </w:r>
    <w:r w:rsidR="004F62DE">
      <w:rPr>
        <w:noProof/>
      </w:rPr>
      <w:fldChar w:fldCharType="end"/>
    </w:r>
    <w:r w:rsidRPr="007F4D7A">
      <w:tab/>
      <w:t>PE</w:t>
    </w:r>
    <w:r w:rsidRPr="007F4D7A">
      <w:rPr>
        <w:rStyle w:val="HideTWBExt"/>
      </w:rPr>
      <w:t>&lt;NoPE&gt;</w:t>
    </w:r>
    <w:r w:rsidRPr="007F4D7A">
      <w:t>750.194</w:t>
    </w:r>
    <w:r w:rsidRPr="007F4D7A">
      <w:rPr>
        <w:rStyle w:val="HideTWBExt"/>
      </w:rPr>
      <w:t>&lt;/NoPE&gt;&lt;Version&gt;</w:t>
    </w:r>
    <w:r w:rsidRPr="007F4D7A">
      <w:t>v03-00</w:t>
    </w:r>
    <w:r w:rsidRPr="007F4D7A">
      <w:rPr>
        <w:rStyle w:val="HideTWBExt"/>
      </w:rPr>
      <w:t>&lt;/Version&gt;</w:t>
    </w:r>
  </w:p>
  <w:p w:rsidR="00C84F42" w:rsidRPr="007F4D7A" w:rsidRDefault="007F4D7A" w:rsidP="007F4D7A">
    <w:pPr>
      <w:pStyle w:val="EPFooter2"/>
    </w:pPr>
    <w:r w:rsidRPr="007F4D7A">
      <w:tab/>
    </w:r>
    <w:r w:rsidRPr="007F4D7A">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D7A" w:rsidRPr="007F4D7A" w:rsidRDefault="007F4D7A" w:rsidP="007F4D7A">
    <w:pPr>
      <w:pStyle w:val="EPFooter"/>
    </w:pPr>
    <w:r w:rsidRPr="007F4D7A">
      <w:rPr>
        <w:rStyle w:val="HideTWBExt"/>
      </w:rPr>
      <w:t>&lt;PathFdR&gt;</w:t>
    </w:r>
    <w:r w:rsidRPr="007F4D7A">
      <w:t>PR\1284694DA.docx</w:t>
    </w:r>
    <w:r w:rsidRPr="007F4D7A">
      <w:rPr>
        <w:rStyle w:val="HideTWBExt"/>
      </w:rPr>
      <w:t>&lt;/PathFdR&gt;</w:t>
    </w:r>
    <w:r w:rsidRPr="007F4D7A">
      <w:tab/>
    </w:r>
    <w:r w:rsidRPr="007F4D7A">
      <w:tab/>
      <w:t>PE</w:t>
    </w:r>
    <w:r w:rsidRPr="007F4D7A">
      <w:rPr>
        <w:rStyle w:val="HideTWBExt"/>
      </w:rPr>
      <w:t>&lt;NoPE&gt;</w:t>
    </w:r>
    <w:r w:rsidRPr="007F4D7A">
      <w:t>750.194</w:t>
    </w:r>
    <w:r w:rsidRPr="007F4D7A">
      <w:rPr>
        <w:rStyle w:val="HideTWBExt"/>
      </w:rPr>
      <w:t>&lt;/NoPE&gt;&lt;Version&gt;</w:t>
    </w:r>
    <w:r w:rsidRPr="007F4D7A">
      <w:t>v03-00</w:t>
    </w:r>
    <w:r w:rsidRPr="007F4D7A">
      <w:rPr>
        <w:rStyle w:val="HideTWBExt"/>
      </w:rPr>
      <w:t>&lt;/Version&gt;</w:t>
    </w:r>
  </w:p>
  <w:p w:rsidR="00C84F42" w:rsidRPr="007F4D7A" w:rsidRDefault="007F4D7A" w:rsidP="007F4D7A">
    <w:pPr>
      <w:pStyle w:val="EPFooter2"/>
    </w:pPr>
    <w:r w:rsidRPr="007F4D7A">
      <w:t>DA</w:t>
    </w:r>
    <w:r w:rsidRPr="007F4D7A">
      <w:tab/>
    </w:r>
    <w:r w:rsidRPr="007F4D7A">
      <w:rPr>
        <w:b w:val="0"/>
        <w:i/>
        <w:color w:val="C0C0C0"/>
        <w:sz w:val="22"/>
      </w:rPr>
      <w:t>Forenet i mangfoldighed</w:t>
    </w:r>
    <w:r w:rsidRPr="007F4D7A">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F42" w:rsidRPr="007F4D7A" w:rsidRDefault="00F37C81">
      <w:r w:rsidRPr="007F4D7A">
        <w:separator/>
      </w:r>
    </w:p>
  </w:footnote>
  <w:footnote w:type="continuationSeparator" w:id="0">
    <w:p w:rsidR="00C84F42" w:rsidRPr="007F4D7A" w:rsidRDefault="00F37C81">
      <w:r w:rsidRPr="007F4D7A">
        <w:continuationSeparator/>
      </w:r>
    </w:p>
  </w:footnote>
  <w:footnote w:id="1">
    <w:p w:rsidR="00C84F42" w:rsidRPr="007F4D7A" w:rsidRDefault="00F37C81" w:rsidP="0049599D">
      <w:pPr>
        <w:pStyle w:val="FootnoteText"/>
      </w:pPr>
      <w:r w:rsidRPr="007F4D7A">
        <w:rPr>
          <w:rStyle w:val="FootnoteReference"/>
        </w:rPr>
        <w:footnoteRef/>
      </w:r>
      <w:r w:rsidRPr="007F4D7A">
        <w:t xml:space="preserve"> EUT C 365 af 23.9.2022, s. 55.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8A5" w:rsidRDefault="00AE68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8A5" w:rsidRDefault="00AE68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8A5" w:rsidRDefault="00AE68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F90BAA"/>
    <w:multiLevelType w:val="hybridMultilevel"/>
    <w:tmpl w:val="7906415C"/>
    <w:lvl w:ilvl="0" w:tplc="4630EAE4">
      <w:start w:val="1"/>
      <w:numFmt w:val="bullet"/>
      <w:lvlText w:val=""/>
      <w:lvlJc w:val="left"/>
      <w:pPr>
        <w:ind w:left="720" w:hanging="360"/>
      </w:pPr>
      <w:rPr>
        <w:rFonts w:ascii="Symbol" w:hAnsi="Symbol" w:hint="default"/>
      </w:rPr>
    </w:lvl>
    <w:lvl w:ilvl="1" w:tplc="C38C8802">
      <w:start w:val="1"/>
      <w:numFmt w:val="bullet"/>
      <w:lvlText w:val="o"/>
      <w:lvlJc w:val="left"/>
      <w:pPr>
        <w:ind w:left="1440" w:hanging="360"/>
      </w:pPr>
      <w:rPr>
        <w:rFonts w:ascii="Courier New" w:hAnsi="Courier New" w:cs="Courier New" w:hint="default"/>
      </w:rPr>
    </w:lvl>
    <w:lvl w:ilvl="2" w:tplc="2BEC8616">
      <w:start w:val="1"/>
      <w:numFmt w:val="bullet"/>
      <w:lvlText w:val=""/>
      <w:lvlJc w:val="left"/>
      <w:pPr>
        <w:ind w:left="2160" w:hanging="360"/>
      </w:pPr>
      <w:rPr>
        <w:rFonts w:ascii="Wingdings" w:hAnsi="Wingdings" w:hint="default"/>
      </w:rPr>
    </w:lvl>
    <w:lvl w:ilvl="3" w:tplc="995A8450">
      <w:start w:val="1"/>
      <w:numFmt w:val="bullet"/>
      <w:lvlText w:val=""/>
      <w:lvlJc w:val="left"/>
      <w:pPr>
        <w:ind w:left="2880" w:hanging="360"/>
      </w:pPr>
      <w:rPr>
        <w:rFonts w:ascii="Symbol" w:hAnsi="Symbol" w:hint="default"/>
      </w:rPr>
    </w:lvl>
    <w:lvl w:ilvl="4" w:tplc="8A3E0838">
      <w:start w:val="1"/>
      <w:numFmt w:val="bullet"/>
      <w:lvlText w:val="o"/>
      <w:lvlJc w:val="left"/>
      <w:pPr>
        <w:ind w:left="3600" w:hanging="360"/>
      </w:pPr>
      <w:rPr>
        <w:rFonts w:ascii="Courier New" w:hAnsi="Courier New" w:cs="Courier New" w:hint="default"/>
      </w:rPr>
    </w:lvl>
    <w:lvl w:ilvl="5" w:tplc="9F948F88">
      <w:start w:val="1"/>
      <w:numFmt w:val="bullet"/>
      <w:lvlText w:val=""/>
      <w:lvlJc w:val="left"/>
      <w:pPr>
        <w:ind w:left="4320" w:hanging="360"/>
      </w:pPr>
      <w:rPr>
        <w:rFonts w:ascii="Wingdings" w:hAnsi="Wingdings" w:hint="default"/>
      </w:rPr>
    </w:lvl>
    <w:lvl w:ilvl="6" w:tplc="CF4E5EF0">
      <w:start w:val="1"/>
      <w:numFmt w:val="bullet"/>
      <w:lvlText w:val=""/>
      <w:lvlJc w:val="left"/>
      <w:pPr>
        <w:ind w:left="5040" w:hanging="360"/>
      </w:pPr>
      <w:rPr>
        <w:rFonts w:ascii="Symbol" w:hAnsi="Symbol" w:hint="default"/>
      </w:rPr>
    </w:lvl>
    <w:lvl w:ilvl="7" w:tplc="7E38A8C4">
      <w:start w:val="1"/>
      <w:numFmt w:val="bullet"/>
      <w:lvlText w:val="o"/>
      <w:lvlJc w:val="left"/>
      <w:pPr>
        <w:ind w:left="5760" w:hanging="360"/>
      </w:pPr>
      <w:rPr>
        <w:rFonts w:ascii="Courier New" w:hAnsi="Courier New" w:cs="Courier New" w:hint="default"/>
      </w:rPr>
    </w:lvl>
    <w:lvl w:ilvl="8" w:tplc="EB4A379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PECH"/>
    <w:docVar w:name="CopyToNetwork" w:val="-1"/>
    <w:docVar w:name="CVar" w:val="1"/>
    <w:docVar w:name="DOCMNU" w:val=" 1"/>
    <w:docVar w:name="EPSTATMNU" w:val=" 5"/>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88753 HideTWBExt;}{\*\cs18 \additive \v\f1\fs20\cf15 _x000d__x000a_\spriority0 \styrsid9588753 HideTWBInt;}{\s19\ql \li0\ri0\sa120\nowidctlpar\wrapdefault\aspalpha\aspnum\faauto\adjustright\rin0\lin0\itap0 \rtlch\fcs1 \af0\afs20\alang1025 \ltrch\fcs0 \fs24\lang2057\langfe2057\cgrid\langnp2057\langfenp2057 _x000d__x000a_\sbasedon0 \snext19 \spriority0 \styrsid9588753 Normal6a;}{\s20\ql \li0\ri0\nowidctlpar\wrapdefault\aspalpha\aspnum\faauto\adjustright\rin0\lin0\itap0 \rtlch\fcs1 \af0\afs20\alang1025 \ltrch\fcs0 \b\fs24\lang2057\langfe2057\cgrid\langnp2057\langfenp2057 _x000d__x000a_\sbasedon0 \snext20 \spriority0 \styrsid9588753 NormalBold;}{\s21\ql \li0\ri0\sa240\nowidctlpar\wrapdefault\aspalpha\aspnum\faauto\adjustright\rin0\lin0\itap0 \rtlch\fcs1 \af0\afs20\alang1025 \ltrch\fcs0 _x000d__x000a_\i\fs24\lang2057\langfe2057\cgrid\langnp2057\langfenp2057 \sbasedon0 \snext21 \spriority0 \styrsid9588753 AmJustText;}{\s22\qc \li0\ri0\sb240\sa240\nowidctlpar\wrapdefault\aspalpha\aspnum\faauto\adjustright\rin0\lin0\itap0 \rtlch\fcs1 _x000d__x000a_\af0\afs20\alang1025 \ltrch\fcs0 \i\fs24\lang2057\langfe2057\cgrid\langnp2057\langfenp2057 \sbasedon0 \snext22 \spriority0 \styrsid9588753 AmCrossRef;}{_x000d__x000a_\s23\qc \li0\ri0\sb240\sa240\keepn\nowidctlpar\wrapdefault\aspalpha\aspnum\faauto\adjustright\rin0\lin0\itap0 \rtlch\fcs1 \af0\afs20\alang1025 \ltrch\fcs0 \i\fs24\lang2057\langfe2057\cgrid\langnp2057\langfenp2057 _x000d__x000a_\sbasedon0 \snext21 \spriority0 \styrsid9588753 AmJustTitle;}{\s24\qr \li0\ri0\sb240\sa240\nowidctlpar\wrapdefault\aspalpha\aspnum\faauto\adjustright\rin0\lin0\itap0 \rtlch\fcs1 \af0\afs20\alang1025 \ltrch\fcs0 _x000d__x000a_\fs24\lang2057\langfe2057\cgrid\langnp2057\langfenp2057 \sbasedon0 \snext24 \spriority0 \styrsid9588753 AmOrLang;}{\s25\qc \li0\ri0\sa240\nowidctlpar\wrapdefault\aspalpha\aspnum\faauto\adjustright\rin0\lin0\itap0 \rtlch\fcs1 \af0\afs20\alang1025 _x000d__x000a_\ltrch\fcs0 \i\fs24\lang2057\langfe2057\cgrid\langnp2057\langfenp2057 \sbasedon0 \snext25 \spriority0 \styrsid958875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588753 AmNumberTabs;}{\s27\ql \li0\ri0\sb240\nowidctlpar\wrapdefault\aspalpha\aspnum\faauto\adjustright\rin0\lin0\itap0 \rtlch\fcs1 _x000d__x000a_\af0\afs20\alang1025 \ltrch\fcs0 \b\fs24\lang2057\langfe2057\cgrid\langnp2057\langfenp2057 \sbasedon0 \snext27 \spriority0 \styrsid9588753 NormalBold12b;}}{\*\rsidtbl \rsid24658\rsid223860\rsid735077\rsid1718133\rsid2892074\rsid3565327\rsid4666813_x000d__x000a_\rsid6641733\rsid7823322\rsid9588753\rsid9636012\rsid10377208\rsid11215221\rsid11549030\rsid12154954\rsid14382809\rsid14424199\rsid15204470\rsid15285974\rsid15950462\rsid16147958\rsid16324206\rsid16662270}{\mmathPr\mmathFont34\mbrkBin0\mbrkBinSub0_x000d__x000a_\msmallFrac0\mdispDef1\mlMargin0\mrMargin0\mdefJc1\mwrapIndent1440\mintLim0\mnaryLim1}{\info{\author BARSTYTE Lina}{\operator BARSTYTE Lina}{\creatim\yr2023\mo6\dy29\hr16\min35}{\revtim\yr2023\mo6\dy29\hr16\min3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6147958 \chftnsep _x000d__x000a_\par }}{\*\ftnsepc \ltrpar \pard\plain \ltrpar\ql \li0\ri0\widctlpar\wrapdefault\aspalpha\aspnum\faauto\adjustright\rin0\lin0\itap0 \rtlch\fcs1 \af0\afs20\alang1025 \ltrch\fcs0 \fs24\lang2057\langfe2057\cgrid\langnp2057\langfenp2057 {\rtlch\fcs1 \af0 _x000d__x000a_\ltrch\fcs0 \insrsid16147958 \chftnsepc _x000d__x000a_\par }}{\*\aftnsep \ltrpar \pard\plain \ltrpar\ql \li0\ri0\widctlpar\wrapdefault\aspalpha\aspnum\faauto\adjustright\rin0\lin0\itap0 \rtlch\fcs1 \af0\afs20\alang1025 \ltrch\fcs0 \fs24\lang2057\langfe2057\cgrid\langnp2057\langfenp2057 {\rtlch\fcs1 \af0 _x000d__x000a_\ltrch\fcs0 \insrsid16147958 \chftnsep _x000d__x000a_\par }}{\*\aftnsepc \ltrpar \pard\plain \ltrpar\ql \li0\ri0\widctlpar\wrapdefault\aspalpha\aspnum\faauto\adjustright\rin0\lin0\itap0 \rtlch\fcs1 \af0\afs20\alang1025 \ltrch\fcs0 \fs24\lang2057\langfe2057\cgrid\langnp2057\langfenp2057 {\rtlch\fcs1 \af0 _x000d__x000a_\ltrch\fcs0 \insrsid16147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588753 \rtlch\fcs1 _x000d__x000a_\af0\afs20\alang1025 \ltrch\fcs0 \b\fs24\lang2057\langfe2057\cgrid\langnp2057\langfenp2057 {\rtlch\fcs1 \af0 \ltrch\fcs0 \cs17\b0\v\fs20\cf9\lang1024\langfe1024\loch\af1\hich\af1\dbch\af31501\noproof\insrsid9588753\charrsid1972408 {\*\bkmkstart restart}_x000d__x000a_\hich\af1\dbch\af31501\loch\f1 &lt;Amend&gt;}{\rtlch\fcs1 \af0 \ltrch\fcs0 \insrsid9588753\charrsid1972408 Amendment\tab \tab }{\rtlch\fcs1 \af0 \ltrch\fcs0 _x000d__x000a_\cs17\b0\v\fs20\cf9\lang1024\langfe1024\loch\af1\hich\af1\dbch\af31501\noproof\insrsid9588753\charrsid1972408 \hich\af1\dbch\af31501\loch\f1 &lt;NumAm&gt;}{\rtlch\fcs1 \af0 \ltrch\fcs0 \insrsid9588753\charrsid1972408 #}{\rtlch\fcs1 \af1 \ltrch\fcs0 _x000d__x000a_\cs18\v\f1\fs20\cf15\insrsid9588753\charrsid1972408 ENMIENDA@NRAM@}{\rtlch\fcs1 \af0 \ltrch\fcs0 \insrsid9588753\charrsid1972408 #}{\rtlch\fcs1 \af0 \ltrch\fcs0 _x000d__x000a_\cs17\b0\v\fs20\cf9\lang1024\langfe1024\loch\af1\hich\af1\dbch\af31501\noproof\insrsid9588753\charrsid1972408 \hich\af1\dbch\af31501\loch\f1 &lt;/NumAm&gt;}{\rtlch\fcs1 \af0 \ltrch\fcs0 \insrsid9588753\charrsid1972408 _x000d__x000a_\par }\pard\plain \ltrpar\s27\ql \li0\ri0\sb240\keepn\nowidctlpar\wrapdefault\aspalpha\aspnum\faauto\adjustright\rin0\lin0\itap0\pararsid9588753 \rtlch\fcs1 \af0\afs20\alang1025 \ltrch\fcs0 \b\fs24\lang2057\langfe2057\cgrid\langnp2057\langfenp2057 {_x000d__x000a_\rtlch\fcs1 \af0 \ltrch\fcs0 \cs17\b0\v\fs20\cf9\lang1024\langfe1024\loch\af1\hich\af1\dbch\af31501\noproof\insrsid9588753\charrsid1972408 \hich\af1\dbch\af31501\loch\f1 &lt;DocAmend&gt;}{\rtlch\fcs1 \af0 \ltrch\fcs0 \insrsid9588753\charrsid1972408 _x000d__x000a_Proposal for a #}{\rtlch\fcs1 \af1 \ltrch\fcs0 \cs18\v\f1\fs20\cf15\insrsid9588753\charrsid1972408 MNU[DOC1][DOC2][DOC3]@DOCMSG@DOCMNU}{\rtlch\fcs1 \af0 \ltrch\fcs0 \insrsid9588753\charrsid1972408 ##}{\rtlch\fcs1 \af1 \ltrch\fcs0 _x000d__x000a_\cs18\v\f1\fs20\cf15\insrsid9588753\charrsid1972408 MNU[AMACTYES][NOTAPP]@CHOICE@AMACTMNU}{\rtlch\fcs1 \af0 \ltrch\fcs0 \insrsid9588753\charrsid1972408 #}{\rtlch\fcs1 \af0 \ltrch\fcs0 _x000d__x000a_\cs17\b0\v\fs20\cf9\lang1024\langfe1024\loch\af1\hich\af1\dbch\af31501\noproof\insrsid9588753\charrsid1972408 \hich\af1\dbch\af31501\loch\f1 &lt;/DocAmend&gt;}{\rtlch\fcs1 \af0 \ltrch\fcs0 \insrsid9588753\charrsid1972408 _x000d__x000a_\par }\pard\plain \ltrpar\s20\ql \li0\ri0\keepn\nowidctlpar\wrapdefault\aspalpha\aspnum\faauto\adjustright\rin0\lin0\itap0\pararsid9588753 \rtlch\fcs1 \af0\afs20\alang1025 \ltrch\fcs0 \b\fs24\lang2057\langfe2057\cgrid\langnp2057\langfenp2057 {\rtlch\fcs1 \af0 _x000d__x000a_\ltrch\fcs0 \cs17\b0\v\fs20\cf9\lang1024\langfe1024\loch\af1\hich\af1\dbch\af31501\noproof\insrsid9588753\charrsid1972408 \hich\af1\dbch\af31501\loch\f1 &lt;Article&gt;}{\rtlch\fcs1 \af0 \ltrch\fcs0 \insrsid9588753\charrsid1972408 #}{\rtlch\fcs1 \af1 _x000d__x000a_\ltrch\fcs0 \cs18\v\f1\fs20\cf15\insrsid9588753\charrsid1972408 MNU[AMACTPARTYES][AMACTPARTNO]@CHOICE@AMACTMNU}{\rtlch\fcs1 \af0 \ltrch\fcs0 \insrsid9588753\charrsid1972408 #}{\rtlch\fcs1 \af0 \ltrch\fcs0 _x000d__x000a_\cs17\b0\v\fs20\cf9\lang1024\langfe1024\loch\af1\hich\af1\dbch\af31501\noproof\insrsid9588753\charrsid1972408 \hich\af1\dbch\af31501\loch\f1 &lt;/Article&gt;}{\rtlch\fcs1 \af0 \ltrch\fcs0 \insrsid9588753\charrsid1972408 _x000d__x000a_\par }\pard\plain \ltrpar\ql \li0\ri0\keepn\widctlpar\wrapdefault\aspalpha\aspnum\faauto\adjustright\rin0\lin0\itap0\pararsid9588753 \rtlch\fcs1 \af0\afs20\alang1025 \ltrch\fcs0 \fs24\lang2057\langfe2057\cgrid\langnp2057\langfenp2057 {\rtlch\fcs1 \af0 _x000d__x000a_\ltrch\fcs0 \cs17\v\fs20\cf9\lang1024\langfe1024\loch\af1\hich\af1\dbch\af31501\noproof\insrsid9588753\charrsid1972408 \hich\af1\dbch\af31501\loch\f1 &lt;DocAmend2&gt;&lt;OptDel&gt;}{\rtlch\fcs1 \af0 \ltrch\fcs0 \insrsid9588753\charrsid1972408 #}{\rtlch\fcs1 \af1 _x000d__x000a_\ltrch\fcs0 \cs18\v\f1\fs20\cf15\insrsid9588753\charrsid1972408 MNU[OPTNRACTYES][NOTAPP]@CHOICE@AMACTMNU}{\rtlch\fcs1 \af0 \ltrch\fcs0 \insrsid9588753\charrsid1972408 #}{\rtlch\fcs1 \af0 \ltrch\fcs0 _x000d__x000a_\cs17\v\fs20\cf9\lang1024\langfe1024\loch\af1\hich\af1\dbch\af31501\noproof\insrsid9588753\charrsid1972408 \hich\af1\dbch\af31501\loch\f1 &lt;/OptDel&gt;&lt;/DocAmend2&gt;}{\rtlch\fcs1 \af0 \ltrch\fcs0 \insrsid9588753\charrsid1972408 _x000d__x000a_\par }\pard \ltrpar\ql \li0\ri0\widctlpar\wrapdefault\aspalpha\aspnum\faauto\adjustright\rin0\lin0\itap0\pararsid9588753 {\rtlch\fcs1 \af0 \ltrch\fcs0 \cs17\v\fs20\cf9\lang1024\langfe1024\loch\af1\hich\af1\dbch\af31501\noproof\insrsid9588753\charrsid1972408 _x000d__x000a_\hich\af1\dbch\af31501\loch\f1 &lt;Article2&gt;&lt;OptDel&gt;}{\rtlch\fcs1 \af0 \ltrch\fcs0 \insrsid9588753\charrsid1972408 #}{\rtlch\fcs1 \af1 \ltrch\fcs0 \cs18\v\f1\fs20\cf15\insrsid9588753\charrsid1972408 MNU[OPTACTPARTYES][NOTAPP]@CHOICE@AMACTMNU}{\rtlch\fcs1 _x000d__x000a_\af0 \ltrch\fcs0 \insrsid9588753\charrsid1972408 #}{\rtlch\fcs1 \af0 \ltrch\fcs0 \cs17\v\fs20\cf9\lang1024\langfe1024\loch\af1\hich\af1\dbch\af31501\noproof\insrsid9588753\charrsid1972408 \hich\af1\dbch\af31501\loch\f1 &lt;/OptDel&gt;&lt;/Article2&gt;}{\rtlch\fcs1 _x000d__x000a_\af0 \ltrch\fcs0 \insrsid9588753\charrsid197240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9588753\charrsid1972408 #}{\rtlch\fcs1 \af1 \ltrch\fcs0 \cs18\v\f1\fs20\cf15\insrsid9588753\charrsid1972408 MNU[OPTLEFTAMACT][LEFTPROP]@CHOICE@AMACTMNU}{\rtlch\fcs1 \af0 \ltrch\fcs0 \insrsid9588753\charrsid1972408 #\cell Amendment\cell _x000d__x000a_}\pard\plain \ltrpar\ql \li0\ri0\widctlpar\intbl\wrapdefault\aspalpha\aspnum\faauto\adjustright\rin0\lin0 \rtlch\fcs1 \af0\afs20\alang1025 \ltrch\fcs0 \fs24\lang2057\langfe2057\cgrid\langnp2057\langfenp2057 {\rtlch\fcs1 \af0 \ltrch\fcs0 _x000d__x000a_\insrsid9588753\charrsid1972408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9588753\charrsid1972408 ##\cell ##}{\rtlch\fcs1 \af0\afs24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588753 \rtlch\fcs1 \af0\afs20\alang1025 \ltrch\fcs0 \fs24\lang2057\langfe2057\cgrid\langnp2057\langfenp2057 {\rtlch\fcs1 \af0 \ltrch\fcs0 _x000d__x000a_\insrsid9588753\charrsid1972408 Or. }{\rtlch\fcs1 \af0 \ltrch\fcs0 \cs17\v\fs20\cf9\lang1024\langfe1024\loch\af1\hich\af1\dbch\af31501\noproof\insrsid9588753\charrsid1972408 \hich\af1\dbch\af31501\loch\f1 &lt;Original&gt;}{\rtlch\fcs1 \af0 \ltrch\fcs0 _x000d__x000a_\insrsid9588753\charrsid1972408 #}{\rtlch\fcs1 \af1 \ltrch\fcs0 \cs18\v\f1\fs20\cf15\insrsid9588753\charrsid1972408 MNU[ORLANGONE][ORLANGMORE]@CHOICE@ORLANGMNU}{\rtlch\fcs1 \af0 \ltrch\fcs0 \insrsid9588753\charrsid1972408 #}{\rtlch\fcs1 \af0 \ltrch\fcs0 _x000d__x000a_\cs17\v\fs20\cf9\lang1024\langfe1024\loch\af1\hich\af1\dbch\af31501\noproof\insrsid9588753\charrsid1972408 \hich\af1\dbch\af31501\loch\f1 &lt;/Original&gt;}{\rtlch\fcs1 \af0 \ltrch\fcs0 \insrsid9588753\charrsid1972408 _x000d__x000a_\par }\pard\plain \ltrpar\s22\qc \li0\ri0\sb240\sa240\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OptDel&gt;}{\rtlch\fcs1 \af0 \ltrch\fcs0 \insrsid9588753\charrsid1972408 #}{_x000d__x000a_\rtlch\fcs1 \af1 \ltrch\fcs0 \cs18\v\f1\fs20\cf15\insrsid9588753\charrsid1972408 MNU[CROSSREFNO][CROSSREFYES]@CHOICE@}{\rtlch\fcs1 \af0 \ltrch\fcs0 \insrsid9588753\charrsid1972408 #}{\rtlch\fcs1 \af0 \ltrch\fcs0 _x000d__x000a_\cs17\i0\v\fs20\cf9\lang1024\langfe1024\loch\af1\hich\af1\dbch\af31501\noproof\insrsid9588753\charrsid1972408 \hich\af1\dbch\af31501\loch\f1 &lt;/OptDel&gt;}{\rtlch\fcs1 \af0 \ltrch\fcs0 \insrsid9588753\charrsid1972408 _x000d__x000a_\par }\pard\plain \ltrpar\s23\qc \li0\ri0\sb240\sa240\keepn\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TitreJust&gt;}{\rtlch\fcs1 \af0 \ltrch\fcs0 \insrsid9588753\charrsid1972408 _x000d__x000a_Justification}{\rtlch\fcs1 \af0 \ltrch\fcs0 \cs17\i0\v\fs20\cf9\lang1024\langfe1024\loch\af1\hich\af1\dbch\af31501\noproof\insrsid9588753\charrsid1972408 \hich\af1\dbch\af31501\loch\f1 &lt;/TitreJust&gt;}{\rtlch\fcs1 \af0 \ltrch\fcs0 _x000d__x000a_\insrsid9588753\charrsid1972408 _x000d__x000a_\par }\pard\plain \ltrpar\s21\ql \li0\ri0\sa240\nowidctlpar\wrapdefault\aspalpha\aspnum\faauto\adjustright\rin0\lin0\itap0\pararsid9588753 \rtlch\fcs1 \af0\afs20\alang1025 \ltrch\fcs0 \i\fs24\lang2057\langfe2057\cgrid\langnp2057\langfenp2057 {\rtlch\fcs1 \af0 _x000d__x000a_\ltrch\fcs0 \cs17\i0\v\fs20\cf9\lang1024\langfe1024\loch\af1\hich\af1\dbch\af31501\noproof\insrsid9588753\charrsid1972408 \hich\af1\dbch\af31501\loch\f1 &lt;OptDelPrev&gt;}{\rtlch\fcs1 \af0 \ltrch\fcs0 \insrsid9588753\charrsid1972408 #}{\rtlch\fcs1 \af1 _x000d__x000a_\ltrch\fcs0 \cs18\v\f1\fs20\cf15\insrsid9588753\charrsid1972408 MNU[TEXTJUSTYES][TEXTJUSTNO]@CHOICE@}{\rtlch\fcs1 \af0 \ltrch\fcs0 \insrsid9588753\charrsid1972408 #}{\rtlch\fcs1 \af0 \ltrch\fcs0 _x000d__x000a_\cs17\i0\v\fs20\cf9\lang1024\langfe1024\loch\af1\hich\af1\dbch\af31501\noproof\insrsid9588753\charrsid1972408 \hich\af1\dbch\af31501\loch\f1 &lt;/OptDelPrev&gt;}{\rtlch\fcs1 \af0 \ltrch\fcs0 \insrsid9588753\charrsid1972408 _x000d__x000a_\par }\pard\plain \ltrpar\ql \li0\ri0\widctlpar\wrapdefault\aspalpha\aspnum\faauto\adjustright\rin0\lin0\itap0\pararsid9588753 \rtlch\fcs1 \af0\afs20\alang1025 \ltrch\fcs0 \fs24\lang2057\langfe2057\cgrid\langnp2057\langfenp2057 {\rtlch\fcs1 \af0 \ltrch\fcs0 _x000d__x000a_\cs17\v\fs20\cf9\lang1024\langfe1024\loch\af1\hich\af1\dbch\af31501\noproof\insrsid9588753\charrsid197240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f_x000d__x000a_c7ea96a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3"/>
    <w:docVar w:name="TVTAMPART" w:val="Paragraph 1"/>
    <w:docVar w:name="TXTAUTHOR" w:val="Clara Aguilera"/>
    <w:docVar w:name="TXTLANGUE" w:val="DA"/>
    <w:docVar w:name="TXTLANGUEMIN" w:val="da"/>
    <w:docVar w:name="TXTNRC" w:val="0151/2022"/>
    <w:docVar w:name="TXTNRCOD" w:val="2022/0111"/>
    <w:docVar w:name="TXTNRCOM" w:val="(2022)0171"/>
    <w:docVar w:name="TXTNRFIRSTAM" w:val="1"/>
    <w:docVar w:name="TXTNRLASTAM" w:val="87"/>
    <w:docVar w:name="TXTNRPE" w:val="750.194"/>
    <w:docVar w:name="TXTPEorAP" w:val="PE"/>
    <w:docVar w:name="TXTROUTE" w:val="PR\1284694DA.docx"/>
    <w:docVar w:name="TXTTITLE" w:val="amending Regulation (EU) 2017/2107 laying down management, conservation and control measures applicable in the Convention area of the International Commission for the Conservation of Atlantic Tunas (ICCAT) and Regulation (EU) .../2022 establishing a multiannual management plan for bluefin tuna in the eastern Atlantic and the Mediterranean"/>
    <w:docVar w:name="TXTVERSION" w:val="03-00"/>
  </w:docVars>
  <w:rsids>
    <w:rsidRoot w:val="001E18B8"/>
    <w:rsid w:val="00011AAB"/>
    <w:rsid w:val="00012351"/>
    <w:rsid w:val="000139E5"/>
    <w:rsid w:val="000641D5"/>
    <w:rsid w:val="00084DD2"/>
    <w:rsid w:val="00084E89"/>
    <w:rsid w:val="000A69A6"/>
    <w:rsid w:val="000A762D"/>
    <w:rsid w:val="000B7489"/>
    <w:rsid w:val="000C7C5C"/>
    <w:rsid w:val="000D2DEF"/>
    <w:rsid w:val="000F1096"/>
    <w:rsid w:val="00112DE2"/>
    <w:rsid w:val="00120948"/>
    <w:rsid w:val="00123DD5"/>
    <w:rsid w:val="001277AE"/>
    <w:rsid w:val="00142215"/>
    <w:rsid w:val="00165CA4"/>
    <w:rsid w:val="001767E2"/>
    <w:rsid w:val="00187008"/>
    <w:rsid w:val="001B3829"/>
    <w:rsid w:val="001C3BD8"/>
    <w:rsid w:val="001C5592"/>
    <w:rsid w:val="001C5B44"/>
    <w:rsid w:val="001C6FFC"/>
    <w:rsid w:val="001D7905"/>
    <w:rsid w:val="001E18B8"/>
    <w:rsid w:val="001F6334"/>
    <w:rsid w:val="001F7C7C"/>
    <w:rsid w:val="00207C4A"/>
    <w:rsid w:val="00212B84"/>
    <w:rsid w:val="0021462C"/>
    <w:rsid w:val="002346B0"/>
    <w:rsid w:val="00254B4E"/>
    <w:rsid w:val="002667C3"/>
    <w:rsid w:val="002669B6"/>
    <w:rsid w:val="002850BF"/>
    <w:rsid w:val="00290BED"/>
    <w:rsid w:val="002A21C5"/>
    <w:rsid w:val="002B76BA"/>
    <w:rsid w:val="002D13EE"/>
    <w:rsid w:val="002D3893"/>
    <w:rsid w:val="002E33EE"/>
    <w:rsid w:val="002F40BB"/>
    <w:rsid w:val="002F4B02"/>
    <w:rsid w:val="00312B08"/>
    <w:rsid w:val="00323EF8"/>
    <w:rsid w:val="00325885"/>
    <w:rsid w:val="003316DD"/>
    <w:rsid w:val="003444E1"/>
    <w:rsid w:val="00353672"/>
    <w:rsid w:val="00357B9F"/>
    <w:rsid w:val="00366A46"/>
    <w:rsid w:val="00370AC3"/>
    <w:rsid w:val="003824EE"/>
    <w:rsid w:val="00397D57"/>
    <w:rsid w:val="003B4689"/>
    <w:rsid w:val="003C2068"/>
    <w:rsid w:val="003C37CF"/>
    <w:rsid w:val="003F6008"/>
    <w:rsid w:val="004100B1"/>
    <w:rsid w:val="00422791"/>
    <w:rsid w:val="00426257"/>
    <w:rsid w:val="00426E47"/>
    <w:rsid w:val="00430C95"/>
    <w:rsid w:val="00455743"/>
    <w:rsid w:val="00460D5F"/>
    <w:rsid w:val="00461601"/>
    <w:rsid w:val="0049599D"/>
    <w:rsid w:val="004963D9"/>
    <w:rsid w:val="004B0D37"/>
    <w:rsid w:val="004B110E"/>
    <w:rsid w:val="004C0915"/>
    <w:rsid w:val="004D3CA0"/>
    <w:rsid w:val="004D424E"/>
    <w:rsid w:val="004E42C8"/>
    <w:rsid w:val="004E733D"/>
    <w:rsid w:val="004F3FA5"/>
    <w:rsid w:val="004F62DE"/>
    <w:rsid w:val="0051271F"/>
    <w:rsid w:val="00521F46"/>
    <w:rsid w:val="0052315F"/>
    <w:rsid w:val="00534934"/>
    <w:rsid w:val="00551111"/>
    <w:rsid w:val="00551123"/>
    <w:rsid w:val="00561161"/>
    <w:rsid w:val="00570A6A"/>
    <w:rsid w:val="00586E50"/>
    <w:rsid w:val="005904E7"/>
    <w:rsid w:val="0059583D"/>
    <w:rsid w:val="005A42D9"/>
    <w:rsid w:val="005B7025"/>
    <w:rsid w:val="005C2BEF"/>
    <w:rsid w:val="005D09C0"/>
    <w:rsid w:val="005D1A99"/>
    <w:rsid w:val="005D7609"/>
    <w:rsid w:val="005D7EE8"/>
    <w:rsid w:val="005E7C3F"/>
    <w:rsid w:val="005F11E3"/>
    <w:rsid w:val="005F755B"/>
    <w:rsid w:val="00611043"/>
    <w:rsid w:val="00625C0E"/>
    <w:rsid w:val="00635D47"/>
    <w:rsid w:val="00642325"/>
    <w:rsid w:val="00644104"/>
    <w:rsid w:val="006A2F5D"/>
    <w:rsid w:val="006E1E32"/>
    <w:rsid w:val="006F7907"/>
    <w:rsid w:val="00704275"/>
    <w:rsid w:val="00743189"/>
    <w:rsid w:val="00743D33"/>
    <w:rsid w:val="00762A92"/>
    <w:rsid w:val="00766216"/>
    <w:rsid w:val="00781BC4"/>
    <w:rsid w:val="007932B3"/>
    <w:rsid w:val="00793EA9"/>
    <w:rsid w:val="007B7F19"/>
    <w:rsid w:val="007D6F68"/>
    <w:rsid w:val="007F4D7A"/>
    <w:rsid w:val="00801448"/>
    <w:rsid w:val="00823E6B"/>
    <w:rsid w:val="00826780"/>
    <w:rsid w:val="00837CCD"/>
    <w:rsid w:val="00841E9B"/>
    <w:rsid w:val="008633CC"/>
    <w:rsid w:val="00865190"/>
    <w:rsid w:val="008719B9"/>
    <w:rsid w:val="00891274"/>
    <w:rsid w:val="00894ECE"/>
    <w:rsid w:val="00896BB4"/>
    <w:rsid w:val="008A7FB8"/>
    <w:rsid w:val="008B2882"/>
    <w:rsid w:val="009022B8"/>
    <w:rsid w:val="00914537"/>
    <w:rsid w:val="00917CC4"/>
    <w:rsid w:val="009302ED"/>
    <w:rsid w:val="00937610"/>
    <w:rsid w:val="009763DA"/>
    <w:rsid w:val="009975B3"/>
    <w:rsid w:val="009A216D"/>
    <w:rsid w:val="009B4B93"/>
    <w:rsid w:val="009B503E"/>
    <w:rsid w:val="009F24BE"/>
    <w:rsid w:val="009F6C2F"/>
    <w:rsid w:val="009F767A"/>
    <w:rsid w:val="00A22533"/>
    <w:rsid w:val="00A26F46"/>
    <w:rsid w:val="00A31D6F"/>
    <w:rsid w:val="00A3325E"/>
    <w:rsid w:val="00A34FD3"/>
    <w:rsid w:val="00A36929"/>
    <w:rsid w:val="00A50548"/>
    <w:rsid w:val="00A548A0"/>
    <w:rsid w:val="00A60EE7"/>
    <w:rsid w:val="00A81897"/>
    <w:rsid w:val="00A910C9"/>
    <w:rsid w:val="00AA35B0"/>
    <w:rsid w:val="00AA52DE"/>
    <w:rsid w:val="00AD08E1"/>
    <w:rsid w:val="00AD18C8"/>
    <w:rsid w:val="00AD7FA6"/>
    <w:rsid w:val="00AE4643"/>
    <w:rsid w:val="00AE68A5"/>
    <w:rsid w:val="00AF0416"/>
    <w:rsid w:val="00AF0449"/>
    <w:rsid w:val="00AF3E1F"/>
    <w:rsid w:val="00B00B4E"/>
    <w:rsid w:val="00B10CB4"/>
    <w:rsid w:val="00B13D6F"/>
    <w:rsid w:val="00B16004"/>
    <w:rsid w:val="00B23B72"/>
    <w:rsid w:val="00B42702"/>
    <w:rsid w:val="00B57B8B"/>
    <w:rsid w:val="00B71E7B"/>
    <w:rsid w:val="00B85407"/>
    <w:rsid w:val="00B95702"/>
    <w:rsid w:val="00BA29D6"/>
    <w:rsid w:val="00BC6489"/>
    <w:rsid w:val="00BC6556"/>
    <w:rsid w:val="00BD2408"/>
    <w:rsid w:val="00BD480C"/>
    <w:rsid w:val="00C20954"/>
    <w:rsid w:val="00C23324"/>
    <w:rsid w:val="00C26B70"/>
    <w:rsid w:val="00C317CB"/>
    <w:rsid w:val="00C42A41"/>
    <w:rsid w:val="00C47E74"/>
    <w:rsid w:val="00C57A72"/>
    <w:rsid w:val="00C61170"/>
    <w:rsid w:val="00C73602"/>
    <w:rsid w:val="00C84F42"/>
    <w:rsid w:val="00CA221E"/>
    <w:rsid w:val="00CF60C8"/>
    <w:rsid w:val="00D22A4F"/>
    <w:rsid w:val="00D30DE2"/>
    <w:rsid w:val="00D32924"/>
    <w:rsid w:val="00D503A3"/>
    <w:rsid w:val="00D618C2"/>
    <w:rsid w:val="00D71C36"/>
    <w:rsid w:val="00D767FF"/>
    <w:rsid w:val="00DA6ED0"/>
    <w:rsid w:val="00DC02B3"/>
    <w:rsid w:val="00DC2610"/>
    <w:rsid w:val="00DC5011"/>
    <w:rsid w:val="00DE4420"/>
    <w:rsid w:val="00E171B6"/>
    <w:rsid w:val="00E267B8"/>
    <w:rsid w:val="00E62DFE"/>
    <w:rsid w:val="00E653DD"/>
    <w:rsid w:val="00E72695"/>
    <w:rsid w:val="00E82605"/>
    <w:rsid w:val="00EB1753"/>
    <w:rsid w:val="00EB60DA"/>
    <w:rsid w:val="00EB6CFF"/>
    <w:rsid w:val="00EC294B"/>
    <w:rsid w:val="00EE3996"/>
    <w:rsid w:val="00F026E7"/>
    <w:rsid w:val="00F07062"/>
    <w:rsid w:val="00F11FEE"/>
    <w:rsid w:val="00F23CFC"/>
    <w:rsid w:val="00F37C81"/>
    <w:rsid w:val="00F433E2"/>
    <w:rsid w:val="00F8135A"/>
    <w:rsid w:val="00F8331E"/>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C62F374-423A-4B26-AB19-9FF90E48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49599D"/>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5E7C3F"/>
    <w:pPr>
      <w:tabs>
        <w:tab w:val="right" w:pos="454"/>
        <w:tab w:val="left" w:pos="737"/>
      </w:tabs>
      <w:ind w:left="737" w:hanging="737"/>
    </w:pPr>
    <w:rPr>
      <w:snapToGrid w:val="0"/>
      <w:sz w:val="18"/>
      <w:lang w:eastAsia="en-US"/>
    </w:rPr>
  </w:style>
  <w:style w:type="paragraph" w:customStyle="1" w:styleId="Lgendetitre">
    <w:name w:val="Légende titre"/>
    <w:basedOn w:val="Normal"/>
    <w:rsid w:val="005E7C3F"/>
    <w:pPr>
      <w:spacing w:before="240" w:after="240"/>
    </w:pPr>
    <w:rPr>
      <w:b/>
      <w:i/>
      <w:snapToGrid w:val="0"/>
      <w:lang w:eastAsia="en-US"/>
    </w:rPr>
  </w:style>
  <w:style w:type="paragraph" w:customStyle="1" w:styleId="Lgendestandard">
    <w:name w:val="Légende standard"/>
    <w:basedOn w:val="Normal"/>
    <w:rsid w:val="005E7C3F"/>
    <w:rPr>
      <w:sz w:val="18"/>
    </w:rPr>
  </w:style>
  <w:style w:type="paragraph" w:styleId="FootnoteText">
    <w:name w:val="footnote text"/>
    <w:basedOn w:val="Normal"/>
    <w:link w:val="FootnoteTextChar"/>
    <w:rsid w:val="003444E1"/>
    <w:rPr>
      <w:sz w:val="20"/>
    </w:rPr>
  </w:style>
  <w:style w:type="character" w:customStyle="1" w:styleId="FootnoteTextChar">
    <w:name w:val="Footnote Text Char"/>
    <w:basedOn w:val="DefaultParagraphFont"/>
    <w:link w:val="FootnoteText"/>
    <w:rsid w:val="003444E1"/>
  </w:style>
  <w:style w:type="character" w:styleId="FootnoteReference">
    <w:name w:val="footnote reference"/>
    <w:basedOn w:val="DefaultParagraphFont"/>
    <w:rsid w:val="003444E1"/>
    <w:rPr>
      <w:vertAlign w:val="superscript"/>
    </w:rPr>
  </w:style>
  <w:style w:type="paragraph" w:customStyle="1" w:styleId="EntPE">
    <w:name w:val="EntPE"/>
    <w:basedOn w:val="Normal12"/>
    <w:rsid w:val="0049599D"/>
    <w:pPr>
      <w:jc w:val="center"/>
    </w:pPr>
    <w:rPr>
      <w:noProof w:val="0"/>
      <w:sz w:val="56"/>
    </w:rPr>
  </w:style>
  <w:style w:type="paragraph" w:customStyle="1" w:styleId="Normal12">
    <w:name w:val="Normal12"/>
    <w:basedOn w:val="Normal"/>
    <w:link w:val="Normal12Char"/>
    <w:rsid w:val="0049599D"/>
    <w:pPr>
      <w:spacing w:after="240"/>
    </w:pPr>
    <w:rPr>
      <w:noProof/>
    </w:rPr>
  </w:style>
  <w:style w:type="character" w:customStyle="1" w:styleId="Normal12Char">
    <w:name w:val="Normal12 Char"/>
    <w:basedOn w:val="DefaultParagraphFont"/>
    <w:link w:val="Normal12"/>
    <w:locked/>
    <w:rsid w:val="0049599D"/>
    <w:rPr>
      <w:noProof/>
      <w:sz w:val="24"/>
    </w:rPr>
  </w:style>
  <w:style w:type="paragraph" w:customStyle="1" w:styleId="Normal6">
    <w:name w:val="Normal6"/>
    <w:basedOn w:val="Normal"/>
    <w:link w:val="Normal6Char"/>
    <w:rsid w:val="0049599D"/>
    <w:pPr>
      <w:spacing w:after="120"/>
    </w:pPr>
  </w:style>
  <w:style w:type="character" w:customStyle="1" w:styleId="Normal6Char">
    <w:name w:val="Normal6 Char"/>
    <w:basedOn w:val="DefaultParagraphFont"/>
    <w:link w:val="Normal6"/>
    <w:rsid w:val="0049599D"/>
    <w:rPr>
      <w:sz w:val="24"/>
      <w:lang w:val="da-DK"/>
    </w:rPr>
  </w:style>
  <w:style w:type="paragraph" w:customStyle="1" w:styleId="Normal12Italic">
    <w:name w:val="Normal12Italic"/>
    <w:basedOn w:val="Normal12"/>
    <w:rsid w:val="0049599D"/>
    <w:rPr>
      <w:i/>
    </w:rPr>
  </w:style>
  <w:style w:type="character" w:customStyle="1" w:styleId="FooterChar">
    <w:name w:val="Footer Char"/>
    <w:basedOn w:val="DefaultParagraphFont"/>
    <w:link w:val="Footer"/>
    <w:rsid w:val="0049599D"/>
    <w:rPr>
      <w:sz w:val="22"/>
    </w:rPr>
  </w:style>
  <w:style w:type="paragraph" w:styleId="Footer">
    <w:name w:val="footer"/>
    <w:link w:val="FooterChar"/>
    <w:rsid w:val="0049599D"/>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49599D"/>
    <w:rPr>
      <w:sz w:val="24"/>
    </w:rPr>
  </w:style>
  <w:style w:type="paragraph" w:customStyle="1" w:styleId="Footer2">
    <w:name w:val="Footer2"/>
    <w:basedOn w:val="Normal12"/>
    <w:rsid w:val="0049599D"/>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semiHidden/>
    <w:rsid w:val="0049599D"/>
    <w:rPr>
      <w:rFonts w:ascii="Segoe UI" w:hAnsi="Segoe UI" w:cs="Segoe UI"/>
      <w:sz w:val="18"/>
      <w:szCs w:val="18"/>
    </w:rPr>
  </w:style>
  <w:style w:type="paragraph" w:styleId="BalloonText">
    <w:name w:val="Balloon Text"/>
    <w:basedOn w:val="Normal"/>
    <w:link w:val="BalloonTextChar"/>
    <w:semiHidden/>
    <w:unhideWhenUsed/>
    <w:rsid w:val="0049599D"/>
    <w:pPr>
      <w:widowControl/>
    </w:pPr>
    <w:rPr>
      <w:rFonts w:ascii="Segoe UI" w:hAnsi="Segoe UI" w:cs="Segoe UI"/>
      <w:sz w:val="18"/>
      <w:szCs w:val="18"/>
    </w:rPr>
  </w:style>
  <w:style w:type="character" w:customStyle="1" w:styleId="BalloonTextChar1">
    <w:name w:val="Balloon Text Char1"/>
    <w:basedOn w:val="DefaultParagraphFont"/>
    <w:semiHidden/>
    <w:rsid w:val="0049599D"/>
    <w:rPr>
      <w:rFonts w:ascii="Segoe UI" w:hAnsi="Segoe UI" w:cs="Segoe UI"/>
      <w:sz w:val="18"/>
      <w:szCs w:val="18"/>
    </w:rPr>
  </w:style>
  <w:style w:type="paragraph" w:customStyle="1" w:styleId="AMNumberTabs0">
    <w:name w:val="AMNumberTabs"/>
    <w:basedOn w:val="Normal"/>
    <w:rsid w:val="004959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9599D"/>
    <w:pPr>
      <w:spacing w:after="240"/>
      <w:jc w:val="center"/>
    </w:pPr>
    <w:rPr>
      <w:i/>
    </w:rPr>
  </w:style>
  <w:style w:type="paragraph" w:customStyle="1" w:styleId="Olang">
    <w:name w:val="Olang"/>
    <w:basedOn w:val="Normal"/>
    <w:rsid w:val="0049599D"/>
    <w:pPr>
      <w:spacing w:before="240" w:after="240"/>
      <w:jc w:val="right"/>
    </w:pPr>
    <w:rPr>
      <w:noProof/>
      <w:szCs w:val="24"/>
    </w:rPr>
  </w:style>
  <w:style w:type="paragraph" w:customStyle="1" w:styleId="JustificationTitle">
    <w:name w:val="JustificationTitle"/>
    <w:basedOn w:val="Normal"/>
    <w:next w:val="Normal12"/>
    <w:rsid w:val="0049599D"/>
    <w:pPr>
      <w:keepNext/>
      <w:spacing w:before="240" w:after="240"/>
      <w:jc w:val="center"/>
    </w:pPr>
    <w:rPr>
      <w:i/>
      <w:noProof/>
    </w:rPr>
  </w:style>
  <w:style w:type="character" w:styleId="Hyperlink">
    <w:name w:val="Hyperlink"/>
    <w:basedOn w:val="DefaultParagraphFont"/>
    <w:uiPriority w:val="99"/>
    <w:unhideWhenUsed/>
    <w:rsid w:val="0049599D"/>
    <w:rPr>
      <w:color w:val="0563C1" w:themeColor="hyperlink"/>
      <w:u w:val="single"/>
    </w:rPr>
  </w:style>
  <w:style w:type="paragraph" w:customStyle="1" w:styleId="Normal1">
    <w:name w:val="Normal1"/>
    <w:basedOn w:val="Normal"/>
    <w:rsid w:val="0049599D"/>
    <w:pPr>
      <w:widowControl/>
      <w:spacing w:before="100" w:beforeAutospacing="1" w:after="100" w:afterAutospacing="1"/>
    </w:pPr>
    <w:rPr>
      <w:szCs w:val="24"/>
    </w:rPr>
  </w:style>
  <w:style w:type="character" w:customStyle="1" w:styleId="CommentTextChar">
    <w:name w:val="Comment Text Char"/>
    <w:basedOn w:val="DefaultParagraphFont"/>
    <w:link w:val="CommentText"/>
    <w:rsid w:val="0049599D"/>
  </w:style>
  <w:style w:type="paragraph" w:styleId="CommentText">
    <w:name w:val="annotation text"/>
    <w:basedOn w:val="Normal"/>
    <w:link w:val="CommentTextChar"/>
    <w:unhideWhenUsed/>
    <w:rsid w:val="0049599D"/>
    <w:pPr>
      <w:widowControl/>
    </w:pPr>
    <w:rPr>
      <w:sz w:val="20"/>
    </w:rPr>
  </w:style>
  <w:style w:type="character" w:customStyle="1" w:styleId="CommentSubjectChar">
    <w:name w:val="Comment Subject Char"/>
    <w:basedOn w:val="CommentTextChar"/>
    <w:link w:val="CommentSubject"/>
    <w:semiHidden/>
    <w:rsid w:val="0049599D"/>
    <w:rPr>
      <w:b/>
      <w:bCs/>
    </w:rPr>
  </w:style>
  <w:style w:type="paragraph" w:styleId="CommentSubject">
    <w:name w:val="annotation subject"/>
    <w:basedOn w:val="CommentText"/>
    <w:next w:val="CommentText"/>
    <w:link w:val="CommentSubjectChar"/>
    <w:semiHidden/>
    <w:unhideWhenUsed/>
    <w:rsid w:val="0049599D"/>
    <w:rPr>
      <w:b/>
      <w:bCs/>
    </w:rPr>
  </w:style>
  <w:style w:type="character" w:styleId="CommentReference">
    <w:name w:val="annotation reference"/>
    <w:basedOn w:val="DefaultParagraphFont"/>
    <w:unhideWhenUsed/>
    <w:rsid w:val="0049599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uroparl.europa.eu/oeil/popups/ficheprocedure.do?reference=2011/0195(COD)&amp;l=d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AA6BE-7A0D-4CF2-808F-604299A7F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22445</Words>
  <Characters>137590</Characters>
  <Application>Microsoft Office Word</Application>
  <DocSecurity>0</DocSecurity>
  <Lines>5732</Lines>
  <Paragraphs>1975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BARSTYTE Lina</dc:creator>
  <cp:lastModifiedBy>HEINSOEE Katja</cp:lastModifiedBy>
  <cp:revision>2</cp:revision>
  <cp:lastPrinted>2004-11-04T09:41:00Z</cp:lastPrinted>
  <dcterms:created xsi:type="dcterms:W3CDTF">2023-09-06T14:04:00Z</dcterms:created>
  <dcterms:modified xsi:type="dcterms:W3CDTF">2023-09-06T14:04:00Z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1284694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PR\1284694DA.docx</vt:lpwstr>
  </property>
  <property fmtid="{D5CDD505-2E9C-101B-9397-08002B2CF9AE}" pid="10" name="LastEdited with">
    <vt:lpwstr>9.14.1 Build [20230315]</vt:lpwstr>
  </property>
  <property fmtid="{D5CDD505-2E9C-101B-9397-08002B2CF9AE}" pid="11" name="PE number">
    <vt:lpwstr>750.194</vt:lpwstr>
  </property>
  <property fmtid="{D5CDD505-2E9C-101B-9397-08002B2CF9AE}" pid="12" name="SDLStudio">
    <vt:lpwstr/>
  </property>
  <property fmtid="{D5CDD505-2E9C-101B-9397-08002B2CF9AE}" pid="13" name="SendToEpades">
    <vt:lpwstr/>
  </property>
  <property fmtid="{D5CDD505-2E9C-101B-9397-08002B2CF9AE}" pid="14" name="Bookout">
    <vt:lpwstr>OK - 2023/09/06 16:04</vt:lpwstr>
  </property>
</Properties>
</file>