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82744" w:rsidRPr="004B104E" w:rsidTr="004B110E">
        <w:trPr>
          <w:trHeight w:hRule="exact" w:val="1418"/>
        </w:trPr>
        <w:tc>
          <w:tcPr>
            <w:tcW w:w="6804" w:type="dxa"/>
            <w:shd w:val="clear" w:color="auto" w:fill="auto"/>
            <w:vAlign w:val="center"/>
          </w:tcPr>
          <w:p w:rsidR="0049599D" w:rsidRPr="004B104E" w:rsidRDefault="00AB08CD" w:rsidP="004B110E">
            <w:pPr>
              <w:pStyle w:val="EPName"/>
            </w:pPr>
            <w:r w:rsidRPr="004B104E">
              <w:t>Ευρωπαϊκό Κοινοβούλιο</w:t>
            </w:r>
          </w:p>
          <w:p w:rsidR="0049599D" w:rsidRPr="004B104E" w:rsidRDefault="00AB08CD" w:rsidP="004B110E">
            <w:pPr>
              <w:pStyle w:val="EPTerm"/>
            </w:pPr>
            <w:r w:rsidRPr="004B104E">
              <w:t>2019-2024</w:t>
            </w:r>
          </w:p>
        </w:tc>
        <w:tc>
          <w:tcPr>
            <w:tcW w:w="2268" w:type="dxa"/>
            <w:shd w:val="clear" w:color="auto" w:fill="auto"/>
          </w:tcPr>
          <w:p w:rsidR="0049599D" w:rsidRPr="004B104E" w:rsidRDefault="00AB08CD" w:rsidP="004B110E">
            <w:pPr>
              <w:pStyle w:val="EPLogo"/>
            </w:pPr>
            <w:r w:rsidRPr="004B104E">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9599D" w:rsidRPr="004B104E" w:rsidRDefault="0049599D" w:rsidP="0049599D">
      <w:pPr>
        <w:pStyle w:val="LineTop"/>
      </w:pPr>
    </w:p>
    <w:p w:rsidR="0049599D" w:rsidRPr="004B104E" w:rsidRDefault="00AB08CD" w:rsidP="0049599D">
      <w:pPr>
        <w:pStyle w:val="EPBody"/>
      </w:pPr>
      <w:r w:rsidRPr="004B104E">
        <w:rPr>
          <w:rStyle w:val="HideTWBExt"/>
        </w:rPr>
        <w:t>&lt;</w:t>
      </w:r>
      <w:r w:rsidRPr="004B104E">
        <w:rPr>
          <w:rStyle w:val="HideTWBExt"/>
          <w:i w:val="0"/>
        </w:rPr>
        <w:t>Commission</w:t>
      </w:r>
      <w:r w:rsidRPr="004B104E">
        <w:rPr>
          <w:rStyle w:val="HideTWBExt"/>
        </w:rPr>
        <w:t>&gt;</w:t>
      </w:r>
      <w:r w:rsidRPr="004B104E">
        <w:rPr>
          <w:rStyle w:val="HideTWBInt"/>
          <w:color w:val="auto"/>
        </w:rPr>
        <w:t>{PECH}</w:t>
      </w:r>
      <w:r w:rsidRPr="004B104E">
        <w:t>Επιτροπή Αλιείας</w:t>
      </w:r>
      <w:r w:rsidRPr="004B104E">
        <w:rPr>
          <w:rStyle w:val="HideTWBExt"/>
        </w:rPr>
        <w:t>&lt;/</w:t>
      </w:r>
      <w:r w:rsidRPr="004B104E">
        <w:rPr>
          <w:rStyle w:val="HideTWBExt"/>
          <w:i w:val="0"/>
        </w:rPr>
        <w:t>Commission</w:t>
      </w:r>
      <w:r w:rsidRPr="004B104E">
        <w:rPr>
          <w:rStyle w:val="HideTWBExt"/>
        </w:rPr>
        <w:t>&gt;</w:t>
      </w:r>
    </w:p>
    <w:p w:rsidR="0049599D" w:rsidRPr="004B104E" w:rsidRDefault="0049599D" w:rsidP="0049599D">
      <w:pPr>
        <w:pStyle w:val="LineBottom"/>
      </w:pPr>
    </w:p>
    <w:p w:rsidR="0049599D" w:rsidRPr="004B104E" w:rsidRDefault="00AB08CD" w:rsidP="0049599D">
      <w:pPr>
        <w:pStyle w:val="CoverReference"/>
      </w:pPr>
      <w:r w:rsidRPr="004B104E">
        <w:rPr>
          <w:rStyle w:val="HideTWBExt"/>
          <w:b w:val="0"/>
        </w:rPr>
        <w:t>&lt;RefProc&gt;</w:t>
      </w:r>
      <w:r w:rsidRPr="004B104E">
        <w:t>2022/0111</w:t>
      </w:r>
      <w:r w:rsidRPr="004B104E">
        <w:rPr>
          <w:rStyle w:val="HideTWBExt"/>
          <w:b w:val="0"/>
        </w:rPr>
        <w:t>&lt;/RefProc&gt;&lt;RefTypeProc&gt;</w:t>
      </w:r>
      <w:r w:rsidRPr="004B104E">
        <w:t>(COD)</w:t>
      </w:r>
      <w:r w:rsidRPr="004B104E">
        <w:rPr>
          <w:rStyle w:val="HideTWBExt"/>
          <w:b w:val="0"/>
        </w:rPr>
        <w:t>&lt;/RefTypeProc&gt;</w:t>
      </w:r>
    </w:p>
    <w:p w:rsidR="0049599D" w:rsidRPr="004B104E" w:rsidRDefault="00AB08CD" w:rsidP="0049599D">
      <w:pPr>
        <w:pStyle w:val="CoverDate"/>
      </w:pPr>
      <w:r w:rsidRPr="004B104E">
        <w:rPr>
          <w:rStyle w:val="HideTWBExt"/>
        </w:rPr>
        <w:t>&lt;Date&gt;</w:t>
      </w:r>
      <w:r w:rsidRPr="004B104E">
        <w:rPr>
          <w:rStyle w:val="HideTWBInt"/>
          <w:color w:val="auto"/>
        </w:rPr>
        <w:t>{28/08/2023}</w:t>
      </w:r>
      <w:r w:rsidRPr="004B104E">
        <w:t>28.8.2023</w:t>
      </w:r>
      <w:r w:rsidRPr="004B104E">
        <w:rPr>
          <w:rStyle w:val="HideTWBExt"/>
        </w:rPr>
        <w:t>&lt;/Date&gt;</w:t>
      </w:r>
    </w:p>
    <w:p w:rsidR="0049599D" w:rsidRPr="004B104E" w:rsidRDefault="00AB08CD" w:rsidP="0049599D">
      <w:pPr>
        <w:pStyle w:val="CoverDocType"/>
      </w:pPr>
      <w:r w:rsidRPr="004B104E">
        <w:rPr>
          <w:rStyle w:val="HideTWBExt"/>
          <w:b w:val="0"/>
        </w:rPr>
        <w:t>&lt;RefProcLect&gt;</w:t>
      </w:r>
      <w:r w:rsidRPr="004B104E">
        <w:t>***I</w:t>
      </w:r>
      <w:r w:rsidRPr="004B104E">
        <w:rPr>
          <w:rStyle w:val="HideTWBExt"/>
          <w:b w:val="0"/>
        </w:rPr>
        <w:t>&lt;/RefProcLect&gt;</w:t>
      </w:r>
    </w:p>
    <w:p w:rsidR="0049599D" w:rsidRPr="004B104E" w:rsidRDefault="00AB08CD" w:rsidP="0049599D">
      <w:pPr>
        <w:pStyle w:val="CoverDocType24a"/>
      </w:pPr>
      <w:r w:rsidRPr="004B104E">
        <w:rPr>
          <w:rStyle w:val="HideTWBExt"/>
          <w:b w:val="0"/>
        </w:rPr>
        <w:t>&lt;TitreType&gt;</w:t>
      </w:r>
      <w:r w:rsidRPr="004B104E">
        <w:t>ΣΧΕΔΙΟ ΕΚΘΕΣΗΣ</w:t>
      </w:r>
      <w:r w:rsidRPr="004B104E">
        <w:rPr>
          <w:rStyle w:val="HideTWBExt"/>
          <w:b w:val="0"/>
        </w:rPr>
        <w:t>&lt;/TitreType&gt;</w:t>
      </w:r>
    </w:p>
    <w:p w:rsidR="0049599D" w:rsidRPr="004B104E" w:rsidRDefault="00AB08CD" w:rsidP="00AB08CD">
      <w:pPr>
        <w:pStyle w:val="CoverNormal"/>
        <w:jc w:val="both"/>
      </w:pPr>
      <w:r w:rsidRPr="004B104E">
        <w:rPr>
          <w:rStyle w:val="HideTWBExt"/>
        </w:rPr>
        <w:t>&lt;Titre&gt;</w:t>
      </w:r>
      <w:r w:rsidRPr="004B104E">
        <w:t>σχετικά με την πρόταση κανονισμού του Ευρωπαϊκού Κοινοβουλίου και του Συμβουλίου για την τροποποίηση του κανονισμού (ΕΕ) 2017/2107 για τον καθορισμό μέτρων διαχείρισης, διατήρησης και ελέγχου που εφαρμόζονται στη ζώνη της σύμβασης της Διεθνούς Επιτρ</w:t>
      </w:r>
      <w:r w:rsidRPr="004B104E">
        <w:t>οπής για τη Διατήρηση των Θυννοειδών του Ατλαντικού (ICCAT) και του κανονισμού (ΕΕ).../2022 για τη θέσπιση πολυετούς σχεδίου διαχείρισης του ερυθρού τόνου στον Ανατολικό Ατλαντικό και στη Μεσόγειο</w:t>
      </w:r>
      <w:r w:rsidRPr="004B104E">
        <w:rPr>
          <w:rStyle w:val="HideTWBExt"/>
        </w:rPr>
        <w:t>&lt;/Titre&gt;</w:t>
      </w:r>
    </w:p>
    <w:p w:rsidR="0049599D" w:rsidRPr="004B104E" w:rsidRDefault="00AB08CD" w:rsidP="0049599D">
      <w:pPr>
        <w:pStyle w:val="CoverNormal24a"/>
      </w:pPr>
      <w:r w:rsidRPr="004B104E">
        <w:rPr>
          <w:rStyle w:val="HideTWBExt"/>
        </w:rPr>
        <w:t>&lt;DocRef&gt;</w:t>
      </w:r>
      <w:r w:rsidRPr="004B104E">
        <w:t>(COM(2022)0171 – C9</w:t>
      </w:r>
      <w:r w:rsidRPr="004B104E">
        <w:noBreakHyphen/>
        <w:t xml:space="preserve">0151/2022 – </w:t>
      </w:r>
      <w:r w:rsidRPr="004B104E">
        <w:t>2022/0111(COD))</w:t>
      </w:r>
      <w:r w:rsidRPr="004B104E">
        <w:rPr>
          <w:rStyle w:val="HideTWBExt"/>
        </w:rPr>
        <w:t>&lt;/DocRef&gt;</w:t>
      </w:r>
    </w:p>
    <w:p w:rsidR="0049599D" w:rsidRPr="004B104E" w:rsidRDefault="00AB08CD" w:rsidP="0049599D">
      <w:pPr>
        <w:pStyle w:val="CoverNormal24a"/>
      </w:pPr>
      <w:r w:rsidRPr="004B104E">
        <w:rPr>
          <w:rStyle w:val="HideTWBExt"/>
        </w:rPr>
        <w:t>&lt;Commission&gt;</w:t>
      </w:r>
      <w:r w:rsidRPr="004B104E">
        <w:rPr>
          <w:rStyle w:val="HideTWBInt"/>
          <w:color w:val="auto"/>
        </w:rPr>
        <w:t>{PECH}</w:t>
      </w:r>
      <w:r w:rsidRPr="004B104E">
        <w:t>Επιτροπή Αλιείας</w:t>
      </w:r>
      <w:r w:rsidRPr="004B104E">
        <w:rPr>
          <w:rStyle w:val="HideTWBExt"/>
        </w:rPr>
        <w:t>&lt;/Commission&gt;</w:t>
      </w:r>
    </w:p>
    <w:p w:rsidR="0049599D" w:rsidRPr="00AB08CD" w:rsidRDefault="00AB08CD" w:rsidP="0049599D">
      <w:pPr>
        <w:pStyle w:val="CoverNormal24a"/>
        <w:rPr>
          <w:lang w:val="pt-PT"/>
        </w:rPr>
      </w:pPr>
      <w:r w:rsidRPr="004B104E">
        <w:t>Εισηγήτρια</w:t>
      </w:r>
      <w:r w:rsidRPr="00AB08CD">
        <w:rPr>
          <w:lang w:val="pt-PT"/>
        </w:rPr>
        <w:t xml:space="preserve">: </w:t>
      </w:r>
      <w:r w:rsidRPr="00AB08CD">
        <w:rPr>
          <w:rStyle w:val="HideTWBExt"/>
          <w:lang w:val="pt-PT"/>
        </w:rPr>
        <w:t>&lt;Depute&gt;</w:t>
      </w:r>
      <w:r w:rsidRPr="00AB08CD">
        <w:rPr>
          <w:lang w:val="pt-PT"/>
        </w:rPr>
        <w:t>Clara Aguilera</w:t>
      </w:r>
      <w:r w:rsidRPr="00AB08CD">
        <w:rPr>
          <w:rStyle w:val="HideTWBExt"/>
          <w:lang w:val="pt-PT"/>
        </w:rPr>
        <w:t>&lt;/Depute&gt;</w:t>
      </w:r>
    </w:p>
    <w:p w:rsidR="0049599D" w:rsidRPr="00AB08CD" w:rsidRDefault="00AB08CD" w:rsidP="0049599D">
      <w:pPr>
        <w:rPr>
          <w:lang w:val="pt-PT"/>
        </w:rPr>
      </w:pPr>
      <w:r w:rsidRPr="00AB08CD">
        <w:rPr>
          <w:lang w:val="pt-PT"/>
        </w:rPr>
        <w:br w:type="page"/>
      </w:r>
      <w:r w:rsidR="004F2C0B" w:rsidRPr="004B104E">
        <w:lastRenderedPageBreak/>
        <w:fldChar w:fldCharType="begin"/>
      </w:r>
      <w:r w:rsidR="004F2C0B" w:rsidRPr="00AB08CD">
        <w:rPr>
          <w:lang w:val="pt-PT"/>
        </w:rPr>
        <w:instrText xml:space="preserve"> TITLE  \* MERGEFORMAT </w:instrText>
      </w:r>
      <w:r w:rsidR="004F2C0B" w:rsidRPr="004B104E">
        <w:fldChar w:fldCharType="separate"/>
      </w:r>
      <w:r>
        <w:rPr>
          <w:lang w:val="pt-PT"/>
        </w:rPr>
        <w:t>PR_COD_1amCom</w:t>
      </w:r>
      <w:r w:rsidR="004F2C0B" w:rsidRPr="004B104E">
        <w:fldChar w:fldCharType="end"/>
      </w:r>
    </w:p>
    <w:p w:rsidR="0049599D" w:rsidRPr="00AB08CD" w:rsidRDefault="0049599D" w:rsidP="0049599D">
      <w:pPr>
        <w:rPr>
          <w:lang w:val="pt-PT"/>
        </w:rPr>
      </w:pPr>
    </w:p>
    <w:p w:rsidR="0049599D" w:rsidRPr="00AB08CD" w:rsidRDefault="0049599D" w:rsidP="0049599D">
      <w:pPr>
        <w:rPr>
          <w:lang w:val="pt-PT"/>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82744" w:rsidRPr="004B104E" w:rsidTr="004B110E">
        <w:tc>
          <w:tcPr>
            <w:tcW w:w="5811" w:type="dxa"/>
          </w:tcPr>
          <w:p w:rsidR="0049599D" w:rsidRPr="004B104E" w:rsidRDefault="00AB08CD" w:rsidP="004B110E">
            <w:pPr>
              <w:pStyle w:val="Lgendetitre"/>
            </w:pPr>
            <w:r w:rsidRPr="004B104E">
              <w:t>Υπόμνημα για τα χρησιμοποιούμενα σύμβολα</w:t>
            </w:r>
          </w:p>
        </w:tc>
      </w:tr>
      <w:tr w:rsidR="00B82744" w:rsidRPr="004B104E" w:rsidTr="004B110E">
        <w:trPr>
          <w:cantSplit/>
          <w:trHeight w:val="1807"/>
        </w:trPr>
        <w:tc>
          <w:tcPr>
            <w:tcW w:w="5811" w:type="dxa"/>
            <w:tcBorders>
              <w:bottom w:val="single" w:sz="4" w:space="0" w:color="auto"/>
            </w:tcBorders>
          </w:tcPr>
          <w:p w:rsidR="0049599D" w:rsidRPr="004B104E" w:rsidRDefault="00AB08CD" w:rsidP="004B110E">
            <w:pPr>
              <w:pStyle w:val="Lgendesigne"/>
            </w:pPr>
            <w:r w:rsidRPr="004B104E">
              <w:tab/>
              <w:t>*</w:t>
            </w:r>
            <w:r w:rsidRPr="004B104E">
              <w:tab/>
              <w:t>Διαδικασία διαβούλευσης</w:t>
            </w:r>
          </w:p>
          <w:p w:rsidR="0049599D" w:rsidRPr="004B104E" w:rsidRDefault="00AB08CD" w:rsidP="004B110E">
            <w:pPr>
              <w:pStyle w:val="Lgendesigne"/>
            </w:pPr>
            <w:r w:rsidRPr="004B104E">
              <w:tab/>
              <w:t>***</w:t>
            </w:r>
            <w:r w:rsidRPr="004B104E">
              <w:tab/>
              <w:t>Διαδικασία έγκρισης</w:t>
            </w:r>
          </w:p>
          <w:p w:rsidR="0049599D" w:rsidRPr="004B104E" w:rsidRDefault="00AB08CD" w:rsidP="004B110E">
            <w:pPr>
              <w:pStyle w:val="Lgendesigne"/>
            </w:pPr>
            <w:r w:rsidRPr="004B104E">
              <w:tab/>
              <w:t>*</w:t>
            </w:r>
            <w:r w:rsidRPr="004B104E">
              <w:t>**I</w:t>
            </w:r>
            <w:r w:rsidRPr="004B104E">
              <w:tab/>
              <w:t>Συνήθης νομοθετική διαδικασία (πρώτη ανάγνωση)</w:t>
            </w:r>
          </w:p>
          <w:p w:rsidR="0049599D" w:rsidRPr="004B104E" w:rsidRDefault="00AB08CD" w:rsidP="004B110E">
            <w:pPr>
              <w:pStyle w:val="Lgendesigne"/>
            </w:pPr>
            <w:r w:rsidRPr="004B104E">
              <w:tab/>
              <w:t>***II</w:t>
            </w:r>
            <w:r w:rsidRPr="004B104E">
              <w:tab/>
              <w:t>Συνήθης νομοθετική διαδικασία (δεύτερη ανάγνωση)</w:t>
            </w:r>
          </w:p>
          <w:p w:rsidR="0049599D" w:rsidRPr="004B104E" w:rsidRDefault="00AB08CD" w:rsidP="004B110E">
            <w:pPr>
              <w:pStyle w:val="Lgendesigne"/>
            </w:pPr>
            <w:r w:rsidRPr="004B104E">
              <w:tab/>
              <w:t>***III</w:t>
            </w:r>
            <w:r w:rsidRPr="004B104E">
              <w:tab/>
              <w:t>Συνήθης νομοθετική διαδικασία (τρίτη ανάγνωση)</w:t>
            </w:r>
          </w:p>
          <w:p w:rsidR="0049599D" w:rsidRPr="004B104E" w:rsidRDefault="0049599D" w:rsidP="004B110E">
            <w:pPr>
              <w:pStyle w:val="Lgendestandard"/>
            </w:pPr>
          </w:p>
          <w:p w:rsidR="0049599D" w:rsidRPr="004B104E" w:rsidRDefault="00AB08CD" w:rsidP="004B110E">
            <w:pPr>
              <w:pStyle w:val="Lgendestandard"/>
            </w:pPr>
            <w:r w:rsidRPr="004B104E">
              <w:t>(Η ενδεικνυόμενη διαδικασία στηρίζεται στη νομική βάση που προτείνεται στο σχέδιο πράξης)</w:t>
            </w:r>
          </w:p>
          <w:p w:rsidR="0049599D" w:rsidRPr="004B104E" w:rsidRDefault="0049599D" w:rsidP="004B110E">
            <w:pPr>
              <w:pStyle w:val="Lgendestandard"/>
            </w:pPr>
          </w:p>
        </w:tc>
      </w:tr>
    </w:tbl>
    <w:p w:rsidR="0049599D" w:rsidRPr="004B104E" w:rsidRDefault="0049599D" w:rsidP="0049599D"/>
    <w:p w:rsidR="0049599D" w:rsidRPr="004B104E" w:rsidRDefault="0049599D" w:rsidP="0049599D"/>
    <w:p w:rsidR="0049599D" w:rsidRPr="004B104E" w:rsidRDefault="0049599D" w:rsidP="0049599D"/>
    <w:p w:rsidR="0049599D" w:rsidRPr="004B104E" w:rsidRDefault="0049599D" w:rsidP="0049599D"/>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B82744" w:rsidRPr="004B104E" w:rsidTr="004B110E">
        <w:tc>
          <w:tcPr>
            <w:tcW w:w="5811" w:type="dxa"/>
          </w:tcPr>
          <w:p w:rsidR="0049599D" w:rsidRPr="004B104E" w:rsidRDefault="00AB08CD" w:rsidP="004B110E">
            <w:pPr>
              <w:pStyle w:val="Lgendetitre"/>
            </w:pPr>
            <w:r w:rsidRPr="004B104E">
              <w:t>Τροπολογίες σε σχέδιο πράξης</w:t>
            </w:r>
          </w:p>
        </w:tc>
      </w:tr>
      <w:tr w:rsidR="00B82744" w:rsidRPr="004B104E" w:rsidTr="004B110E">
        <w:trPr>
          <w:trHeight w:val="4496"/>
        </w:trPr>
        <w:tc>
          <w:tcPr>
            <w:tcW w:w="5811" w:type="dxa"/>
          </w:tcPr>
          <w:p w:rsidR="0049599D" w:rsidRPr="004B104E" w:rsidRDefault="00AB08CD" w:rsidP="004B110E">
            <w:pPr>
              <w:pStyle w:val="Lgendestandard"/>
              <w:rPr>
                <w:szCs w:val="24"/>
              </w:rPr>
            </w:pPr>
            <w:r w:rsidRPr="004B104E">
              <w:rPr>
                <w:b/>
              </w:rPr>
              <w:t>Τροπολογίες του Κοινοβουλίου σε δύο στήλες</w:t>
            </w:r>
          </w:p>
          <w:p w:rsidR="0049599D" w:rsidRPr="004B104E" w:rsidRDefault="0049599D" w:rsidP="004B110E">
            <w:pPr>
              <w:pStyle w:val="Lgendestandard"/>
              <w:rPr>
                <w:szCs w:val="24"/>
              </w:rPr>
            </w:pPr>
          </w:p>
          <w:p w:rsidR="0049599D" w:rsidRPr="004B104E" w:rsidRDefault="00AB08CD" w:rsidP="004B110E">
            <w:pPr>
              <w:pStyle w:val="Lgendestandard"/>
              <w:rPr>
                <w:szCs w:val="24"/>
              </w:rPr>
            </w:pPr>
            <w:r w:rsidRPr="004B104E">
              <w:t xml:space="preserve">Η διαγραφή κειμένου σημαίνεται με </w:t>
            </w:r>
            <w:r w:rsidRPr="004B104E">
              <w:rPr>
                <w:b/>
                <w:bCs/>
                <w:i/>
                <w:iCs/>
              </w:rPr>
              <w:t>πλάγιους έντονους χαρακτήρες</w:t>
            </w:r>
            <w:r w:rsidRPr="004B104E">
              <w:t xml:space="preserve"> στην αριστερή στήλη. Η αντικατάσταση κειμένου σημαίνεται με </w:t>
            </w:r>
            <w:r w:rsidRPr="004B104E">
              <w:rPr>
                <w:b/>
                <w:bCs/>
                <w:i/>
                <w:iCs/>
              </w:rPr>
              <w:t>πλάγιους έντονους χαρακτήρες</w:t>
            </w:r>
            <w:r w:rsidRPr="004B104E">
              <w:t xml:space="preserve"> και στις δύο στήλες. Το νέο</w:t>
            </w:r>
            <w:r w:rsidRPr="004B104E">
              <w:t xml:space="preserve"> κείμενο σημαίνεται με </w:t>
            </w:r>
            <w:r w:rsidRPr="004B104E">
              <w:rPr>
                <w:b/>
                <w:bCs/>
                <w:i/>
                <w:iCs/>
              </w:rPr>
              <w:t>πλάγιους έντονους χαρακτήρες</w:t>
            </w:r>
            <w:r w:rsidRPr="004B104E">
              <w:t xml:space="preserve"> στη δεξιά στήλη.</w:t>
            </w:r>
          </w:p>
          <w:p w:rsidR="0049599D" w:rsidRPr="004B104E" w:rsidRDefault="0049599D" w:rsidP="004B110E">
            <w:pPr>
              <w:pStyle w:val="Lgendestandard"/>
              <w:rPr>
                <w:szCs w:val="24"/>
              </w:rPr>
            </w:pPr>
          </w:p>
          <w:p w:rsidR="0049599D" w:rsidRPr="004B104E" w:rsidRDefault="00AB08CD" w:rsidP="004B110E">
            <w:pPr>
              <w:pStyle w:val="Lgendestandard"/>
              <w:rPr>
                <w:szCs w:val="24"/>
              </w:rPr>
            </w:pPr>
            <w:r w:rsidRPr="004B104E">
              <w:t xml:space="preserve">Η πρώτη και η δεύτερη γραμμή της επικεφαλίδας κάθε τροπολογίας προσδιορίζουν το σχετικό τμήμα του εξεταζόμενου σχεδίου πράξης. Εάν μία τροπολογία αναφέρεται σε ήδη υφιστάμενη πράξη την </w:t>
            </w:r>
            <w:r w:rsidRPr="004B104E">
              <w:t>οποία το σχέδιο πράξης αποσκοπεί να τροποποιήσει, η επικεφαλίδα περιέχει επιπλέον και μία τρίτη και μία τέταρτη γραμμή που προσδιορίζουν αντίστοιχα την υφιστάμενη πράξη και τη διάταξή της στην οποία αναφέρεται η τροπολογία.</w:t>
            </w:r>
          </w:p>
          <w:p w:rsidR="0049599D" w:rsidRPr="004B104E" w:rsidRDefault="0049599D" w:rsidP="004B110E">
            <w:pPr>
              <w:pStyle w:val="Lgendestandard"/>
              <w:rPr>
                <w:szCs w:val="24"/>
              </w:rPr>
            </w:pPr>
          </w:p>
          <w:p w:rsidR="0049599D" w:rsidRPr="004B104E" w:rsidRDefault="00AB08CD" w:rsidP="004B110E">
            <w:pPr>
              <w:pStyle w:val="Lgendestandard"/>
              <w:rPr>
                <w:b/>
                <w:szCs w:val="24"/>
              </w:rPr>
            </w:pPr>
            <w:r w:rsidRPr="004B104E">
              <w:rPr>
                <w:b/>
              </w:rPr>
              <w:t>Τροπολογίες του Κοινοβουλίου με</w:t>
            </w:r>
            <w:r w:rsidRPr="004B104E">
              <w:rPr>
                <w:b/>
              </w:rPr>
              <w:t xml:space="preserve"> μορφή ενοποιημένου κειμένου</w:t>
            </w:r>
          </w:p>
          <w:p w:rsidR="0049599D" w:rsidRPr="004B104E" w:rsidRDefault="0049599D" w:rsidP="004B110E">
            <w:pPr>
              <w:pStyle w:val="Lgendestandard"/>
              <w:rPr>
                <w:szCs w:val="24"/>
              </w:rPr>
            </w:pPr>
          </w:p>
          <w:p w:rsidR="0049599D" w:rsidRPr="004B104E" w:rsidRDefault="00AB08CD" w:rsidP="004B110E">
            <w:pPr>
              <w:pStyle w:val="Lgendestandard"/>
              <w:rPr>
                <w:szCs w:val="24"/>
              </w:rPr>
            </w:pPr>
            <w:r w:rsidRPr="004B104E">
              <w:t xml:space="preserve">Τα νέα τμήματα του κειμένου σημαίνονται με </w:t>
            </w:r>
            <w:r w:rsidRPr="004B104E">
              <w:rPr>
                <w:b/>
                <w:bCs/>
                <w:i/>
                <w:iCs/>
              </w:rPr>
              <w:t>πλάγιους έντονους χαρακτήρες</w:t>
            </w:r>
            <w:r w:rsidRPr="004B104E">
              <w:t xml:space="preserve">. Τα τμήματα του κειμένου που απαλείφονται σημαίνονται με το σύμβολο ▌ ή με διαγραφή. Η αντικατάσταση κειμένου σημαίνεται με </w:t>
            </w:r>
            <w:r w:rsidRPr="004B104E">
              <w:rPr>
                <w:b/>
                <w:bCs/>
                <w:i/>
                <w:iCs/>
              </w:rPr>
              <w:t>πλάγιους έντονους χαρακτήρες</w:t>
            </w:r>
            <w:r w:rsidRPr="004B104E">
              <w:t xml:space="preserve"> π</w:t>
            </w:r>
            <w:r w:rsidRPr="004B104E">
              <w:t xml:space="preserve">ου υποδηλώνουν το νέο κείμενο και με διαγραφή του κειμένου που αντικαθίσταται. </w:t>
            </w:r>
          </w:p>
          <w:p w:rsidR="0049599D" w:rsidRPr="004B104E" w:rsidRDefault="00AB08CD" w:rsidP="004B110E">
            <w:pPr>
              <w:pStyle w:val="Lgendestandard"/>
            </w:pPr>
            <w:r w:rsidRPr="004B104E">
              <w:t>Κατ’ εξαίρεση, δεν σημαίνονται οι τροποποιήσεις αυστηρά τεχνικής φύσης που επιφέρουν οι υπηρεσίες κατά την επεξεργασία του τελικού κειμένου.</w:t>
            </w:r>
          </w:p>
          <w:p w:rsidR="0049599D" w:rsidRPr="004B104E" w:rsidRDefault="0049599D" w:rsidP="004B110E">
            <w:pPr>
              <w:pStyle w:val="Lgendestandard"/>
            </w:pPr>
          </w:p>
        </w:tc>
      </w:tr>
    </w:tbl>
    <w:p w:rsidR="0049599D" w:rsidRPr="004B104E" w:rsidRDefault="0049599D" w:rsidP="0049599D"/>
    <w:p w:rsidR="0049599D" w:rsidRPr="004B104E" w:rsidRDefault="0049599D" w:rsidP="0049599D">
      <w:pPr>
        <w:widowControl/>
        <w:tabs>
          <w:tab w:val="center" w:pos="4677"/>
        </w:tabs>
      </w:pPr>
    </w:p>
    <w:p w:rsidR="0049599D" w:rsidRPr="004B104E" w:rsidRDefault="00AB08CD" w:rsidP="0049599D">
      <w:pPr>
        <w:pStyle w:val="TOCHeading"/>
      </w:pPr>
      <w:r w:rsidRPr="004B104E">
        <w:br w:type="page"/>
      </w:r>
      <w:r w:rsidRPr="004B104E">
        <w:lastRenderedPageBreak/>
        <w:t>ΠΕΡΙΕΧΟΜΕΝΑ</w:t>
      </w:r>
    </w:p>
    <w:p w:rsidR="0049599D" w:rsidRPr="004B104E" w:rsidRDefault="00AB08CD" w:rsidP="0049599D">
      <w:pPr>
        <w:pStyle w:val="TOCPage"/>
      </w:pPr>
      <w:r w:rsidRPr="004B104E">
        <w:t>Σελίδα</w:t>
      </w:r>
    </w:p>
    <w:p w:rsidR="00AB08CD" w:rsidRDefault="00AB08CD">
      <w:pPr>
        <w:pStyle w:val="TOC1"/>
        <w:tabs>
          <w:tab w:val="right" w:leader="dot" w:pos="9060"/>
        </w:tabs>
        <w:rPr>
          <w:rFonts w:asciiTheme="minorHAnsi" w:eastAsiaTheme="minorEastAsia" w:hAnsiTheme="minorHAnsi" w:cstheme="minorBidi"/>
          <w:noProof/>
          <w:sz w:val="22"/>
          <w:szCs w:val="22"/>
          <w:lang w:val="en-GB"/>
        </w:rPr>
      </w:pPr>
      <w:r w:rsidRPr="004B104E">
        <w:rPr>
          <w:b/>
        </w:rPr>
        <w:fldChar w:fldCharType="begin"/>
      </w:r>
      <w:r w:rsidRPr="004B104E">
        <w:rPr>
          <w:b/>
        </w:rPr>
        <w:instrText xml:space="preserve"> TOC \t "Pa</w:instrText>
      </w:r>
      <w:r w:rsidRPr="004B104E">
        <w:rPr>
          <w:b/>
        </w:rPr>
        <w:instrText>geHeading</w:instrText>
      </w:r>
      <w:r w:rsidR="006942B3" w:rsidRPr="004B104E">
        <w:rPr>
          <w:b/>
        </w:rPr>
        <w:instrText>;</w:instrText>
      </w:r>
      <w:r w:rsidRPr="004B104E">
        <w:rPr>
          <w:b/>
        </w:rPr>
        <w:instrText xml:space="preserve">1" </w:instrText>
      </w:r>
      <w:r w:rsidRPr="004B104E">
        <w:rPr>
          <w:b/>
        </w:rPr>
        <w:fldChar w:fldCharType="separate"/>
      </w:r>
      <w:r>
        <w:rPr>
          <w:noProof/>
        </w:rPr>
        <w:t>ΣΧΕΔΙΟ ΝΟΜΟΘΕΤΙΚΟΥ ΨΗΦΙΣΜΑΤΟΣ ΤΟΥ ΕΥΡΩΠΑΪΚΟΥ ΚΟΙΝΟΒΟΥΛΙΟΥ</w:t>
      </w:r>
      <w:r>
        <w:rPr>
          <w:noProof/>
        </w:rPr>
        <w:tab/>
      </w:r>
      <w:r>
        <w:rPr>
          <w:noProof/>
        </w:rPr>
        <w:fldChar w:fldCharType="begin"/>
      </w:r>
      <w:r>
        <w:rPr>
          <w:noProof/>
        </w:rPr>
        <w:instrText xml:space="preserve"> PAGEREF _Toc145335882 \h </w:instrText>
      </w:r>
      <w:r>
        <w:rPr>
          <w:noProof/>
        </w:rPr>
      </w:r>
      <w:r>
        <w:rPr>
          <w:noProof/>
        </w:rPr>
        <w:fldChar w:fldCharType="separate"/>
      </w:r>
      <w:r>
        <w:rPr>
          <w:noProof/>
        </w:rPr>
        <w:t>5</w:t>
      </w:r>
      <w:r>
        <w:rPr>
          <w:noProof/>
        </w:rPr>
        <w:fldChar w:fldCharType="end"/>
      </w:r>
    </w:p>
    <w:p w:rsidR="00AB08CD" w:rsidRDefault="00AB08CD">
      <w:pPr>
        <w:pStyle w:val="TOC1"/>
        <w:tabs>
          <w:tab w:val="right" w:leader="dot" w:pos="9060"/>
        </w:tabs>
        <w:rPr>
          <w:rFonts w:asciiTheme="minorHAnsi" w:eastAsiaTheme="minorEastAsia" w:hAnsiTheme="minorHAnsi" w:cstheme="minorBidi"/>
          <w:noProof/>
          <w:sz w:val="22"/>
          <w:szCs w:val="22"/>
          <w:lang w:val="en-GB"/>
        </w:rPr>
      </w:pPr>
      <w:r>
        <w:rPr>
          <w:noProof/>
        </w:rPr>
        <w:t>ΑΙΤΙΟΛΟΓΙΚΗ ΕΚΘΕΣΗ</w:t>
      </w:r>
      <w:r>
        <w:rPr>
          <w:noProof/>
        </w:rPr>
        <w:tab/>
      </w:r>
      <w:r>
        <w:rPr>
          <w:noProof/>
        </w:rPr>
        <w:fldChar w:fldCharType="begin"/>
      </w:r>
      <w:r>
        <w:rPr>
          <w:noProof/>
        </w:rPr>
        <w:instrText xml:space="preserve"> PAGEREF _Toc145335883 \h </w:instrText>
      </w:r>
      <w:r>
        <w:rPr>
          <w:noProof/>
        </w:rPr>
      </w:r>
      <w:r>
        <w:rPr>
          <w:noProof/>
        </w:rPr>
        <w:fldChar w:fldCharType="separate"/>
      </w:r>
      <w:r>
        <w:rPr>
          <w:noProof/>
        </w:rPr>
        <w:t>116</w:t>
      </w:r>
      <w:r>
        <w:rPr>
          <w:noProof/>
        </w:rPr>
        <w:fldChar w:fldCharType="end"/>
      </w:r>
    </w:p>
    <w:p w:rsidR="0049599D" w:rsidRPr="004B104E" w:rsidRDefault="00AB08CD" w:rsidP="0049599D">
      <w:r w:rsidRPr="004B104E">
        <w:rPr>
          <w:b/>
        </w:rPr>
        <w:fldChar w:fldCharType="end"/>
      </w:r>
    </w:p>
    <w:p w:rsidR="00714966" w:rsidRPr="004B104E" w:rsidRDefault="00AB08CD" w:rsidP="00714966">
      <w:pPr>
        <w:pStyle w:val="PageHeading"/>
      </w:pPr>
      <w:r w:rsidRPr="004B104E">
        <w:br w:type="page"/>
      </w:r>
      <w:r w:rsidRPr="004B104E">
        <w:lastRenderedPageBreak/>
        <w:br w:type="page"/>
      </w:r>
      <w:bookmarkStart w:id="0" w:name="_Toc140763169"/>
      <w:bookmarkStart w:id="1" w:name="_Toc145335882"/>
      <w:r w:rsidRPr="004B104E">
        <w:lastRenderedPageBreak/>
        <w:t>ΣΧΕΔΙΟ ΝΟΜΟΘΕΤΙΚΟΥ ΨΗΦΙΣΜΑΤΟΣ ΤΟΥ ΕΥΡΩΠΑΪΚΟΥ ΚΟΙΝΟΒΟΥΛΙΟΥ</w:t>
      </w:r>
      <w:bookmarkEnd w:id="0"/>
      <w:bookmarkEnd w:id="1"/>
    </w:p>
    <w:p w:rsidR="00714966" w:rsidRPr="004B104E" w:rsidRDefault="00AB08CD" w:rsidP="00AB08CD">
      <w:pPr>
        <w:pStyle w:val="NormalBold"/>
        <w:jc w:val="both"/>
      </w:pPr>
      <w:r w:rsidRPr="004B104E">
        <w:t xml:space="preserve">σχετικά με την πρόταση κανονισμού του Ευρωπαϊκού Κοινοβουλίου και του Συμβουλίου για την τροποποίηση του κανονισμού (ΕΕ) 2017/2107 για τον καθορισμό μέτρων διαχείρισης, </w:t>
      </w:r>
      <w:r w:rsidRPr="004B104E">
        <w:t>διατήρησης και ελέγχου που εφαρμόζονται στη ζώνη της σύμβασης της Διεθνούς Επιτροπής για τη Διατήρηση των Θυννοειδών του Ατλαντικού (ICCAT) και του κανονισμού (ΕΕ).../2022 για τη θέσπιση πολυετούς σχεδίου διαχείρισης του ερυθρού τόνου στον Ανατολικό Ατλαντ</w:t>
      </w:r>
      <w:r w:rsidRPr="004B104E">
        <w:t>ικό και στη Μεσόγειο</w:t>
      </w:r>
    </w:p>
    <w:p w:rsidR="00714966" w:rsidRPr="004B104E" w:rsidRDefault="00AB08CD" w:rsidP="00714966">
      <w:pPr>
        <w:pStyle w:val="NormalBold12a"/>
      </w:pPr>
      <w:r w:rsidRPr="004B104E">
        <w:t>(COM(2022)0171 – C9</w:t>
      </w:r>
      <w:r w:rsidRPr="004B104E">
        <w:noBreakHyphen/>
        <w:t>0151/2022 – 2022/0111(COD))</w:t>
      </w:r>
    </w:p>
    <w:p w:rsidR="00714966" w:rsidRPr="004B104E" w:rsidRDefault="00AB08CD" w:rsidP="00714966">
      <w:pPr>
        <w:pStyle w:val="NormalBold"/>
      </w:pPr>
      <w:r w:rsidRPr="004B104E">
        <w:t>(Συνήθης νομοθετική διαδικασία: πρώτη ανάγνωση)</w:t>
      </w:r>
    </w:p>
    <w:p w:rsidR="00714966" w:rsidRPr="004B104E" w:rsidRDefault="00AB08CD" w:rsidP="00714966">
      <w:pPr>
        <w:pStyle w:val="EPComma"/>
      </w:pPr>
      <w:r w:rsidRPr="004B104E">
        <w:rPr>
          <w:i/>
          <w:iCs/>
        </w:rPr>
        <w:t>Το Ευρωπαϊκό Κοινοβούλιο,</w:t>
      </w:r>
    </w:p>
    <w:p w:rsidR="00714966" w:rsidRPr="004B104E" w:rsidRDefault="00AB08CD" w:rsidP="00714966">
      <w:pPr>
        <w:pStyle w:val="NormalHanging12a"/>
      </w:pPr>
      <w:r w:rsidRPr="004B104E">
        <w:t>–</w:t>
      </w:r>
      <w:r w:rsidRPr="004B104E">
        <w:tab/>
        <w:t>έχοντας υπόψη την πρόταση της Επιτροπής προς το Κοινοβούλιο και το Συμβούλιο (COM(2022)0171),</w:t>
      </w:r>
    </w:p>
    <w:p w:rsidR="00714966" w:rsidRPr="004B104E" w:rsidRDefault="00AB08CD" w:rsidP="00714966">
      <w:pPr>
        <w:pStyle w:val="NormalHanging12a"/>
      </w:pPr>
      <w:r w:rsidRPr="004B104E">
        <w:t>–</w:t>
      </w:r>
      <w:r w:rsidRPr="004B104E">
        <w:tab/>
        <w:t xml:space="preserve">έχοντας υπόψη </w:t>
      </w:r>
      <w:r w:rsidRPr="004B104E">
        <w:t>το άρθρο 294 παράγραφος 2 και το άρθρο 43 παράγραφος 2 της Συνθήκης για τη λειτουργία της Ευρωπαϊκής Ένωσης, σύμφωνα με τα οποία του υποβλήθηκε η πρόταση από την Επιτροπή (C9</w:t>
      </w:r>
      <w:r w:rsidRPr="004B104E">
        <w:noBreakHyphen/>
        <w:t>0151/2022),</w:t>
      </w:r>
    </w:p>
    <w:p w:rsidR="00714966" w:rsidRPr="004B104E" w:rsidRDefault="00AB08CD" w:rsidP="00714966">
      <w:pPr>
        <w:pStyle w:val="NormalHanging12a"/>
      </w:pPr>
      <w:r w:rsidRPr="004B104E">
        <w:t>–</w:t>
      </w:r>
      <w:r w:rsidRPr="004B104E">
        <w:tab/>
        <w:t>έχοντας υπόψη το άρθρο 294 παράγραφος 3 της Συνθήκης για τη λειτουρ</w:t>
      </w:r>
      <w:r w:rsidRPr="004B104E">
        <w:t>γία της Ευρωπαϊκής Ένωσης,</w:t>
      </w:r>
    </w:p>
    <w:p w:rsidR="00714966" w:rsidRPr="004B104E" w:rsidRDefault="00AB08CD" w:rsidP="00714966">
      <w:pPr>
        <w:pStyle w:val="NormalHanging12a"/>
      </w:pPr>
      <w:r w:rsidRPr="004B104E">
        <w:t>–</w:t>
      </w:r>
      <w:r w:rsidRPr="004B104E">
        <w:tab/>
        <w:t>έχοντας υπόψη τη γνώμη της Ευρωπαϊκής Οικονομικής και Κοινωνικής Επιτροπής</w:t>
      </w:r>
      <w:r w:rsidRPr="004B104E">
        <w:rPr>
          <w:rStyle w:val="FootnoteReference"/>
        </w:rPr>
        <w:footnoteReference w:id="1"/>
      </w:r>
      <w:r w:rsidRPr="004B104E">
        <w:t>,</w:t>
      </w:r>
    </w:p>
    <w:p w:rsidR="00714966" w:rsidRPr="004B104E" w:rsidRDefault="00AB08CD" w:rsidP="00714966">
      <w:pPr>
        <w:pStyle w:val="NormalHanging12a"/>
      </w:pPr>
      <w:r w:rsidRPr="004B104E">
        <w:t>–</w:t>
      </w:r>
      <w:r w:rsidRPr="004B104E">
        <w:tab/>
        <w:t>έχοντας υπόψη το άρθρο 59 του Κανονισμού του,</w:t>
      </w:r>
    </w:p>
    <w:p w:rsidR="00714966" w:rsidRPr="004B104E" w:rsidRDefault="00AB08CD" w:rsidP="00714966">
      <w:pPr>
        <w:pStyle w:val="NormalHanging12a"/>
      </w:pPr>
      <w:r w:rsidRPr="004B104E">
        <w:t>–</w:t>
      </w:r>
      <w:r w:rsidRPr="004B104E">
        <w:tab/>
        <w:t>έχοντας υπόψη την έκθεση της Επιτροπής Αλιείας (A9</w:t>
      </w:r>
      <w:r w:rsidRPr="004B104E">
        <w:noBreakHyphen/>
        <w:t>0000/2023),</w:t>
      </w:r>
    </w:p>
    <w:p w:rsidR="00714966" w:rsidRPr="004B104E" w:rsidRDefault="00AB08CD" w:rsidP="00714966">
      <w:pPr>
        <w:pStyle w:val="NormalHanging12a"/>
      </w:pPr>
      <w:r w:rsidRPr="004B104E">
        <w:t>1.</w:t>
      </w:r>
      <w:r w:rsidRPr="004B104E">
        <w:tab/>
        <w:t>εγκρίνει τη θέση του σε πρώτη ανάγ</w:t>
      </w:r>
      <w:r w:rsidRPr="004B104E">
        <w:t>νωση όπως παρατίθεται κατωτέρω·</w:t>
      </w:r>
    </w:p>
    <w:p w:rsidR="00714966" w:rsidRPr="004B104E" w:rsidRDefault="00AB08CD" w:rsidP="00714966">
      <w:pPr>
        <w:pStyle w:val="NormalHanging12a"/>
      </w:pPr>
      <w:r w:rsidRPr="004B104E">
        <w:t>2.</w:t>
      </w:r>
      <w:r w:rsidRPr="004B104E">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714966" w:rsidRPr="004B104E" w:rsidRDefault="00AB08CD" w:rsidP="00714966">
      <w:pPr>
        <w:pStyle w:val="NormalHanging12a"/>
      </w:pPr>
      <w:r w:rsidRPr="004B104E">
        <w:t>3.</w:t>
      </w:r>
      <w:r w:rsidRPr="004B104E">
        <w:tab/>
        <w:t xml:space="preserve">αναθέτει </w:t>
      </w:r>
      <w:r w:rsidRPr="004B104E">
        <w:t>στην Πρόεδρό του να διαβιβάσει τη θέση του Κοινοβουλίου στο Συμβούλιο, στην Επιτροπή και στα εθνικά κοινοβούλια.</w:t>
      </w:r>
    </w:p>
    <w:p w:rsidR="00714966" w:rsidRPr="004B104E" w:rsidRDefault="00AB08CD" w:rsidP="00714966">
      <w:pPr>
        <w:widowControl/>
      </w:pPr>
      <w:r w:rsidRPr="004B104E">
        <w:br w:type="page"/>
      </w:r>
    </w:p>
    <w:p w:rsidR="00714966" w:rsidRPr="004B104E" w:rsidRDefault="00714966" w:rsidP="00714966"/>
    <w:p w:rsidR="00714966" w:rsidRPr="004B104E" w:rsidRDefault="00AB08CD" w:rsidP="00714966">
      <w:pPr>
        <w:pStyle w:val="AMNumberTabs0"/>
        <w:keepNext/>
      </w:pPr>
      <w:r w:rsidRPr="004B104E">
        <w:rPr>
          <w:rStyle w:val="HideTWBExt"/>
        </w:rPr>
        <w:t>&lt;RepeatBlock-Amend&gt;&lt;Amend&gt;</w:t>
      </w:r>
      <w:r w:rsidRPr="004B104E">
        <w:t>Τροπολογία</w:t>
      </w:r>
      <w:r w:rsidRPr="004B104E">
        <w:tab/>
      </w:r>
      <w:r w:rsidRPr="004B104E">
        <w:tab/>
      </w:r>
      <w:r w:rsidRPr="004B104E">
        <w:rPr>
          <w:rStyle w:val="HideTWBExt"/>
        </w:rPr>
        <w:t>&lt;NumAm&gt;</w:t>
      </w:r>
      <w:r w:rsidRPr="004B104E">
        <w:t>1</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Αιτιολογική σκέψη 1</w:t>
      </w:r>
      <w:r w:rsidRPr="004B104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Κείμενο που προτείνει η Επιτροπή</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hideMark/>
          </w:tcPr>
          <w:p w:rsidR="00714966" w:rsidRPr="004B104E" w:rsidRDefault="00AB08CD">
            <w:pPr>
              <w:pStyle w:val="Normal6"/>
            </w:pPr>
            <w:r w:rsidRPr="004B104E">
              <w:t>(1)</w:t>
            </w:r>
            <w:r w:rsidRPr="004B104E">
              <w:tab/>
              <w:t>Μετά την έκδοση του κανονισμού (ΕΕ) 2017/2107 του Ευρωπαϊκού Κοινοβουλίου και του Συμβουλίου</w:t>
            </w:r>
            <w:r w:rsidRPr="004B104E">
              <w:rPr>
                <w:vertAlign w:val="superscript"/>
              </w:rPr>
              <w:t>2</w:t>
            </w:r>
            <w:r w:rsidRPr="004B104E">
              <w:t>, η Διεθνής Επιτροπή για τη Διατήρηση των Θυννοειδών του Ατλαντικού (ICCAT) ενέκρινε κατά τις ετήσιες συνεδριάσεις</w:t>
            </w:r>
            <w:r w:rsidRPr="004B104E">
              <w:t xml:space="preserve"> της των ετών 2017, 2018, 2019 και </w:t>
            </w:r>
            <w:r w:rsidRPr="004B104E">
              <w:rPr>
                <w:b/>
                <w:i/>
              </w:rPr>
              <w:t>2021</w:t>
            </w:r>
            <w:r w:rsidRPr="004B104E">
              <w:t xml:space="preserve"> σειρά νομικά δεσμευτικών μέτρων για τη διατήρηση των αλιευτικών πόρων που εμπίπτουν στην αρμοδιότητά της. </w:t>
            </w:r>
            <w:r w:rsidRPr="004B104E">
              <w:rPr>
                <w:b/>
                <w:i/>
              </w:rPr>
              <w:t>Επιπλέον, η ΕΕ δεν έχει ακόμη εφαρμόσει τα νομικά δεσμευτικά μέτρα που εγκρίθηκαν κατά την ετήσια συνεδρίαση τ</w:t>
            </w:r>
            <w:r w:rsidRPr="004B104E">
              <w:rPr>
                <w:b/>
                <w:i/>
              </w:rPr>
              <w:t>ης ICCAT το 2006 σχετικά με τις δραστηριότητες εκτροφής του ερυθρού τόνου.</w:t>
            </w:r>
          </w:p>
        </w:tc>
        <w:tc>
          <w:tcPr>
            <w:tcW w:w="4876" w:type="dxa"/>
            <w:hideMark/>
          </w:tcPr>
          <w:p w:rsidR="00714966" w:rsidRPr="004B104E" w:rsidRDefault="00AB08CD">
            <w:pPr>
              <w:pStyle w:val="Normal6"/>
              <w:rPr>
                <w:szCs w:val="24"/>
              </w:rPr>
            </w:pPr>
            <w:r w:rsidRPr="004B104E">
              <w:t>(1)</w:t>
            </w:r>
            <w:r w:rsidRPr="004B104E">
              <w:tab/>
              <w:t>Μετά την έκδοση του κανονισμού (ΕΕ) 2017/2107 του Ευρωπαϊκού Κοινοβουλίου και του Συμβουλίου</w:t>
            </w:r>
            <w:r w:rsidRPr="004B104E">
              <w:rPr>
                <w:vertAlign w:val="superscript"/>
              </w:rPr>
              <w:t>2</w:t>
            </w:r>
            <w:r w:rsidRPr="004B104E">
              <w:t>, η Διεθνής Επιτροπή για τη Διατήρηση των Θυννοειδών του Ατλαντικού (ICCAT) ενέκρινε</w:t>
            </w:r>
            <w:r w:rsidRPr="004B104E">
              <w:t xml:space="preserve"> κατά τις ετήσιες συνεδριάσεις της των ετών 2017, 2018, 2019</w:t>
            </w:r>
            <w:r w:rsidRPr="004B104E">
              <w:rPr>
                <w:b/>
                <w:i/>
              </w:rPr>
              <w:t>, 2021</w:t>
            </w:r>
            <w:r w:rsidRPr="004B104E">
              <w:t xml:space="preserve"> και </w:t>
            </w:r>
            <w:r w:rsidRPr="004B104E">
              <w:rPr>
                <w:b/>
                <w:i/>
              </w:rPr>
              <w:t>2022</w:t>
            </w:r>
            <w:r w:rsidRPr="004B104E">
              <w:t xml:space="preserve"> σειρά νομικά δεσμευτικών μέτρων για τη διατήρηση των αλιευτικών πόρων που εμπίπτουν στην αρμοδιότητά της.</w:t>
            </w:r>
          </w:p>
        </w:tc>
      </w:tr>
      <w:tr w:rsidR="00B82744" w:rsidRPr="004B104E" w:rsidTr="00714966">
        <w:trPr>
          <w:jc w:val="center"/>
        </w:trPr>
        <w:tc>
          <w:tcPr>
            <w:tcW w:w="4876" w:type="dxa"/>
            <w:hideMark/>
          </w:tcPr>
          <w:p w:rsidR="00714966" w:rsidRPr="004B104E" w:rsidRDefault="00AB08CD">
            <w:pPr>
              <w:pStyle w:val="Normal6"/>
            </w:pPr>
            <w:r w:rsidRPr="004B104E">
              <w:t>__________________</w:t>
            </w:r>
          </w:p>
        </w:tc>
        <w:tc>
          <w:tcPr>
            <w:tcW w:w="4876" w:type="dxa"/>
            <w:hideMark/>
          </w:tcPr>
          <w:p w:rsidR="00714966" w:rsidRPr="004B104E" w:rsidRDefault="00AB08CD">
            <w:pPr>
              <w:pStyle w:val="Normal6"/>
              <w:rPr>
                <w:szCs w:val="24"/>
              </w:rPr>
            </w:pPr>
            <w:r w:rsidRPr="004B104E">
              <w:t>__________________</w:t>
            </w:r>
          </w:p>
        </w:tc>
      </w:tr>
      <w:tr w:rsidR="00B82744" w:rsidRPr="004B104E" w:rsidTr="00714966">
        <w:trPr>
          <w:jc w:val="center"/>
        </w:trPr>
        <w:tc>
          <w:tcPr>
            <w:tcW w:w="4876" w:type="dxa"/>
            <w:hideMark/>
          </w:tcPr>
          <w:p w:rsidR="00714966" w:rsidRPr="004B104E" w:rsidRDefault="00AB08CD">
            <w:pPr>
              <w:pStyle w:val="Normal6"/>
            </w:pPr>
            <w:r w:rsidRPr="004B104E">
              <w:rPr>
                <w:vertAlign w:val="superscript"/>
              </w:rPr>
              <w:t xml:space="preserve">2 </w:t>
            </w:r>
            <w:r w:rsidRPr="004B104E">
              <w:t>Κανονισμός (ΕΕ) 2017/2107 του Ευ</w:t>
            </w:r>
            <w:r w:rsidRPr="004B104E">
              <w:t>ρωπαϊκού Κοινοβουλίου και του Συμβουλίου, της 15ης Νοεμβρίου 2017, για τον καθορισμό μέτρων διαχείρισης, διατήρησης και ελέγχου που εφαρμόζονται στη ζώνη της σύμβασης της Διεθνούς Επιτροπής για τη Διατήρηση των Θυννοειδών του Ατλαντικού (ICCAT) και για την</w:t>
            </w:r>
            <w:r w:rsidRPr="004B104E">
              <w:t xml:space="preserve"> τροποποίηση των κανονισμών (ΕΚ) αριθ. 1936/2001, (ΕΚ) αριθ. 1984/2003 και (ΕΚ) αριθ. 520/2007 (ΕΕ L 315 της 30.11.2017, σ. 1).</w:t>
            </w:r>
          </w:p>
        </w:tc>
        <w:tc>
          <w:tcPr>
            <w:tcW w:w="4876" w:type="dxa"/>
            <w:hideMark/>
          </w:tcPr>
          <w:p w:rsidR="00714966" w:rsidRPr="004B104E" w:rsidRDefault="00AB08CD">
            <w:pPr>
              <w:pStyle w:val="Normal6"/>
              <w:rPr>
                <w:szCs w:val="24"/>
              </w:rPr>
            </w:pPr>
            <w:r w:rsidRPr="004B104E">
              <w:rPr>
                <w:vertAlign w:val="superscript"/>
              </w:rPr>
              <w:t xml:space="preserve">2 </w:t>
            </w:r>
            <w:r w:rsidRPr="004B104E">
              <w:t>Κανονισμός (ΕΕ) 2017/2107 του Ευρωπαϊκού Κοινοβουλίου και του Συμβουλίου, της 15ης Νοεμβρίου 2017, για τον καθορισμό μέτρων δι</w:t>
            </w:r>
            <w:r w:rsidRPr="004B104E">
              <w:t>αχείρισης, διατήρησης και ελέγχου που εφαρμόζονται στη ζώνη της σύμβασης της Διεθνούς Επιτροπής για τη Διατήρηση των Θυννοειδών του Ατλαντικού (ICCAT) και για την τροποποίηση των κανονισμών (ΕΚ) αριθ. 1936/2001, (ΕΚ) αριθ. 1984/2003 και (ΕΚ) αριθ. 520/2007</w:t>
            </w:r>
            <w:r w:rsidRPr="004B104E">
              <w:t xml:space="preserve"> (ΕΕ L 315 της 30.11.2017, σ. 1).</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Το παρόν σχέδιο έκθεσης περιλαμβάνει επίσης πρόταση για μεταφορά των συστάσεων της ICCAT από τις ετήσιες συνεδριάσεις του 2021 και του 2022.</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lastRenderedPageBreak/>
        <w:t>&lt;Amend&gt;</w:t>
      </w:r>
      <w:r w:rsidRPr="004B104E">
        <w:t>Τροπολογία</w:t>
      </w:r>
      <w:r w:rsidRPr="004B104E">
        <w:tab/>
      </w:r>
      <w:r w:rsidRPr="004B104E">
        <w:tab/>
      </w:r>
      <w:r w:rsidRPr="004B104E">
        <w:rPr>
          <w:rStyle w:val="HideTWBExt"/>
        </w:rPr>
        <w:t>&lt;NumAm&gt;</w:t>
      </w:r>
      <w:r w:rsidRPr="004B104E">
        <w:t>2</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Αιτιολογική σκέψη 2</w:t>
      </w:r>
      <w:r w:rsidRPr="004B104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Κείμενο που προτείνει η Επιτροπή</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hideMark/>
          </w:tcPr>
          <w:p w:rsidR="00714966" w:rsidRPr="004B104E" w:rsidRDefault="00AB08CD">
            <w:pPr>
              <w:pStyle w:val="Normal6"/>
            </w:pPr>
            <w:r w:rsidRPr="004B104E">
              <w:t>(2)</w:t>
            </w:r>
            <w:r w:rsidRPr="004B104E">
              <w:tab/>
              <w:t xml:space="preserve">Ως εκ τούτου, ο κανονισμός (ΕΕ) 2017/2107 θα πρέπει να τροποποιηθεί, ώστε να ενσωματωθούν </w:t>
            </w:r>
            <w:r w:rsidRPr="004B104E">
              <w:t xml:space="preserve">στο δίκαιο της Ένωσης τα μέτρα της ICCAT για τους τροπικούς τόνους, τον μακρύπτερο τόνο Βορείου και Νοτίου Ατλαντικού, τον ιστιοφόρο, το γαλάζιο και το λευκό μάρλιν, την υποβολή στοιχείων σχετικά με τους ιστιοφόρους (Istiophoridae), τον ρυγχοκαρχαρία, </w:t>
            </w:r>
            <w:r w:rsidRPr="004B104E">
              <w:rPr>
                <w:b/>
                <w:i/>
              </w:rPr>
              <w:t>καθώ</w:t>
            </w:r>
            <w:r w:rsidRPr="004B104E">
              <w:rPr>
                <w:b/>
                <w:i/>
              </w:rPr>
              <w:t>ς</w:t>
            </w:r>
            <w:r w:rsidRPr="004B104E">
              <w:t xml:space="preserve"> και </w:t>
            </w:r>
            <w:r w:rsidRPr="004B104E">
              <w:rPr>
                <w:b/>
                <w:i/>
              </w:rPr>
              <w:t>το πρόγραμμα των</w:t>
            </w:r>
            <w:r w:rsidRPr="004B104E">
              <w:t xml:space="preserve"> παρατηρητών</w:t>
            </w:r>
            <w:r w:rsidRPr="004B104E">
              <w:rPr>
                <w:b/>
                <w:i/>
              </w:rPr>
              <w:t>,</w:t>
            </w:r>
            <w:r w:rsidRPr="004B104E">
              <w:t xml:space="preserve"> τις αρμοδιότητες των επιστημονικών παρατηρητών και την επικαιροποίηση του καταλόγου των ειδών της ICCAT.</w:t>
            </w:r>
          </w:p>
        </w:tc>
        <w:tc>
          <w:tcPr>
            <w:tcW w:w="4876" w:type="dxa"/>
            <w:hideMark/>
          </w:tcPr>
          <w:p w:rsidR="00714966" w:rsidRPr="004B104E" w:rsidRDefault="00AB08CD">
            <w:pPr>
              <w:pStyle w:val="Normal6"/>
              <w:rPr>
                <w:szCs w:val="24"/>
              </w:rPr>
            </w:pPr>
            <w:r w:rsidRPr="004B104E">
              <w:t>(2)</w:t>
            </w:r>
            <w:r w:rsidRPr="004B104E">
              <w:tab/>
              <w:t>Ως εκ τούτου, ο κανονισμός (ΕΕ) 2017/2107 θα πρέπει να τροποποιηθεί, ώστε να ενσωματωθούν στο δίκαιο της Ένωσης</w:t>
            </w:r>
            <w:r w:rsidRPr="004B104E">
              <w:t xml:space="preserve"> τα μέτρα της ICCAT για τους τροπικούς τόνους, τον </w:t>
            </w:r>
            <w:r w:rsidRPr="004B104E">
              <w:rPr>
                <w:b/>
                <w:i/>
              </w:rPr>
              <w:t xml:space="preserve">μακρύπτερο τόνο της Μεσογείου, τον </w:t>
            </w:r>
            <w:r w:rsidRPr="004B104E">
              <w:t>μακρύπτερο τόνο Βορείου και Νοτίου Ατλαντικού, τον ιστιοφόρο, το γαλάζιο και το λευκό μάρλιν, την υποβολή στοιχείων σχετικά με τους ιστιοφόρους (Istiophoridae), τον ρυγχο</w:t>
            </w:r>
            <w:r w:rsidRPr="004B104E">
              <w:t>καρχαρία</w:t>
            </w:r>
            <w:r w:rsidRPr="004B104E">
              <w:rPr>
                <w:b/>
                <w:i/>
              </w:rPr>
              <w:t xml:space="preserve"> Βορείου και Νοτίου Ατλαντικού</w:t>
            </w:r>
            <w:r w:rsidRPr="004B104E">
              <w:t xml:space="preserve">, </w:t>
            </w:r>
            <w:r w:rsidRPr="004B104E">
              <w:rPr>
                <w:b/>
                <w:i/>
              </w:rPr>
              <w:t>τα παρεμπίπτοντα αλιεύματα χελώνας</w:t>
            </w:r>
            <w:r w:rsidRPr="004B104E">
              <w:t xml:space="preserve"> και </w:t>
            </w:r>
            <w:r w:rsidRPr="004B104E">
              <w:rPr>
                <w:b/>
                <w:i/>
              </w:rPr>
              <w:t>διατάξεις σχετικά με την παράνομη, λαθραία και άναρχη (ΠΛΑ) αλιεία, καθώς και πρόγραμμα</w:t>
            </w:r>
            <w:r w:rsidRPr="004B104E">
              <w:t xml:space="preserve"> παρατηρητών</w:t>
            </w:r>
            <w:r w:rsidRPr="004B104E">
              <w:rPr>
                <w:b/>
                <w:i/>
              </w:rPr>
              <w:t xml:space="preserve"> που περιλαμβάνει</w:t>
            </w:r>
            <w:r w:rsidRPr="004B104E">
              <w:t xml:space="preserve"> τις αρμοδιότητες των επιστημονικών παρατηρητών και την επικα</w:t>
            </w:r>
            <w:r w:rsidRPr="004B104E">
              <w:t>ιροποίηση του καταλόγου των ειδών της ICCAT.</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 xml:space="preserve">Στο παρόν σχέδιο έκθεσης συμπεριλήφθηκαν νέες διατάξεις σχετικά με τον κανονισμό ICCAT, προκειμένου να επικαιροποιηθεί η μεταφορά στο εθνικό </w:t>
      </w:r>
      <w:r w:rsidRPr="004B104E">
        <w:t>δίκαιο με τις πλέον πρόσφατες συστάσεις που συμφωνήθηκαν στην ICCAT.</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3</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Αιτιολογική σκέψη 3</w:t>
      </w:r>
      <w:r w:rsidRPr="004B104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Κείμενο που προτείνει η Επιτροπή</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hideMark/>
          </w:tcPr>
          <w:p w:rsidR="00714966" w:rsidRPr="004B104E" w:rsidRDefault="00AB08CD">
            <w:pPr>
              <w:pStyle w:val="Normal6"/>
            </w:pPr>
            <w:r w:rsidRPr="004B104E">
              <w:t>(3)</w:t>
            </w:r>
            <w:r w:rsidRPr="004B104E">
              <w:tab/>
              <w:t>Ο κανονισμός</w:t>
            </w:r>
            <w:r w:rsidRPr="004B104E">
              <w:t xml:space="preserve"> (</w:t>
            </w:r>
            <w:r w:rsidRPr="004B104E">
              <w:rPr>
                <w:b/>
                <w:i/>
              </w:rPr>
              <w:t>ΕΕ</w:t>
            </w:r>
            <w:r w:rsidRPr="004B104E">
              <w:t>) XX/2022</w:t>
            </w:r>
            <w:r w:rsidRPr="004B104E">
              <w:rPr>
                <w:vertAlign w:val="superscript"/>
              </w:rPr>
              <w:t>3</w:t>
            </w:r>
            <w:r w:rsidRPr="004B104E">
              <w:t xml:space="preserve"> θα πρέπει να τροποποιηθεί ώστε να </w:t>
            </w:r>
            <w:r w:rsidRPr="004B104E">
              <w:rPr>
                <w:b/>
                <w:i/>
              </w:rPr>
              <w:t>ενσωματωθεί</w:t>
            </w:r>
            <w:r w:rsidRPr="004B104E">
              <w:t xml:space="preserve"> στο δίκαιο της Ένωσης </w:t>
            </w:r>
            <w:r w:rsidRPr="004B104E">
              <w:rPr>
                <w:b/>
                <w:i/>
              </w:rPr>
              <w:t xml:space="preserve">η ετήσια δήλωση των κρατών μελών σχετικά με τη μεταφορά </w:t>
            </w:r>
            <w:r w:rsidRPr="004B104E">
              <w:rPr>
                <w:b/>
                <w:i/>
              </w:rPr>
              <w:lastRenderedPageBreak/>
              <w:t>αχρησιμοποίητων</w:t>
            </w:r>
            <w:r w:rsidRPr="004B104E">
              <w:t xml:space="preserve"> ποσοστώσεων</w:t>
            </w:r>
            <w:r w:rsidRPr="004B104E">
              <w:rPr>
                <w:b/>
                <w:i/>
              </w:rPr>
              <w:t xml:space="preserve"> εκτροφής</w:t>
            </w:r>
            <w:r w:rsidRPr="004B104E">
              <w:t xml:space="preserve"> και </w:t>
            </w:r>
            <w:r w:rsidRPr="004B104E">
              <w:rPr>
                <w:b/>
                <w:i/>
              </w:rPr>
              <w:t>ορισμένες υποχρεώσεις σχετικά με</w:t>
            </w:r>
            <w:r w:rsidRPr="004B104E">
              <w:t xml:space="preserve"> τον εγκλωβισμό.</w:t>
            </w:r>
          </w:p>
        </w:tc>
        <w:tc>
          <w:tcPr>
            <w:tcW w:w="4876" w:type="dxa"/>
            <w:hideMark/>
          </w:tcPr>
          <w:p w:rsidR="00714966" w:rsidRPr="004B104E" w:rsidRDefault="00AB08CD">
            <w:pPr>
              <w:pStyle w:val="Normal6"/>
              <w:rPr>
                <w:szCs w:val="24"/>
              </w:rPr>
            </w:pPr>
            <w:r w:rsidRPr="004B104E">
              <w:lastRenderedPageBreak/>
              <w:t>(3)</w:t>
            </w:r>
            <w:r w:rsidRPr="004B104E">
              <w:tab/>
              <w:t>Ο κανονισμός (</w:t>
            </w:r>
            <w:r w:rsidRPr="004B104E">
              <w:rPr>
                <w:b/>
                <w:i/>
              </w:rPr>
              <w:t>EE</w:t>
            </w:r>
            <w:r w:rsidRPr="004B104E">
              <w:t>) XX/20</w:t>
            </w:r>
            <w:r w:rsidRPr="004B104E">
              <w:t>22</w:t>
            </w:r>
            <w:r w:rsidRPr="004B104E">
              <w:rPr>
                <w:vertAlign w:val="superscript"/>
              </w:rPr>
              <w:t>3</w:t>
            </w:r>
            <w:r w:rsidRPr="004B104E">
              <w:t xml:space="preserve"> θα πρέπει να τροποποιηθεί ώστε να </w:t>
            </w:r>
            <w:r w:rsidRPr="004B104E">
              <w:rPr>
                <w:b/>
                <w:i/>
              </w:rPr>
              <w:t>ενσωματωθούν</w:t>
            </w:r>
            <w:r w:rsidRPr="004B104E">
              <w:t xml:space="preserve"> στο δίκαιο της Ένωσης </w:t>
            </w:r>
            <w:r w:rsidRPr="004B104E">
              <w:rPr>
                <w:b/>
                <w:i/>
              </w:rPr>
              <w:t xml:space="preserve">οι διατάξεις για τη διαχείριση του ερυθρού τόνου που αφορούν τους ορισμούς, οι </w:t>
            </w:r>
            <w:r w:rsidRPr="004B104E">
              <w:rPr>
                <w:b/>
                <w:i/>
              </w:rPr>
              <w:lastRenderedPageBreak/>
              <w:t>μεταβιβάσεις</w:t>
            </w:r>
            <w:r w:rsidRPr="004B104E">
              <w:t xml:space="preserve"> ποσοστώσεων</w:t>
            </w:r>
            <w:r w:rsidRPr="004B104E">
              <w:rPr>
                <w:b/>
                <w:i/>
              </w:rPr>
              <w:t>, η απαγόρευση διατήρησης, η αγωνιστική</w:t>
            </w:r>
            <w:r w:rsidRPr="004B104E">
              <w:t xml:space="preserve"> και </w:t>
            </w:r>
            <w:r w:rsidRPr="004B104E">
              <w:rPr>
                <w:b/>
                <w:i/>
              </w:rPr>
              <w:t>ερασιτεχνική αλιεία, το μητρώο ιχθυο</w:t>
            </w:r>
            <w:r w:rsidRPr="004B104E">
              <w:rPr>
                <w:b/>
                <w:i/>
              </w:rPr>
              <w:t>τροφείων, η υποβολή εκθέσεων, οι άδειες μεταβίβασης, τα αναγνωριστικά στοιχεία του εγκλωβισμού, οι άδειες εγκλωβισμού, οι εργασίες εγκλωβισμού και η βιντεοσκόπησή τους, ο έλεγχος του εγκλωβισμού και οι δραστηριότητες ελέγχου της εξαλίευσης στα ιχθυοτροφεία</w:t>
            </w:r>
            <w:r w:rsidRPr="004B104E">
              <w:rPr>
                <w:b/>
                <w:i/>
              </w:rPr>
              <w:t xml:space="preserve"> μετά</w:t>
            </w:r>
            <w:r w:rsidRPr="004B104E">
              <w:t xml:space="preserve"> τον εγκλωβισμό.</w:t>
            </w:r>
          </w:p>
        </w:tc>
      </w:tr>
      <w:tr w:rsidR="00B82744" w:rsidRPr="004B104E" w:rsidTr="00714966">
        <w:trPr>
          <w:jc w:val="center"/>
        </w:trPr>
        <w:tc>
          <w:tcPr>
            <w:tcW w:w="4876" w:type="dxa"/>
            <w:hideMark/>
          </w:tcPr>
          <w:p w:rsidR="00714966" w:rsidRPr="004B104E" w:rsidRDefault="00AB08CD">
            <w:pPr>
              <w:pStyle w:val="Normal6"/>
            </w:pPr>
            <w:r w:rsidRPr="004B104E">
              <w:lastRenderedPageBreak/>
              <w:t>__________________</w:t>
            </w:r>
          </w:p>
        </w:tc>
        <w:tc>
          <w:tcPr>
            <w:tcW w:w="4876" w:type="dxa"/>
            <w:hideMark/>
          </w:tcPr>
          <w:p w:rsidR="00714966" w:rsidRPr="004B104E" w:rsidRDefault="00AB08CD">
            <w:pPr>
              <w:pStyle w:val="Normal6"/>
              <w:rPr>
                <w:szCs w:val="24"/>
              </w:rPr>
            </w:pPr>
            <w:r w:rsidRPr="004B104E">
              <w:t>__________________</w:t>
            </w:r>
          </w:p>
        </w:tc>
      </w:tr>
      <w:tr w:rsidR="00B82744" w:rsidRPr="004B104E" w:rsidTr="00714966">
        <w:trPr>
          <w:jc w:val="center"/>
        </w:trPr>
        <w:tc>
          <w:tcPr>
            <w:tcW w:w="4876" w:type="dxa"/>
            <w:hideMark/>
          </w:tcPr>
          <w:p w:rsidR="00714966" w:rsidRPr="004B104E" w:rsidRDefault="00AB08CD">
            <w:pPr>
              <w:pStyle w:val="Normal6"/>
            </w:pPr>
            <w:r w:rsidRPr="004B104E">
              <w:rPr>
                <w:vertAlign w:val="superscript"/>
              </w:rPr>
              <w:t xml:space="preserve">3 </w:t>
            </w:r>
            <w:r w:rsidRPr="004B104E">
              <w:rPr>
                <w:b/>
                <w:i/>
              </w:rPr>
              <w:t>Πρόταση που δεν έχει ακόμη εγκριθεί από τους συννομοθέτες — [COM(2019)</w:t>
            </w:r>
            <w:r w:rsidRPr="004B104E">
              <w:t> </w:t>
            </w:r>
            <w:r w:rsidRPr="004B104E">
              <w:rPr>
                <w:b/>
                <w:i/>
              </w:rPr>
              <w:t>619 final της 28.11</w:t>
            </w:r>
            <w:r w:rsidRPr="004B104E">
              <w:t>.</w:t>
            </w:r>
            <w:r w:rsidRPr="004B104E">
              <w:rPr>
                <w:b/>
                <w:i/>
              </w:rPr>
              <w:t>2019]</w:t>
            </w:r>
            <w:r w:rsidRPr="004B104E">
              <w:t>.</w:t>
            </w:r>
          </w:p>
        </w:tc>
        <w:tc>
          <w:tcPr>
            <w:tcW w:w="4876" w:type="dxa"/>
            <w:hideMark/>
          </w:tcPr>
          <w:p w:rsidR="00714966" w:rsidRPr="004B104E" w:rsidRDefault="00AB08CD">
            <w:pPr>
              <w:pStyle w:val="Normal6"/>
              <w:rPr>
                <w:szCs w:val="24"/>
              </w:rPr>
            </w:pPr>
            <w:r w:rsidRPr="004B104E">
              <w:rPr>
                <w:vertAlign w:val="superscript"/>
              </w:rPr>
              <w:t xml:space="preserve">3 </w:t>
            </w:r>
            <w:r w:rsidRPr="004B104E">
              <w:rPr>
                <w:b/>
                <w:i/>
              </w:rPr>
              <w:t>ΕΕ C</w:t>
            </w:r>
            <w:r w:rsidRPr="004B104E">
              <w:t> </w:t>
            </w:r>
            <w:r w:rsidRPr="004B104E">
              <w:rPr>
                <w:b/>
                <w:i/>
              </w:rPr>
              <w:t>[…] της […], σ</w:t>
            </w:r>
            <w:r w:rsidRPr="004B104E">
              <w:t>.</w:t>
            </w:r>
            <w:r w:rsidRPr="004B104E">
              <w:rPr>
                <w:b/>
                <w:i/>
              </w:rPr>
              <w:t> […]</w:t>
            </w:r>
            <w:r w:rsidRPr="004B104E">
              <w:t>.</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Στο παρόν σχέδιο έκθεσης συμπεριλήφθηκαν νέες διατάξεις σχετικά με το πολυετές σχέδιο διαχείρισης του ερυθρού τόνου, προκειμένου να επικαιροποιηθεί ο κανονισμός με τις πλέον πρόσφατες συστάσεις που συμφωνήθηκαν στην ICCAT.</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w:t>
      </w:r>
      <w:r w:rsidRPr="004B104E">
        <w:t>ολογία</w:t>
      </w:r>
      <w:r w:rsidRPr="004B104E">
        <w:tab/>
      </w:r>
      <w:r w:rsidRPr="004B104E">
        <w:tab/>
      </w:r>
      <w:r w:rsidRPr="004B104E">
        <w:rPr>
          <w:rStyle w:val="HideTWBExt"/>
        </w:rPr>
        <w:t>&lt;NumAm&gt;</w:t>
      </w:r>
      <w:r w:rsidRPr="004B104E">
        <w:t>4</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Αιτιολογική σκέψη 4</w:t>
      </w:r>
      <w:r w:rsidRPr="004B104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Κείμενο που προτείνει η Επιτροπή</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hideMark/>
          </w:tcPr>
          <w:p w:rsidR="00714966" w:rsidRPr="004B104E" w:rsidRDefault="00AB08CD">
            <w:pPr>
              <w:pStyle w:val="Normal6"/>
            </w:pPr>
            <w:r w:rsidRPr="004B104E">
              <w:t>(4)</w:t>
            </w:r>
            <w:r w:rsidRPr="004B104E">
              <w:tab/>
              <w:t xml:space="preserve">Ορισμένες διατάξεις των συστάσεων της ICCAT είναι πιθανό να τροποποιηθούν κατά τις προσεχείς ετήσιες </w:t>
            </w:r>
            <w:r w:rsidRPr="004B104E">
              <w:t>συνεδριάσεις της ICCAT λόγω της εισαγωγής νέων τεχνικών και διαχειριστικών μέτρων για την αλιεία που διέπεται από τη σύμβαση ICCAT. Συνεπώς, για την ταχεία μεταφορά στο δίκαιο της Ένωσης μελλοντικών τροποποιήσεων των συστάσεων της ICCAT, πριν από την έναρξ</w:t>
            </w:r>
            <w:r w:rsidRPr="004B104E">
              <w:t xml:space="preserve">η της αλιευτικής περιόδου, θα πρέπει να ανατεθεί στην Επιτροπή η εξουσία έκδοσης πράξεων σύμφωνα με το άρθρο 290 της Συνθήκης για τη Λειτουργία </w:t>
            </w:r>
            <w:r w:rsidRPr="004B104E">
              <w:lastRenderedPageBreak/>
              <w:t xml:space="preserve">της Ευρωπαϊκής Ένωσης </w:t>
            </w:r>
            <w:r w:rsidRPr="004B104E">
              <w:rPr>
                <w:b/>
                <w:i/>
              </w:rPr>
              <w:t>για τα εξής ζητήματα: τους περιορισμούς όσον αφορά την αλιευτική ικανότητα του τροπικού τό</w:t>
            </w:r>
            <w:r w:rsidRPr="004B104E">
              <w:rPr>
                <w:b/>
                <w:i/>
              </w:rPr>
              <w:t>νου και την υποβολή πληροφοριών στο πλαίσιο του ετήσιου σχεδίου αλιευτικής ικανότητάς του· την ετήσια μεταφορά αχρησιμοποίητων ποσοστώσεων για τον μεγαλόφθαλμο τόνο, τον μακρύπτερο τόνο Βορείου και Νοτίου Ατλαντικού και τον ξιφία Βόρειου και Νοτίου Ατλαντι</w:t>
            </w:r>
            <w:r w:rsidRPr="004B104E">
              <w:rPr>
                <w:b/>
                <w:i/>
              </w:rPr>
              <w:t>κού· τα σχέδια διαχείρισης όσον αφορά τις διατάξεις συγκέντρωσης ιχθύων (ΔΣΙ)· τον αριθμό των πλωτών μετρητικών σταθμών· τις απαιτήσεις των ΔΣΙ· τις πληροφορίες που πρέπει να υποβάλλονται σχετικά με τις ΔΣΙ από σκάφη· την απαγόρευση περιόδων ΔΣΙ· τους περι</w:t>
            </w:r>
            <w:r w:rsidRPr="004B104E">
              <w:rPr>
                <w:b/>
                <w:i/>
              </w:rPr>
              <w:t>ορισμούς σχετικά με τον αριθμό των σκαφών που αλιεύουν τον μακρύπτερο τόνο Βορείου Ατλαντικού· το σχέδιο διαχείρισης του ξιφία του Βόρειου Ατλαντικού·</w:t>
            </w:r>
            <w:r w:rsidRPr="004B104E">
              <w:t xml:space="preserve"> τους όρους για την </w:t>
            </w:r>
            <w:r w:rsidRPr="004B104E">
              <w:rPr>
                <w:b/>
                <w:i/>
              </w:rPr>
              <w:t>έγκριση της αλίευσης και της διατήρησης του ρυγχοκαρχαρία· τις απαιτήσεις για τη μεγισ</w:t>
            </w:r>
            <w:r w:rsidRPr="004B104E">
              <w:rPr>
                <w:b/>
                <w:i/>
              </w:rPr>
              <w:t xml:space="preserve">τοποίηση της επιβίωσης της θαλάσσιας χελώνας· </w:t>
            </w:r>
            <w:r w:rsidRPr="004B104E">
              <w:t xml:space="preserve">το </w:t>
            </w:r>
            <w:r w:rsidRPr="004B104E">
              <w:rPr>
                <w:b/>
                <w:i/>
              </w:rPr>
              <w:t>ελάχιστο ποσοστό παρουσίας παρατηρητών και τη μέτρηση</w:t>
            </w:r>
            <w:r w:rsidRPr="004B104E">
              <w:t xml:space="preserve"> της </w:t>
            </w:r>
            <w:r w:rsidRPr="004B104E">
              <w:rPr>
                <w:b/>
                <w:i/>
              </w:rPr>
              <w:t>ποσοστιαίας κάλυψης· και την τροποποίηση του καταλόγου των ειδών της ICCAT</w:t>
            </w:r>
            <w:r w:rsidRPr="004B104E">
              <w:t>.</w:t>
            </w:r>
          </w:p>
        </w:tc>
        <w:tc>
          <w:tcPr>
            <w:tcW w:w="4876" w:type="dxa"/>
            <w:hideMark/>
          </w:tcPr>
          <w:p w:rsidR="00714966" w:rsidRPr="004B104E" w:rsidRDefault="00AB08CD">
            <w:pPr>
              <w:pStyle w:val="Normal6"/>
              <w:rPr>
                <w:szCs w:val="24"/>
              </w:rPr>
            </w:pPr>
            <w:r w:rsidRPr="004B104E">
              <w:lastRenderedPageBreak/>
              <w:t>(4)</w:t>
            </w:r>
            <w:r w:rsidRPr="004B104E">
              <w:tab/>
              <w:t>Ορισμένες διατάξεις των συστάσεων της ICCAT είναι πιθανό να τροποποιη</w:t>
            </w:r>
            <w:r w:rsidRPr="004B104E">
              <w:t>θούν κατά τις προσεχείς ετήσιες συνεδριάσεις της ICCAT λόγω της εισαγωγής νέων τεχνικών και διαχειριστικών μέτρων για την αλιεία που διέπεται από τη σύμβαση ICCAT. Συνεπώς, για την ταχεία μεταφορά στο δίκαιο της Ένωσης μελλοντικών τροποποιήσεων των συστάσε</w:t>
            </w:r>
            <w:r w:rsidRPr="004B104E">
              <w:t xml:space="preserve">ων της ICCAT, πριν από την έναρξη της αλιευτικής περιόδου, θα πρέπει να ανατεθεί στην Επιτροπή η εξουσία έκδοσης πράξεων σύμφωνα με το άρθρο 290 της Συνθήκης για τη Λειτουργία </w:t>
            </w:r>
            <w:r w:rsidRPr="004B104E">
              <w:lastRenderedPageBreak/>
              <w:t xml:space="preserve">της Ευρωπαϊκής Ένωσης </w:t>
            </w:r>
            <w:r w:rsidRPr="004B104E">
              <w:rPr>
                <w:b/>
                <w:i/>
              </w:rPr>
              <w:t>όσον αφορά</w:t>
            </w:r>
            <w:r w:rsidRPr="004B104E">
              <w:t xml:space="preserve"> τους </w:t>
            </w:r>
            <w:r w:rsidRPr="004B104E">
              <w:rPr>
                <w:b/>
                <w:i/>
              </w:rPr>
              <w:t>όρους για</w:t>
            </w:r>
            <w:r w:rsidRPr="004B104E">
              <w:t xml:space="preserve"> την </w:t>
            </w:r>
            <w:r w:rsidRPr="004B104E">
              <w:rPr>
                <w:b/>
                <w:i/>
              </w:rPr>
              <w:t>έγκριση της αλίευσης</w:t>
            </w:r>
            <w:r w:rsidRPr="004B104E">
              <w:t xml:space="preserve"> και </w:t>
            </w:r>
            <w:r w:rsidRPr="004B104E">
              <w:rPr>
                <w:b/>
                <w:i/>
              </w:rPr>
              <w:t>της</w:t>
            </w:r>
            <w:r w:rsidRPr="004B104E">
              <w:rPr>
                <w:b/>
                <w:i/>
              </w:rPr>
              <w:t xml:space="preserve"> διατήρησης</w:t>
            </w:r>
            <w:r w:rsidRPr="004B104E">
              <w:t xml:space="preserve"> του </w:t>
            </w:r>
            <w:r w:rsidRPr="004B104E">
              <w:rPr>
                <w:b/>
                <w:i/>
              </w:rPr>
              <w:t>ρυγχοκαρχαρία, καθώς και για τη διαχείριση του ερυθρού τόνου, τις προθεσμίες υποβολής αναφοράς</w:t>
            </w:r>
            <w:r w:rsidRPr="004B104E">
              <w:t xml:space="preserve">, </w:t>
            </w:r>
            <w:r w:rsidRPr="004B104E">
              <w:rPr>
                <w:b/>
                <w:i/>
              </w:rPr>
              <w:t>τα χρονικά διαστήματα των αλιευτικών περιόδων, το περιεχόμενο των δηλώσεων μεταφοράς</w:t>
            </w:r>
            <w:r w:rsidRPr="004B104E">
              <w:t xml:space="preserve"> και </w:t>
            </w:r>
            <w:r w:rsidRPr="004B104E">
              <w:rPr>
                <w:b/>
                <w:i/>
              </w:rPr>
              <w:t>τις διατάξεις για τη φροντίδα,</w:t>
            </w:r>
            <w:r w:rsidRPr="004B104E">
              <w:t xml:space="preserve"> τις </w:t>
            </w:r>
            <w:r w:rsidRPr="004B104E">
              <w:rPr>
                <w:b/>
                <w:i/>
              </w:rPr>
              <w:t>παρεκκλίσεις για</w:t>
            </w:r>
            <w:r w:rsidRPr="004B104E">
              <w:t xml:space="preserve"> τον </w:t>
            </w:r>
            <w:r w:rsidRPr="004B104E">
              <w:rPr>
                <w:b/>
                <w:i/>
              </w:rPr>
              <w:t>καθορισμό</w:t>
            </w:r>
            <w:r w:rsidRPr="004B104E">
              <w:t xml:space="preserve"> των </w:t>
            </w:r>
            <w:r w:rsidRPr="004B104E">
              <w:rPr>
                <w:b/>
                <w:i/>
              </w:rPr>
              <w:t>περιοχών αλιείας,</w:t>
            </w:r>
            <w:r w:rsidRPr="004B104E">
              <w:t xml:space="preserve"> των </w:t>
            </w:r>
            <w:r w:rsidRPr="004B104E">
              <w:rPr>
                <w:b/>
                <w:i/>
              </w:rPr>
              <w:t>αλιευτικών σκαφών και εργαλείων και την παρέκκλιση για</w:t>
            </w:r>
            <w:r w:rsidRPr="004B104E">
              <w:t xml:space="preserve"> την </w:t>
            </w:r>
            <w:r w:rsidRPr="004B104E">
              <w:rPr>
                <w:b/>
                <w:i/>
              </w:rPr>
              <w:t>αλιεία</w:t>
            </w:r>
            <w:r w:rsidRPr="004B104E">
              <w:t xml:space="preserve"> </w:t>
            </w:r>
            <w:r w:rsidRPr="004B104E">
              <w:rPr>
                <w:b/>
                <w:i/>
              </w:rPr>
              <w:t>ερυθρού τόνου με σκοπό την εκτροφή,</w:t>
            </w:r>
            <w:r w:rsidRPr="004B104E">
              <w:t xml:space="preserve"> τους όρους για την </w:t>
            </w:r>
            <w:r w:rsidRPr="004B104E">
              <w:rPr>
                <w:b/>
                <w:i/>
              </w:rPr>
              <w:t>τοποθέτηση περιφερειακού παρατηρητή σε ιχθυοτροφεία και τα καθήκοντα των κρατών μελών και</w:t>
            </w:r>
            <w:r w:rsidRPr="004B104E">
              <w:t xml:space="preserve"> το </w:t>
            </w:r>
            <w:r w:rsidRPr="004B104E">
              <w:rPr>
                <w:b/>
                <w:i/>
              </w:rPr>
              <w:t>π</w:t>
            </w:r>
            <w:r w:rsidRPr="004B104E">
              <w:rPr>
                <w:b/>
                <w:i/>
              </w:rPr>
              <w:t>εριεχόμενο</w:t>
            </w:r>
            <w:r w:rsidRPr="004B104E">
              <w:t xml:space="preserve"> της </w:t>
            </w:r>
            <w:r w:rsidRPr="004B104E">
              <w:rPr>
                <w:b/>
                <w:i/>
              </w:rPr>
              <w:t>ετήσιας αναφοράς εγκλωβισμού</w:t>
            </w:r>
            <w:r w:rsidRPr="004B104E">
              <w:t>.</w:t>
            </w:r>
          </w:p>
        </w:tc>
      </w:tr>
    </w:tbl>
    <w:p w:rsidR="00714966" w:rsidRPr="004B104E" w:rsidRDefault="00AB08CD" w:rsidP="00714966">
      <w:pPr>
        <w:pStyle w:val="Olang"/>
      </w:pPr>
      <w:r w:rsidRPr="004B104E">
        <w:lastRenderedPageBreak/>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Επικαιροποίηση με νέες διατάξεις.</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5</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 xml:space="preserve">Άρθρο 1 – </w:t>
      </w:r>
      <w:r w:rsidRPr="004B104E">
        <w:t>εδάφιο 1 – σημείο 1 – στοιχείο β</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2017/2107</w:t>
      </w:r>
      <w:r w:rsidRPr="004B104E">
        <w:rPr>
          <w:rStyle w:val="HideTWBExt"/>
        </w:rPr>
        <w:t>&lt;/DocAmend2&gt;</w:t>
      </w:r>
    </w:p>
    <w:p w:rsidR="00714966" w:rsidRPr="004B104E" w:rsidRDefault="00AB08CD" w:rsidP="00714966">
      <w:r w:rsidRPr="004B104E">
        <w:rPr>
          <w:rStyle w:val="HideTWBExt"/>
        </w:rPr>
        <w:t>&lt;Article2&gt;</w:t>
      </w:r>
      <w:r w:rsidRPr="004B104E">
        <w:t>Άρθρο 4 – εδάφιο 1 – σημείο 24</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Κείμενο που προτείνει η Επιτροπή</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hideMark/>
          </w:tcPr>
          <w:p w:rsidR="00714966" w:rsidRPr="004B104E" w:rsidRDefault="00AB08CD">
            <w:pPr>
              <w:pStyle w:val="Normal6"/>
            </w:pPr>
            <w:r w:rsidRPr="004B104E">
              <w:t>24)</w:t>
            </w:r>
            <w:r w:rsidRPr="004B104E">
              <w:tab/>
              <w:t xml:space="preserve">«διατάξεις συγκέντρωσης ιχθύων» (ΔΣΙ): μόνιμα, ημι-μόνιμα ή </w:t>
            </w:r>
            <w:r w:rsidRPr="004B104E">
              <w:t>προσωρινά αντικείμενα, κατασκευές ή διατάξεις από οποιοδήποτε υλικό, τεχνητό ή φυσικό, τα οποία τοποθετούνται και/ή παρακολουθούνται και χρησιμοποιούνται για τους σκοπούς της συγκέντρωσης ιχθύων για επακόλουθη αλίευση. Οι ΔΣΙ μπορούν είτε να είναι αγκυροβο</w:t>
            </w:r>
            <w:r w:rsidRPr="004B104E">
              <w:t>λημένες (ΑΔΣΙ) είτε παρασυρόμενες (ΠΔΣΙ)·</w:t>
            </w:r>
          </w:p>
        </w:tc>
        <w:tc>
          <w:tcPr>
            <w:tcW w:w="4876" w:type="dxa"/>
            <w:hideMark/>
          </w:tcPr>
          <w:p w:rsidR="00714966" w:rsidRPr="004B104E" w:rsidRDefault="00AB08CD">
            <w:pPr>
              <w:pStyle w:val="Normal6"/>
              <w:rPr>
                <w:szCs w:val="24"/>
              </w:rPr>
            </w:pPr>
            <w:r w:rsidRPr="004B104E">
              <w:rPr>
                <w:i/>
              </w:rPr>
              <w:t>(Δεν αφορά το ελληνικό κείμενο.)</w:t>
            </w:r>
            <w:r w:rsidRPr="004B104E">
              <w:tab/>
              <w:t xml:space="preserve">   </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Γλωσσική αλλαγή.</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6</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1 – παράγραφος 1 – σημείο 1 – στοιχείο δ</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2017/2107</w:t>
      </w:r>
      <w:r w:rsidRPr="004B104E">
        <w:rPr>
          <w:rStyle w:val="HideTWBExt"/>
        </w:rPr>
        <w:t>&lt;/DocAmend2&gt;</w:t>
      </w:r>
    </w:p>
    <w:p w:rsidR="00714966" w:rsidRPr="004B104E" w:rsidRDefault="00AB08CD" w:rsidP="00714966">
      <w:r w:rsidRPr="004B104E">
        <w:rPr>
          <w:rStyle w:val="HideTWBExt"/>
        </w:rPr>
        <w:t>&lt;Article2&gt;</w:t>
      </w:r>
      <w:r w:rsidRPr="004B104E">
        <w:t>Άρθρο 4 – εδάφιο 1 – σημείο 31</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Κείμενο που προτείνει η Επιτροπή</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hideMark/>
          </w:tcPr>
          <w:p w:rsidR="00714966" w:rsidRPr="004B104E" w:rsidRDefault="00AB08CD">
            <w:pPr>
              <w:pStyle w:val="Normal6"/>
            </w:pPr>
            <w:r w:rsidRPr="004B104E">
              <w:t>31)</w:t>
            </w:r>
            <w:r w:rsidRPr="004B104E">
              <w:tab/>
              <w:t xml:space="preserve">«πλωτό αντικείμενο»: κάθε φυσικό ή </w:t>
            </w:r>
            <w:r w:rsidRPr="004B104E">
              <w:t>τεχνητό πλωτό αντικείμενο (δηλ. στην επιφάνεια ή κάτω από την επιφάνεια της θάλασσας) που δεν έχει την ικανότητα να κινείται από μόνο του</w:t>
            </w:r>
            <w:r w:rsidRPr="004B104E">
              <w:rPr>
                <w:b/>
                <w:i/>
              </w:rPr>
              <w:t>·</w:t>
            </w:r>
          </w:p>
        </w:tc>
        <w:tc>
          <w:tcPr>
            <w:tcW w:w="4876" w:type="dxa"/>
            <w:hideMark/>
          </w:tcPr>
          <w:p w:rsidR="00714966" w:rsidRPr="004B104E" w:rsidRDefault="00AB08CD">
            <w:pPr>
              <w:pStyle w:val="Normal6"/>
              <w:rPr>
                <w:szCs w:val="24"/>
              </w:rPr>
            </w:pPr>
            <w:r w:rsidRPr="004B104E">
              <w:t>31)</w:t>
            </w:r>
            <w:r w:rsidRPr="004B104E">
              <w:tab/>
              <w:t>“πλωτό αντικείμενο”: κάθε φυσικό ή τεχνητό πλωτό αντικείμενο (δηλ. στην επιφάνεια ή κάτω από την επιφάνεια της θά</w:t>
            </w:r>
            <w:r w:rsidRPr="004B104E">
              <w:t>λασσας) που δεν έχει την ικανότητα να κινείται από μόνο του</w:t>
            </w:r>
            <w:r w:rsidRPr="004B104E">
              <w:rPr>
                <w:b/>
                <w:i/>
              </w:rPr>
              <w:t>. Οι ΔΣΙ είναι τεχνητά πλωτά αντικείμενα που τοποθετούνται και/ή παρακολουθούνται σκόπιμα. Τα ημερολόγια είναι πλωτά αντικείμενα που χάνονται κατά λάθος από ανθρωπογενείς και φυσικές πηγές</w:t>
            </w:r>
            <w:r w:rsidRPr="004B104E">
              <w:t>·</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Η σύσταση 21-01 της ICCAT περιλαμβάνει το ανωτέρω κείμενο που προστέθηκε στον ορισμό του FOB.</w:t>
      </w:r>
    </w:p>
    <w:p w:rsidR="00714966" w:rsidRPr="004B104E" w:rsidRDefault="00AB08CD" w:rsidP="00714966">
      <w:r w:rsidRPr="004B104E">
        <w:rPr>
          <w:rStyle w:val="HideTWBExt"/>
        </w:rPr>
        <w:lastRenderedPageBreak/>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7</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w:t>
      </w:r>
      <w:r w:rsidRPr="004B104E">
        <w:t xml:space="preserve"> 1 – εδάφιο 1 – σημείο 1 – στοιχείο στ α (νέο)</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2017/2107</w:t>
      </w:r>
      <w:r w:rsidRPr="004B104E">
        <w:rPr>
          <w:rStyle w:val="HideTWBExt"/>
        </w:rPr>
        <w:t>&lt;/DocAmend2&gt;</w:t>
      </w:r>
    </w:p>
    <w:p w:rsidR="00714966" w:rsidRPr="004B104E" w:rsidRDefault="00AB08CD" w:rsidP="00714966">
      <w:pPr>
        <w:keepNext/>
      </w:pPr>
      <w:r w:rsidRPr="004B104E">
        <w:rPr>
          <w:rStyle w:val="HideTWBExt"/>
        </w:rPr>
        <w:t>&lt;Article2&gt;</w:t>
      </w:r>
      <w:r w:rsidRPr="004B104E">
        <w:t>Άρθρο 4 – παράγραφος 1 – σημείο 34 (νέο)</w:t>
      </w:r>
      <w:r w:rsidRPr="004B104E">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Κείμενο που προτείνει η Επιτροπή</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στ α)</w:t>
            </w:r>
            <w:r w:rsidRPr="004B104E">
              <w:rPr>
                <w:b/>
                <w:i/>
              </w:rPr>
              <w:tab/>
              <w:t>προστίθεται το ακόλουθο στοιχείο: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«34)</w:t>
            </w:r>
            <w:r w:rsidRPr="004B104E">
              <w:rPr>
                <w:b/>
                <w:i/>
              </w:rPr>
              <w:tab/>
              <w:t>«Παραγάδια σε μικρό βάθος»: παραγάδια όπου, όταν χρησιμοποιούνται, η πλειονότητα των αγκίστρων βρίσκονται σε βάθος μικρότερο των 100 μέτρων».</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Σύσταση 22-12.</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8</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1 – εδάφιο 1 – σημείο 1 – στοιχείο στ β (νέο)</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2017/2107</w:t>
      </w:r>
      <w:r w:rsidRPr="004B104E">
        <w:rPr>
          <w:rStyle w:val="HideTWBExt"/>
        </w:rPr>
        <w:t>&lt;/DocAmend2&gt;</w:t>
      </w:r>
    </w:p>
    <w:p w:rsidR="00714966" w:rsidRPr="004B104E" w:rsidRDefault="00AB08CD" w:rsidP="00714966">
      <w:pPr>
        <w:keepNext/>
      </w:pPr>
      <w:r w:rsidRPr="004B104E">
        <w:rPr>
          <w:rStyle w:val="HideTWBExt"/>
        </w:rPr>
        <w:t>&lt;Article2&gt;</w:t>
      </w:r>
      <w:r w:rsidRPr="004B104E">
        <w:t>Άρθρο 4 – παράγραφος 1 – σημείο 35 (νέο)</w:t>
      </w:r>
      <w:r w:rsidRPr="004B104E">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Κείμενο που προτείνει η Επιτροπή</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στ β)</w:t>
            </w:r>
            <w:r w:rsidRPr="004B104E">
              <w:rPr>
                <w:b/>
                <w:i/>
              </w:rPr>
              <w:tab/>
              <w:t>προστίθεται το ακόλουθο στοιχείο: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«35)</w:t>
            </w:r>
            <w:r w:rsidRPr="004B104E">
              <w:rPr>
                <w:b/>
                <w:i/>
              </w:rPr>
              <w:tab/>
              <w:t>«κυκλικό αγκίστρι»: αγκίστρι με το άκρο στραμμένο κάθετα προς το στέλεχος, ώστε να δημιουργείται ένα γενικά κυκλικό ή ωοειδές σχήμα, το οποίο χρησιμοποιείται με κλ</w:t>
            </w:r>
            <w:r w:rsidRPr="004B104E">
              <w:rPr>
                <w:b/>
                <w:i/>
              </w:rPr>
              <w:t>ίση μικρότερη από 10 μοίρες.»</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Σύσταση 22-12.</w:t>
      </w:r>
    </w:p>
    <w:p w:rsidR="00714966" w:rsidRPr="004B104E" w:rsidRDefault="00AB08CD" w:rsidP="00714966">
      <w:r w:rsidRPr="004B104E">
        <w:rPr>
          <w:rStyle w:val="HideTWBExt"/>
        </w:rPr>
        <w:lastRenderedPageBreak/>
        <w:t>&lt;/Amend&gt;</w:t>
      </w:r>
    </w:p>
    <w:p w:rsidR="00714966" w:rsidRPr="004B104E" w:rsidRDefault="00714966" w:rsidP="00714966">
      <w:pPr>
        <w:pStyle w:val="Normal12Italic"/>
        <w:rPr>
          <w:noProof w:val="0"/>
        </w:rPr>
      </w:pP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9</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1 – παράγραφος 1 – σημείο 2</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2017/2107</w:t>
      </w:r>
      <w:r w:rsidRPr="004B104E">
        <w:rPr>
          <w:rStyle w:val="HideTWBExt"/>
        </w:rPr>
        <w:t>&lt;/DocAmend2&gt;</w:t>
      </w:r>
    </w:p>
    <w:p w:rsidR="00714966" w:rsidRPr="004B104E" w:rsidRDefault="00AB08CD" w:rsidP="00714966">
      <w:r w:rsidRPr="004B104E">
        <w:rPr>
          <w:rStyle w:val="HideTWBExt"/>
        </w:rPr>
        <w:t>&lt;Article2&gt;</w:t>
      </w:r>
      <w:r w:rsidRPr="004B104E">
        <w:t>Άρθρο 5α – παράγραφος 5</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Κείμενο που προτείνει η Επιτροπή</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hideMark/>
          </w:tcPr>
          <w:p w:rsidR="00714966" w:rsidRPr="004B104E" w:rsidRDefault="00AB08CD">
            <w:pPr>
              <w:pStyle w:val="Normal6"/>
            </w:pPr>
            <w:r w:rsidRPr="004B104E">
              <w:t>1.</w:t>
            </w:r>
            <w:r w:rsidRPr="004B104E">
              <w:tab/>
              <w:t xml:space="preserve">Έως τις 31 Ιανουαρίου κάθε έτους, τα κράτη μέλη </w:t>
            </w:r>
            <w:r w:rsidRPr="004B104E">
              <w:rPr>
                <w:b/>
                <w:i/>
              </w:rPr>
              <w:t>καταρτίζουν ετήσιο σχέδιο</w:t>
            </w:r>
            <w:r w:rsidRPr="004B104E">
              <w:t xml:space="preserve"> αλιευτικής ικανότητας / αλιείας.</w:t>
            </w:r>
          </w:p>
        </w:tc>
        <w:tc>
          <w:tcPr>
            <w:tcW w:w="4876" w:type="dxa"/>
            <w:hideMark/>
          </w:tcPr>
          <w:p w:rsidR="00714966" w:rsidRPr="004B104E" w:rsidRDefault="00AB08CD">
            <w:pPr>
              <w:pStyle w:val="Normal6"/>
              <w:rPr>
                <w:szCs w:val="24"/>
              </w:rPr>
            </w:pPr>
            <w:r w:rsidRPr="004B104E">
              <w:t>1.</w:t>
            </w:r>
            <w:r w:rsidRPr="004B104E">
              <w:tab/>
              <w:t>Έω</w:t>
            </w:r>
            <w:r w:rsidRPr="004B104E">
              <w:t xml:space="preserve">ς τις 31 Ιανουαρίου κάθε έτους, τα κράτη μέλη </w:t>
            </w:r>
            <w:r w:rsidRPr="004B104E">
              <w:rPr>
                <w:b/>
                <w:i/>
              </w:rPr>
              <w:t>εκπονούν ετήσια σχέδια</w:t>
            </w:r>
            <w:r w:rsidRPr="004B104E">
              <w:t xml:space="preserve"> αλιευτικής ικανότητας / αλιείας.</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Διευκρίνιση γλωσσικής φύσεως.</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10</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1 – παράγραφος 1 – σημείο 2</w:t>
      </w:r>
      <w:r w:rsidRPr="004B104E">
        <w:rPr>
          <w:rStyle w:val="HideTWBExt"/>
        </w:rPr>
        <w:t>&lt;/Article&gt;</w:t>
      </w:r>
    </w:p>
    <w:p w:rsidR="00714966" w:rsidRPr="004B104E" w:rsidRDefault="00AB08CD" w:rsidP="00714966">
      <w:pPr>
        <w:keepNext/>
      </w:pPr>
      <w:r w:rsidRPr="004B104E">
        <w:rPr>
          <w:rStyle w:val="HideTWBExt"/>
        </w:rPr>
        <w:t>&lt;DocAmend2&gt;</w:t>
      </w:r>
      <w:r w:rsidRPr="004B104E">
        <w:t xml:space="preserve"> Κανονισμός (ΕΕ) 2017/2107 </w:t>
      </w:r>
      <w:r w:rsidRPr="004B104E">
        <w:rPr>
          <w:rStyle w:val="HideTWBExt"/>
        </w:rPr>
        <w:t>&lt;/DocAmend2&gt;</w:t>
      </w:r>
    </w:p>
    <w:p w:rsidR="00714966" w:rsidRPr="004B104E" w:rsidRDefault="00AB08CD" w:rsidP="00714966">
      <w:r w:rsidRPr="004B104E">
        <w:rPr>
          <w:rStyle w:val="HideTWBExt"/>
        </w:rPr>
        <w:t>&lt;Article2&gt;</w:t>
      </w:r>
      <w:r w:rsidRPr="004B104E">
        <w:t xml:space="preserve"> Άρθρο 5 α – παράγραφος 5 α (νέα)</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Κείμενο που προτείνει η Επιτροπή</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5α.</w:t>
            </w:r>
            <w:r w:rsidRPr="004B104E">
              <w:rPr>
                <w:b/>
                <w:i/>
              </w:rPr>
              <w:tab/>
              <w:t xml:space="preserve">Τα κράτη μέλη </w:t>
            </w:r>
            <w:r w:rsidRPr="004B104E">
              <w:rPr>
                <w:b/>
                <w:i/>
              </w:rPr>
              <w:t>υποβάλλουν έκθεση στην Επιτροπή σχετικά με την ποσότητα τροπικών τόνων ανά είδος που έχει αλιευθεί από σκάφη που φέρουν τη σημαία τους σε τρίμηνη βάση και εντός 15 ημερολογιακών ημερών από το τέλος της περιόδου αλίευσής τους, δηλαδή έως τις 15 Απριλίου, 15</w:t>
            </w:r>
            <w:r w:rsidRPr="004B104E">
              <w:rPr>
                <w:b/>
                <w:i/>
              </w:rPr>
              <w:t xml:space="preserve"> Ιουλίου και 15 Οκτωβρίου κάθε έτους και έως τις 15 Ιανουαρίου του επόμενου έτους, εκτός εάν οι πληροφορίες αυτές διαβιβάζονται σε μηνιαία βάση στην Επιτροπή. Οι εν λόγω τριμηνιαίες εκθέσεις αποστέλλονται με τη χρήση του μορφότυπου των εκθέσεων για τα συγκ</w:t>
            </w:r>
            <w:r w:rsidRPr="004B104E">
              <w:rPr>
                <w:b/>
                <w:i/>
              </w:rPr>
              <w:t xml:space="preserve">εντρωτικά δεδομένα αναφοράς αλιευμάτων. Η Επιτροπή διαβιβάζει τις πληροφορίες αυτές στη </w:t>
            </w:r>
            <w:r w:rsidRPr="004B104E">
              <w:rPr>
                <w:b/>
                <w:i/>
              </w:rPr>
              <w:lastRenderedPageBreak/>
              <w:t>γραμματεία της ICCAT έως τις 30 Απριλίου, 30 Ιουλίου και 30 Οκτωβρίου κάθε έτους και έως τις 30 Ιανουαρίου του επόμενου έτους.</w:t>
            </w:r>
          </w:p>
        </w:tc>
      </w:tr>
    </w:tbl>
    <w:p w:rsidR="00714966" w:rsidRPr="004B104E" w:rsidRDefault="00AB08CD" w:rsidP="00714966">
      <w:pPr>
        <w:pStyle w:val="Olang"/>
      </w:pPr>
      <w:r w:rsidRPr="004B104E">
        <w:lastRenderedPageBreak/>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w:t>
      </w:r>
      <w:r w:rsidRPr="004B104E">
        <w:rPr>
          <w:rStyle w:val="HideTWBExt"/>
          <w:i w:val="0"/>
        </w:rPr>
        <w:t>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Σύσταση 22-01 της ICCAT.</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11</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1 – παράγραφος 1 – σημείο 2 α (νέο)</w:t>
      </w:r>
      <w:r w:rsidRPr="004B104E">
        <w:rPr>
          <w:rStyle w:val="HideTWBExt"/>
        </w:rPr>
        <w:t>&lt;/Article&gt;</w:t>
      </w:r>
    </w:p>
    <w:p w:rsidR="00714966" w:rsidRPr="004B104E" w:rsidRDefault="00AB08CD" w:rsidP="00714966">
      <w:pPr>
        <w:keepNext/>
      </w:pPr>
      <w:r w:rsidRPr="004B104E">
        <w:rPr>
          <w:rStyle w:val="HideTWBExt"/>
        </w:rPr>
        <w:t>&lt;DocAmend2&gt;</w:t>
      </w:r>
      <w:r w:rsidRPr="004B104E">
        <w:t xml:space="preserve"> Κανονισμός (ΕΕ) 2017/2107 </w:t>
      </w:r>
      <w:r w:rsidRPr="004B104E">
        <w:rPr>
          <w:rStyle w:val="HideTWBExt"/>
        </w:rPr>
        <w:t>&lt;/DocAmend2&gt;</w:t>
      </w:r>
    </w:p>
    <w:p w:rsidR="00714966" w:rsidRPr="004B104E" w:rsidRDefault="00AB08CD" w:rsidP="00714966">
      <w:r w:rsidRPr="004B104E">
        <w:rPr>
          <w:rStyle w:val="HideTWBExt"/>
        </w:rPr>
        <w:t>&lt;Article2&gt;</w:t>
      </w:r>
      <w:r w:rsidRPr="004B104E">
        <w:t xml:space="preserve">Άρθρο 5 β (νέο) </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Κείμενο που προτείνει η Επιτροπή</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2α)</w:t>
            </w:r>
            <w:r w:rsidRPr="004B104E">
              <w:rPr>
                <w:b/>
                <w:i/>
              </w:rPr>
              <w:tab/>
              <w:t>προστίθεται το ακόλουθο άρθρο: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«Άρθρο 5β</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Ερασιτεχνική αλιεία μακρύπτερου τόνου της Μεσογείου</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 xml:space="preserve">Τα φυσικά ή νομικά πρόσωπα που ασχολούνται με την ερασιτεχνική </w:t>
            </w:r>
            <w:r w:rsidRPr="004B104E">
              <w:rPr>
                <w:b/>
                <w:i/>
              </w:rPr>
              <w:t>αλιεία δεν επιτρέπεται να αλιεύουν, να διατηρούν επί του σκάφους, να μεταφορτώνουν ή να εκφορτώνουν περισσότερα από τρία δείγματα μακρύπτερου τόνου της Μεσογείου ανά σκάφος ημερησίως·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w:t>
            </w:r>
            <w:r w:rsidRPr="004B104E">
              <w:rPr>
                <w:b/>
                <w:i/>
              </w:rPr>
              <w:tab/>
              <w:t>Απαγορεύεται η εμπορία ή πώληση μακρύπτερου τόνου της Μεσογείου που</w:t>
            </w:r>
            <w:r w:rsidRPr="004B104E">
              <w:rPr>
                <w:b/>
                <w:i/>
              </w:rPr>
              <w:t xml:space="preserve"> αλιεύεται στο πλαίσιο ερασιτεχνικής αλιείας·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w:t>
            </w:r>
            <w:r w:rsidRPr="004B104E">
              <w:rPr>
                <w:b/>
                <w:i/>
              </w:rPr>
              <w:tab/>
              <w:t>Τα κράτη μέλη προσκομίζουν στην Επιτροπή και στη γραμματεία της ICCAT τον κατάλογο όλων των σκαφών ερασιτεχνικής αλιείας που διαθέτουν άδεια αλίευσης μακρύπτερου τόνου της Μεσογείου τουλάχιστον 15 ημέρες π</w:t>
            </w:r>
            <w:r w:rsidRPr="004B104E">
              <w:rPr>
                <w:b/>
                <w:i/>
              </w:rPr>
              <w:t xml:space="preserve">ριν από την άσκηση των δραστηριοτήτων. Δεν επιτρέπεται σε σκάφη που δεν περιλαμβάνονται στον εν λόγω κατάλογο </w:t>
            </w:r>
            <w:r w:rsidRPr="004B104E">
              <w:rPr>
                <w:b/>
                <w:i/>
              </w:rPr>
              <w:lastRenderedPageBreak/>
              <w:t>να αλιεύουν μακρύπτερο τόνο της Μεσογείου.»</w:t>
            </w:r>
          </w:p>
        </w:tc>
      </w:tr>
    </w:tbl>
    <w:p w:rsidR="00714966" w:rsidRPr="004B104E" w:rsidRDefault="00AB08CD" w:rsidP="00714966">
      <w:pPr>
        <w:pStyle w:val="Olang"/>
      </w:pPr>
      <w:r w:rsidRPr="004B104E">
        <w:lastRenderedPageBreak/>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Σύσταση 22-05 της ICCAT σύμφωνα με</w:t>
      </w:r>
      <w:r w:rsidRPr="004B104E">
        <w:t xml:space="preserve"> το άρθρο 55 παράγραφος 3 του κανονισμού (ΕΕ) αριθ. 1224/2009.</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12</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1 – παράγραφος 1 – σημείο 3</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2017/2107</w:t>
      </w:r>
      <w:r w:rsidRPr="004B104E">
        <w:rPr>
          <w:rStyle w:val="HideTWBExt"/>
        </w:rPr>
        <w:t>&lt;/DocAmend2&gt;</w:t>
      </w:r>
    </w:p>
    <w:p w:rsidR="00714966" w:rsidRPr="004B104E" w:rsidRDefault="00AB08CD" w:rsidP="00714966">
      <w:r w:rsidRPr="004B104E">
        <w:rPr>
          <w:rStyle w:val="HideTWBExt"/>
        </w:rPr>
        <w:t>&lt;Article2&gt;</w:t>
      </w:r>
      <w:r w:rsidRPr="004B104E">
        <w:t>Άρθρο 6α – παράγραφος 2</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Κείμενο που προτείνει η Επιτροπή</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hideMark/>
          </w:tcPr>
          <w:p w:rsidR="00714966" w:rsidRPr="004B104E" w:rsidRDefault="00AB08CD">
            <w:pPr>
              <w:pStyle w:val="Normal6"/>
            </w:pPr>
            <w:r w:rsidRPr="004B104E">
              <w:t>2.</w:t>
            </w:r>
            <w:r w:rsidRPr="004B104E">
              <w:tab/>
            </w:r>
            <w:r w:rsidRPr="004B104E">
              <w:rPr>
                <w:b/>
                <w:i/>
              </w:rPr>
              <w:t>Απαγορεύεται η απόρριψη τροπικού τόνου</w:t>
            </w:r>
            <w:r w:rsidRPr="004B104E">
              <w:t xml:space="preserve"> που έχει αλιευθεί από ενωσιακό σκάφος γρι-γρι κατά τη διάρκεια της πόντισης, όταν το δίχτυ έχει κλείσει πλήρως και όταν έχ</w:t>
            </w:r>
            <w:r w:rsidRPr="004B104E">
              <w:t xml:space="preserve">ει ανακτηθεί περισσότερο από το ήμισυ του διχτυού. Σε περίπτωση τεχνικού προβλήματος με τη διαδικασία κλεισίματος ή ανάκτησης του διχτυού, </w:t>
            </w:r>
            <w:r w:rsidRPr="004B104E">
              <w:rPr>
                <w:b/>
                <w:i/>
              </w:rPr>
              <w:t>με αποτέλεσμα να μην μπορεί να εφαρμοστεί ο εν λόγω κανόνας</w:t>
            </w:r>
            <w:r w:rsidRPr="004B104E">
              <w:t xml:space="preserve">, </w:t>
            </w:r>
            <w:r w:rsidRPr="004B104E">
              <w:rPr>
                <w:b/>
                <w:i/>
              </w:rPr>
              <w:t>το πλήρωμα καταβάλλει</w:t>
            </w:r>
            <w:r w:rsidRPr="004B104E">
              <w:t xml:space="preserve"> κάθε δυνατή προσπάθεια για την απε</w:t>
            </w:r>
            <w:r w:rsidRPr="004B104E">
              <w:t>λευθέρωση των τόνων στο νερό το συντομότερο δυνατόν.</w:t>
            </w:r>
          </w:p>
        </w:tc>
        <w:tc>
          <w:tcPr>
            <w:tcW w:w="4876" w:type="dxa"/>
            <w:hideMark/>
          </w:tcPr>
          <w:p w:rsidR="00714966" w:rsidRPr="004B104E" w:rsidRDefault="00AB08CD">
            <w:pPr>
              <w:pStyle w:val="Normal6"/>
              <w:rPr>
                <w:szCs w:val="24"/>
              </w:rPr>
            </w:pPr>
            <w:r w:rsidRPr="004B104E">
              <w:t>2.</w:t>
            </w:r>
            <w:r w:rsidRPr="004B104E">
              <w:tab/>
            </w:r>
            <w:r w:rsidRPr="004B104E">
              <w:rPr>
                <w:b/>
                <w:i/>
              </w:rPr>
              <w:t>Ο τροπικός τόνος</w:t>
            </w:r>
            <w:r w:rsidRPr="004B104E">
              <w:t xml:space="preserve"> που έχει αλιευθεί από ενωσιακό σκάφος γρι-γρι</w:t>
            </w:r>
            <w:r w:rsidRPr="004B104E">
              <w:rPr>
                <w:b/>
                <w:i/>
              </w:rPr>
              <w:t xml:space="preserve"> δεν απορρίπτεται</w:t>
            </w:r>
            <w:r w:rsidRPr="004B104E">
              <w:t xml:space="preserve"> κατά τη διάρκεια της πόντισης, όταν το δίχτυ έχει κλείσει πλήρως και όταν έχει ανακτηθεί περισσότερο από το ήμισυ του δι</w:t>
            </w:r>
            <w:r w:rsidRPr="004B104E">
              <w:t xml:space="preserve">χτυού. Σε περίπτωση τεχνικού προβλήματος με τη διαδικασία κλεισίματος ή ανάκτησης του διχτυού, </w:t>
            </w:r>
            <w:r w:rsidRPr="004B104E">
              <w:rPr>
                <w:b/>
                <w:i/>
              </w:rPr>
              <w:t>οι πλοίαρχοι ή το πλήρωμα, εκ μέρους τους</w:t>
            </w:r>
            <w:r w:rsidRPr="004B104E">
              <w:t xml:space="preserve">, </w:t>
            </w:r>
            <w:r w:rsidRPr="004B104E">
              <w:rPr>
                <w:b/>
                <w:i/>
              </w:rPr>
              <w:t>καταβάλλουν</w:t>
            </w:r>
            <w:r w:rsidRPr="004B104E">
              <w:t xml:space="preserve"> κάθε δυνατή προσπάθεια για την απελευθέρωση των τόνων στο νερό το συντομότερο δυνατόν.</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Γλωσσικές αλλαγές που προτείνονται για την αποσαφήνιση αυτής της διάταξης. Επιπλέον, την ευθύνη για τη συμμόρφωση με τη διάταξη αυτή δεν θα πρέπει να φέρει το πλήρωμα αλλά ο πλοίαρχος.</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w:t>
      </w:r>
      <w:r w:rsidRPr="004B104E">
        <w:t>ογία</w:t>
      </w:r>
      <w:r w:rsidRPr="004B104E">
        <w:tab/>
      </w:r>
      <w:r w:rsidRPr="004B104E">
        <w:tab/>
      </w:r>
      <w:r w:rsidRPr="004B104E">
        <w:rPr>
          <w:rStyle w:val="HideTWBExt"/>
        </w:rPr>
        <w:t>&lt;NumAm&gt;</w:t>
      </w:r>
      <w:r w:rsidRPr="004B104E">
        <w:t>13</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1 – παράγραφος 1 – σημείο 7 – στοιχείο α</w:t>
      </w:r>
      <w:r w:rsidRPr="004B104E">
        <w:rPr>
          <w:rStyle w:val="HideTWBExt"/>
        </w:rPr>
        <w:t>&lt;/Article&gt;</w:t>
      </w:r>
    </w:p>
    <w:p w:rsidR="00714966" w:rsidRPr="004B104E" w:rsidRDefault="00AB08CD" w:rsidP="00714966">
      <w:pPr>
        <w:keepNext/>
      </w:pPr>
      <w:r w:rsidRPr="004B104E">
        <w:rPr>
          <w:rStyle w:val="HideTWBExt"/>
        </w:rPr>
        <w:lastRenderedPageBreak/>
        <w:t>&lt;DocAmend2&gt;</w:t>
      </w:r>
      <w:r w:rsidRPr="004B104E">
        <w:t>Κανονισμός (ΕΕ) 2017/2107</w:t>
      </w:r>
      <w:r w:rsidRPr="004B104E">
        <w:rPr>
          <w:rStyle w:val="HideTWBExt"/>
        </w:rPr>
        <w:t>&lt;/DocAmend2&gt;</w:t>
      </w:r>
    </w:p>
    <w:p w:rsidR="00714966" w:rsidRPr="004B104E" w:rsidRDefault="00AB08CD" w:rsidP="00714966">
      <w:r w:rsidRPr="004B104E">
        <w:rPr>
          <w:rStyle w:val="HideTWBExt"/>
        </w:rPr>
        <w:t>&lt;Article2&gt;</w:t>
      </w:r>
      <w:r w:rsidRPr="004B104E">
        <w:t>Άρθρο 9 – παράγραφος 4</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 xml:space="preserve">Κείμενο που προτείνει η </w:t>
            </w:r>
            <w:r w:rsidRPr="004B104E">
              <w:t>Επιτροπή</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hideMark/>
          </w:tcPr>
          <w:p w:rsidR="00714966" w:rsidRPr="004B104E" w:rsidRDefault="00AB08CD">
            <w:pPr>
              <w:pStyle w:val="Normal6"/>
            </w:pPr>
            <w:r w:rsidRPr="004B104E">
              <w:t>4.</w:t>
            </w:r>
            <w:r w:rsidRPr="004B104E">
              <w:tab/>
              <w:t xml:space="preserve">Τα κράτη μέλη μεριμνούν ώστε ο αριθμός των ΔΣΙ που είναι ενεργές </w:t>
            </w:r>
            <w:r w:rsidRPr="004B104E">
              <w:rPr>
                <w:b/>
                <w:i/>
              </w:rPr>
              <w:t>ανά πάσα στιγμή</w:t>
            </w:r>
            <w:r w:rsidRPr="004B104E">
              <w:t xml:space="preserve"> να μην υπερβαίνει τις 300, για κάθε σκάφος με λειτουργικούς σημαντήρες.</w:t>
            </w:r>
          </w:p>
        </w:tc>
        <w:tc>
          <w:tcPr>
            <w:tcW w:w="4876" w:type="dxa"/>
            <w:hideMark/>
          </w:tcPr>
          <w:p w:rsidR="00714966" w:rsidRPr="004B104E" w:rsidRDefault="00AB08CD">
            <w:pPr>
              <w:pStyle w:val="Normal6"/>
              <w:rPr>
                <w:szCs w:val="24"/>
              </w:rPr>
            </w:pPr>
            <w:r w:rsidRPr="004B104E">
              <w:t>4.</w:t>
            </w:r>
            <w:r w:rsidRPr="004B104E">
              <w:tab/>
              <w:t xml:space="preserve">Τα κράτη μέλη μεριμνούν ώστε ο αριθμός των ΔΣΙ που είναι ενεργές </w:t>
            </w:r>
            <w:r w:rsidRPr="004B104E">
              <w:rPr>
                <w:b/>
                <w:i/>
              </w:rPr>
              <w:t>ταυτόχρονα</w:t>
            </w:r>
            <w:r w:rsidRPr="004B104E">
              <w:t xml:space="preserve"> </w:t>
            </w:r>
            <w:r w:rsidRPr="004B104E">
              <w:t>να μην υπερβαίνει τις 300, για κάθε σκάφος με λειτουργικούς σημαντήρες.</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Γλωσσική διευκρίνιση.</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14</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w:t>
      </w:r>
      <w:r w:rsidRPr="004B104E">
        <w:rPr>
          <w:rStyle w:val="HideTWBExt"/>
        </w:rPr>
        <w:t>&gt;</w:t>
      </w:r>
      <w:r w:rsidRPr="004B104E">
        <w:t>Άρθρο 1 – παράγραφος 1 – σημείο 8</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2017/2107</w:t>
      </w:r>
      <w:r w:rsidRPr="004B104E">
        <w:rPr>
          <w:rStyle w:val="HideTWBExt"/>
        </w:rPr>
        <w:t>&lt;/DocAmend2&gt;</w:t>
      </w:r>
    </w:p>
    <w:p w:rsidR="00714966" w:rsidRPr="004B104E" w:rsidRDefault="00AB08CD" w:rsidP="00714966">
      <w:r w:rsidRPr="004B104E">
        <w:rPr>
          <w:rStyle w:val="HideTWBExt"/>
        </w:rPr>
        <w:t>&lt;Article2&gt;</w:t>
      </w:r>
      <w:r w:rsidRPr="004B104E">
        <w:t>Άρθρο 10 – παράγραφος 2 – εισαγωγικό μέρος</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Κείμενο που προτείνει η Επιτροπή</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hideMark/>
          </w:tcPr>
          <w:p w:rsidR="00714966" w:rsidRPr="004B104E" w:rsidRDefault="00AB08CD">
            <w:pPr>
              <w:pStyle w:val="Normal6"/>
            </w:pPr>
            <w:r w:rsidRPr="004B104E">
              <w:t>2.</w:t>
            </w:r>
            <w:r w:rsidRPr="004B104E">
              <w:tab/>
              <w:t>Κατά τη χρήση ή τον σχεδιασμό ΔΣΙ, τα κράτη μέλη</w:t>
            </w:r>
            <w:r w:rsidRPr="004B104E">
              <w:t xml:space="preserve"> διασφαλίζουν:</w:t>
            </w:r>
          </w:p>
        </w:tc>
        <w:tc>
          <w:tcPr>
            <w:tcW w:w="4876" w:type="dxa"/>
            <w:hideMark/>
          </w:tcPr>
          <w:p w:rsidR="00714966" w:rsidRPr="004B104E" w:rsidRDefault="00AB08CD">
            <w:pPr>
              <w:pStyle w:val="Normal6"/>
              <w:rPr>
                <w:szCs w:val="24"/>
              </w:rPr>
            </w:pPr>
            <w:r w:rsidRPr="004B104E">
              <w:t>2.</w:t>
            </w:r>
            <w:r w:rsidRPr="004B104E">
              <w:tab/>
              <w:t>Κατά τη χρήση ή τον σχεδιασμό ΔΣΙ, τα κράτη μέλη:</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Το κείμενο της σύστασης 21-01 της ICCAT μεταφέρεται με ακριβέστερο τρόπο.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15</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1 – παράγραφος 1 – σημείο 8</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2017/2107</w:t>
      </w:r>
      <w:r w:rsidRPr="004B104E">
        <w:rPr>
          <w:rStyle w:val="HideTWBExt"/>
        </w:rPr>
        <w:t>&lt;/DocAmend2&gt;</w:t>
      </w:r>
    </w:p>
    <w:p w:rsidR="00714966" w:rsidRPr="004B104E" w:rsidRDefault="00AB08CD" w:rsidP="00714966">
      <w:r w:rsidRPr="004B104E">
        <w:rPr>
          <w:rStyle w:val="HideTWBExt"/>
        </w:rPr>
        <w:t>&lt;Article2&gt;</w:t>
      </w:r>
      <w:r w:rsidRPr="004B104E">
        <w:t>Άρθρο 10 – παράγραφος 2 – στοιχείο α</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Κείμενο που προτείνει η Επιτροπή</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hideMark/>
          </w:tcPr>
          <w:p w:rsidR="00714966" w:rsidRPr="004B104E" w:rsidRDefault="00AB08CD">
            <w:pPr>
              <w:pStyle w:val="Normal6"/>
            </w:pPr>
            <w:r w:rsidRPr="004B104E">
              <w:t>α)</w:t>
            </w:r>
            <w:r w:rsidRPr="004B104E">
              <w:tab/>
              <w:t>ότι όλ</w:t>
            </w:r>
            <w:r w:rsidRPr="004B104E">
              <w:t xml:space="preserve">ες οι ΔΣΙ που αναπτύσσονται είναι χωρίς εμπλοκή σύμφωνα με τις </w:t>
            </w:r>
            <w:r w:rsidRPr="004B104E">
              <w:lastRenderedPageBreak/>
              <w:t>κατευθυντήριες γραμμές του παραρτήματος 5 της σύστασης 19-02·</w:t>
            </w:r>
          </w:p>
        </w:tc>
        <w:tc>
          <w:tcPr>
            <w:tcW w:w="4876" w:type="dxa"/>
            <w:hideMark/>
          </w:tcPr>
          <w:p w:rsidR="00714966" w:rsidRPr="004B104E" w:rsidRDefault="00AB08CD">
            <w:pPr>
              <w:pStyle w:val="Normal6"/>
              <w:rPr>
                <w:szCs w:val="24"/>
              </w:rPr>
            </w:pPr>
            <w:r w:rsidRPr="004B104E">
              <w:lastRenderedPageBreak/>
              <w:t>α)</w:t>
            </w:r>
            <w:r w:rsidRPr="004B104E">
              <w:tab/>
            </w:r>
            <w:r w:rsidRPr="004B104E">
              <w:rPr>
                <w:b/>
                <w:i/>
              </w:rPr>
              <w:t xml:space="preserve">διασφαλίζουν </w:t>
            </w:r>
            <w:r w:rsidRPr="004B104E">
              <w:t xml:space="preserve">ότι όλες οι ΔΣΙ που αναπτύσσονται είναι χωρίς εμπλοκή </w:t>
            </w:r>
            <w:r w:rsidRPr="004B104E">
              <w:lastRenderedPageBreak/>
              <w:t xml:space="preserve">σύμφωνα με τις κατευθυντήριες γραμμές του παραρτήματος 5 της </w:t>
            </w:r>
            <w:r w:rsidRPr="004B104E">
              <w:t>σύστασης 19-02·</w:t>
            </w:r>
          </w:p>
        </w:tc>
      </w:tr>
    </w:tbl>
    <w:p w:rsidR="00714966" w:rsidRPr="004B104E" w:rsidRDefault="00AB08CD" w:rsidP="00714966">
      <w:pPr>
        <w:pStyle w:val="Olang"/>
      </w:pPr>
      <w:r w:rsidRPr="004B104E">
        <w:lastRenderedPageBreak/>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Το κείμενο της σύστασης 21-01 της ICCAT μεταφέρεται με ακριβέστερο τρόπο.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16</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1 – παράγραφος 1 – σημείο 8</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2017/2107</w:t>
      </w:r>
      <w:r w:rsidRPr="004B104E">
        <w:rPr>
          <w:rStyle w:val="HideTWBExt"/>
        </w:rPr>
        <w:t>&lt;/DocAmend2&gt;</w:t>
      </w:r>
    </w:p>
    <w:p w:rsidR="00714966" w:rsidRPr="004B104E" w:rsidRDefault="00AB08CD" w:rsidP="00714966">
      <w:r w:rsidRPr="004B104E">
        <w:rPr>
          <w:rStyle w:val="HideTWBExt"/>
        </w:rPr>
        <w:t>&lt;Article2&gt;</w:t>
      </w:r>
      <w:r w:rsidRPr="004B104E">
        <w:t>Άρθρο 10 – παράγραφος 2 – στοιχείο β</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Κείμενο που προτείνει η Επιτροπή</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hideMark/>
          </w:tcPr>
          <w:p w:rsidR="00714966" w:rsidRPr="004B104E" w:rsidRDefault="00AB08CD">
            <w:pPr>
              <w:pStyle w:val="Normal6"/>
            </w:pPr>
            <w:r w:rsidRPr="004B104E">
              <w:t>β)</w:t>
            </w:r>
            <w:r w:rsidRPr="004B104E">
              <w:tab/>
            </w:r>
            <w:r w:rsidRPr="004B104E">
              <w:rPr>
                <w:b/>
                <w:i/>
              </w:rPr>
              <w:t>ότι</w:t>
            </w:r>
            <w:r w:rsidRPr="004B104E">
              <w:t xml:space="preserve"> όλες οι ΔΣΙ κατασκευάζονται από βιοδιασπώμενα υλικά, συμπεριλαμβανομένων των μη πλαστικών, με εξαίρεση τα υλικά που χρησιμοποιούνται για την κατασκευή σημαντήρων εντοπισμού ΔΣΙ·</w:t>
            </w:r>
          </w:p>
        </w:tc>
        <w:tc>
          <w:tcPr>
            <w:tcW w:w="4876" w:type="dxa"/>
            <w:hideMark/>
          </w:tcPr>
          <w:p w:rsidR="00714966" w:rsidRPr="004B104E" w:rsidRDefault="00AB08CD">
            <w:pPr>
              <w:pStyle w:val="Normal6"/>
              <w:rPr>
                <w:szCs w:val="24"/>
              </w:rPr>
            </w:pPr>
            <w:r w:rsidRPr="004B104E">
              <w:t>β)</w:t>
            </w:r>
            <w:r w:rsidRPr="004B104E">
              <w:tab/>
            </w:r>
            <w:r w:rsidRPr="004B104E">
              <w:rPr>
                <w:b/>
                <w:i/>
              </w:rPr>
              <w:t>επιχειρούν</w:t>
            </w:r>
            <w:r w:rsidRPr="004B104E">
              <w:t xml:space="preserve"> όλες οι ΔΣΙ</w:t>
            </w:r>
            <w:r w:rsidRPr="004B104E">
              <w:rPr>
                <w:b/>
                <w:i/>
              </w:rPr>
              <w:t xml:space="preserve"> να</w:t>
            </w:r>
            <w:r w:rsidRPr="004B104E">
              <w:t xml:space="preserve"> κατασκευάζονται από βιοδιασπώμενα υλικά, συμπερι</w:t>
            </w:r>
            <w:r w:rsidRPr="004B104E">
              <w:t>λαμβανομένων των μη πλαστικών, με εξαίρεση τα υλικά που χρησιμοποιούνται για την κατασκευή σημαντήρων εντοπισμού ΔΣΙ·</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 xml:space="preserve">Το κείμενο της σύστασης 21-01 της ICCAT μεταφέρεται με ακριβέστερο </w:t>
      </w:r>
      <w:r w:rsidRPr="004B104E">
        <w:t>τρόπο.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17</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1 – παράγραφος 1 – σημείο 11</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2017/2107</w:t>
      </w:r>
      <w:r w:rsidRPr="004B104E">
        <w:rPr>
          <w:rStyle w:val="HideTWBExt"/>
        </w:rPr>
        <w:t>&lt;/DocAmend2&gt;</w:t>
      </w:r>
    </w:p>
    <w:p w:rsidR="00714966" w:rsidRPr="004B104E" w:rsidRDefault="00AB08CD" w:rsidP="00714966">
      <w:r w:rsidRPr="004B104E">
        <w:rPr>
          <w:rStyle w:val="HideTWBExt"/>
        </w:rPr>
        <w:t>&lt;Article2&gt;</w:t>
      </w:r>
      <w:r w:rsidRPr="004B104E">
        <w:t>Άρθρο 14 – παράγραφος 1</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 xml:space="preserve">Κείμενο που </w:t>
            </w:r>
            <w:r w:rsidRPr="004B104E">
              <w:t>προτείνει η Επιτροπή</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hideMark/>
          </w:tcPr>
          <w:p w:rsidR="00714966" w:rsidRPr="004B104E" w:rsidRDefault="00AB08CD">
            <w:pPr>
              <w:pStyle w:val="Normal6"/>
            </w:pPr>
            <w:r w:rsidRPr="004B104E">
              <w:t>1.</w:t>
            </w:r>
            <w:r w:rsidRPr="004B104E">
              <w:tab/>
              <w:t xml:space="preserve">Τα κράτη μέλη διασφαλίζουν ότι τα σκάφη τους δεν τοποθετούν παρασυρόμενες ΔΣΙ κατά τη διάρκεια χρονικού διαστήματος 15 ημερών πριν από την έναρξη των περιόδων απαγόρευσης που προβλέπονται από το δίκαιο της </w:t>
            </w:r>
            <w:r w:rsidRPr="004B104E">
              <w:lastRenderedPageBreak/>
              <w:t>Ένωσης.</w:t>
            </w:r>
          </w:p>
        </w:tc>
        <w:tc>
          <w:tcPr>
            <w:tcW w:w="4876" w:type="dxa"/>
            <w:hideMark/>
          </w:tcPr>
          <w:p w:rsidR="00714966" w:rsidRPr="004B104E" w:rsidRDefault="00AB08CD">
            <w:pPr>
              <w:pStyle w:val="Normal6"/>
              <w:rPr>
                <w:szCs w:val="24"/>
              </w:rPr>
            </w:pPr>
            <w:r w:rsidRPr="004B104E">
              <w:lastRenderedPageBreak/>
              <w:t>1.</w:t>
            </w:r>
            <w:r w:rsidRPr="004B104E">
              <w:tab/>
              <w:t xml:space="preserve">Τα </w:t>
            </w:r>
            <w:r w:rsidRPr="004B104E">
              <w:t xml:space="preserve">κράτη μέλη διασφαλίζουν ότι τα σκάφη </w:t>
            </w:r>
            <w:r w:rsidRPr="004B104E">
              <w:rPr>
                <w:b/>
                <w:i/>
              </w:rPr>
              <w:t xml:space="preserve">που φέρουν τη σημαία </w:t>
            </w:r>
            <w:r w:rsidRPr="004B104E">
              <w:t xml:space="preserve">τους δεν τοποθετούν παρασυρόμενες ΔΣΙ κατά τη διάρκεια χρονικού διαστήματος 15 ημερών πριν από την έναρξη των περιόδων απαγόρευσης που προβλέπονται από το </w:t>
            </w:r>
            <w:r w:rsidRPr="004B104E">
              <w:lastRenderedPageBreak/>
              <w:t>δίκαιο της Ένωσης.</w:t>
            </w:r>
          </w:p>
        </w:tc>
      </w:tr>
    </w:tbl>
    <w:p w:rsidR="00714966" w:rsidRPr="004B104E" w:rsidRDefault="00AB08CD" w:rsidP="00714966">
      <w:pPr>
        <w:pStyle w:val="Olang"/>
      </w:pPr>
      <w:r w:rsidRPr="004B104E">
        <w:lastRenderedPageBreak/>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w:t>
      </w:r>
      <w:r w:rsidRPr="004B104E">
        <w:rPr>
          <w:rStyle w:val="HideTWBExt"/>
          <w:noProof w:val="0"/>
        </w:rPr>
        <w:t>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Γλωσσική διευκρίνιση.</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18</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1 – παράγραφος 1 – σημείο 11</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2017/2107</w:t>
      </w:r>
      <w:r w:rsidRPr="004B104E">
        <w:rPr>
          <w:rStyle w:val="HideTWBExt"/>
        </w:rPr>
        <w:t>&lt;/DocAmend2&gt;</w:t>
      </w:r>
    </w:p>
    <w:p w:rsidR="00714966" w:rsidRPr="004B104E" w:rsidRDefault="00AB08CD" w:rsidP="00714966">
      <w:r w:rsidRPr="004B104E">
        <w:rPr>
          <w:rStyle w:val="HideTWBExt"/>
        </w:rPr>
        <w:t>&lt;Article2&gt;</w:t>
      </w:r>
      <w:r w:rsidRPr="004B104E">
        <w:t>Άρθρο 14 – παράγραφος 2 – εισαγωγικό μέρος</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Κείμενο που προτείνει η Επιτροπή</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hideMark/>
          </w:tcPr>
          <w:p w:rsidR="00714966" w:rsidRPr="004B104E" w:rsidRDefault="00AB08CD">
            <w:pPr>
              <w:pStyle w:val="Normal6"/>
            </w:pPr>
            <w:r w:rsidRPr="004B104E">
              <w:t>2.</w:t>
            </w:r>
            <w:r w:rsidRPr="004B104E">
              <w:tab/>
              <w:t xml:space="preserve">Τα κράτη μέλη </w:t>
            </w:r>
            <w:r w:rsidRPr="004B104E">
              <w:rPr>
                <w:b/>
                <w:i/>
              </w:rPr>
              <w:t>των οποίων</w:t>
            </w:r>
            <w:r w:rsidRPr="004B104E">
              <w:t xml:space="preserve"> τα σκάφη αλιεύουν τροπικό τόνο:</w:t>
            </w:r>
          </w:p>
        </w:tc>
        <w:tc>
          <w:tcPr>
            <w:tcW w:w="4876" w:type="dxa"/>
            <w:hideMark/>
          </w:tcPr>
          <w:p w:rsidR="00714966" w:rsidRPr="004B104E" w:rsidRDefault="00AB08CD">
            <w:pPr>
              <w:pStyle w:val="Normal6"/>
              <w:rPr>
                <w:szCs w:val="24"/>
              </w:rPr>
            </w:pPr>
            <w:r w:rsidRPr="004B104E">
              <w:t>2.</w:t>
            </w:r>
            <w:r w:rsidRPr="004B104E">
              <w:tab/>
              <w:t xml:space="preserve">Τα κράτη μέλη </w:t>
            </w:r>
            <w:r w:rsidRPr="004B104E">
              <w:rPr>
                <w:b/>
                <w:i/>
              </w:rPr>
              <w:t>διασφαλίζουν ότι</w:t>
            </w:r>
            <w:r w:rsidRPr="004B104E">
              <w:t xml:space="preserve"> τα σκάφη </w:t>
            </w:r>
            <w:r w:rsidRPr="004B104E">
              <w:rPr>
                <w:b/>
                <w:i/>
              </w:rPr>
              <w:t>που φέρουν τη σημαία τους και διαθέτουν άδ</w:t>
            </w:r>
            <w:r w:rsidRPr="004B104E">
              <w:rPr>
                <w:b/>
                <w:i/>
              </w:rPr>
              <w:t xml:space="preserve">εια να </w:t>
            </w:r>
            <w:r w:rsidRPr="004B104E">
              <w:t>αλιεύουν τροπικό τόνο</w:t>
            </w:r>
            <w:r w:rsidRPr="004B104E">
              <w:rPr>
                <w:b/>
                <w:i/>
              </w:rPr>
              <w:t>, καθορίζουν ελάχιστη παρουσία παρατηρητών, ως εξής</w:t>
            </w:r>
            <w:r w:rsidRPr="004B104E">
              <w:t>:</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Γλωσσική διευκρίνιση.</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19</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1 – παράγραφος 1 – σημείο 20</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2017/2107</w:t>
      </w:r>
      <w:r w:rsidRPr="004B104E">
        <w:rPr>
          <w:rStyle w:val="HideTWBExt"/>
        </w:rPr>
        <w:t>&lt;/DocAmend2&gt;</w:t>
      </w:r>
    </w:p>
    <w:p w:rsidR="00714966" w:rsidRPr="004B104E" w:rsidRDefault="00AB08CD" w:rsidP="00714966">
      <w:r w:rsidRPr="004B104E">
        <w:rPr>
          <w:rStyle w:val="HideTWBExt"/>
        </w:rPr>
        <w:t>&lt;Article2&gt;</w:t>
      </w:r>
      <w:r w:rsidRPr="004B104E">
        <w:t>Άρθρο 27 – τίτλος</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Κείμενο που προτείνει η Επιτροπή</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hideMark/>
          </w:tcPr>
          <w:p w:rsidR="00714966" w:rsidRPr="004B104E" w:rsidRDefault="00AB08CD">
            <w:pPr>
              <w:pStyle w:val="Normal6"/>
            </w:pPr>
            <w:r w:rsidRPr="004B104E">
              <w:t>Άρθρο 27α</w:t>
            </w:r>
          </w:p>
        </w:tc>
        <w:tc>
          <w:tcPr>
            <w:tcW w:w="4876" w:type="dxa"/>
            <w:hideMark/>
          </w:tcPr>
          <w:p w:rsidR="00714966" w:rsidRPr="004B104E" w:rsidRDefault="00AB08CD">
            <w:pPr>
              <w:pStyle w:val="Normal6"/>
              <w:rPr>
                <w:szCs w:val="24"/>
              </w:rPr>
            </w:pPr>
            <w:r w:rsidRPr="004B104E">
              <w:t>Άρθρο 27</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Γλωσσική διευκρίνιση.</w:t>
      </w:r>
    </w:p>
    <w:p w:rsidR="00714966" w:rsidRPr="004B104E" w:rsidRDefault="00AB08CD" w:rsidP="00714966">
      <w:r w:rsidRPr="004B104E">
        <w:rPr>
          <w:rStyle w:val="HideTWBExt"/>
        </w:rPr>
        <w:lastRenderedPageBreak/>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20</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1 – παράγραφος 1 – σημείο 20</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2017/2107</w:t>
      </w:r>
      <w:r w:rsidRPr="004B104E">
        <w:rPr>
          <w:rStyle w:val="HideTWBExt"/>
        </w:rPr>
        <w:t>&lt;/DocAmend2&gt;</w:t>
      </w:r>
    </w:p>
    <w:p w:rsidR="00714966" w:rsidRPr="004B104E" w:rsidRDefault="00AB08CD" w:rsidP="00714966">
      <w:r w:rsidRPr="004B104E">
        <w:rPr>
          <w:rStyle w:val="HideTWBExt"/>
        </w:rPr>
        <w:t>&lt;Article2&gt;</w:t>
      </w:r>
      <w:r w:rsidRPr="004B104E">
        <w:t xml:space="preserve">Άρθρο 27 – </w:t>
      </w:r>
      <w:r w:rsidRPr="004B104E">
        <w:t>παράγραφος 1</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Κείμενο που προτείνει η Επιτροπή</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hideMark/>
          </w:tcPr>
          <w:p w:rsidR="00714966" w:rsidRPr="004B104E" w:rsidRDefault="00AB08CD">
            <w:pPr>
              <w:pStyle w:val="Normal6"/>
            </w:pPr>
            <w:r w:rsidRPr="004B104E">
              <w:t>1.</w:t>
            </w:r>
            <w:r w:rsidRPr="004B104E">
              <w:tab/>
              <w:t xml:space="preserve">Κατά παρέκκλιση από το άρθρο 15 παράγραφος 1 του κανονισμού (ΕΕ) αριθ. 1380/2013, όταν </w:t>
            </w:r>
            <w:r w:rsidRPr="004B104E">
              <w:rPr>
                <w:b/>
                <w:i/>
              </w:rPr>
              <w:t>έχει εξαντληθεί το 80 % της ποσόστωσή τους</w:t>
            </w:r>
            <w:r w:rsidRPr="004B104E">
              <w:t xml:space="preserve">, τα κράτη μέλη </w:t>
            </w:r>
            <w:r w:rsidRPr="004B104E">
              <w:rPr>
                <w:b/>
                <w:i/>
              </w:rPr>
              <w:t>μεριμνούν</w:t>
            </w:r>
            <w:r w:rsidRPr="004B104E">
              <w:t xml:space="preserve"> ώστε τα σκάφη που φέρουν τη σημαία τους</w:t>
            </w:r>
            <w:r w:rsidRPr="004B104E">
              <w:rPr>
                <w:b/>
                <w:i/>
              </w:rPr>
              <w:t xml:space="preserve"> να</w:t>
            </w:r>
            <w:r w:rsidRPr="004B104E">
              <w:t xml:space="preserve"> απελευθερώνουν όλα τα γαλάζια μάρλιν (Makaira nigricans), τα λευκά μάρλιν (Tetrapturus albidus) και τις βασιλικές ζαργάνες (Tetrapturus georgei) που είναι ζωντανά κατά τη στιγμή που φτάνουν επί του σκάφους.</w:t>
            </w:r>
          </w:p>
        </w:tc>
        <w:tc>
          <w:tcPr>
            <w:tcW w:w="4876" w:type="dxa"/>
            <w:hideMark/>
          </w:tcPr>
          <w:p w:rsidR="00714966" w:rsidRPr="004B104E" w:rsidRDefault="00AB08CD">
            <w:pPr>
              <w:pStyle w:val="Normal6"/>
              <w:rPr>
                <w:szCs w:val="24"/>
              </w:rPr>
            </w:pPr>
            <w:r w:rsidRPr="004B104E">
              <w:t>1.</w:t>
            </w:r>
            <w:r w:rsidRPr="004B104E">
              <w:tab/>
              <w:t>Κα</w:t>
            </w:r>
            <w:r w:rsidRPr="004B104E">
              <w:t xml:space="preserve">τά παρέκκλιση από το άρθρο 15 παράγραφος 1 του κανονισμού (ΕΕ) αριθ. 1380/2013, όταν </w:t>
            </w:r>
            <w:r w:rsidRPr="004B104E">
              <w:rPr>
                <w:b/>
                <w:i/>
              </w:rPr>
              <w:t>η ποσόστωσή τους πλησιάζει να εξαντληθεί</w:t>
            </w:r>
            <w:r w:rsidRPr="004B104E">
              <w:t xml:space="preserve">, τα κράτη μέλη </w:t>
            </w:r>
            <w:r w:rsidRPr="004B104E">
              <w:rPr>
                <w:b/>
                <w:i/>
              </w:rPr>
              <w:t>λαμβάνουν τα κατάλληλα μέτρα</w:t>
            </w:r>
            <w:r w:rsidRPr="004B104E">
              <w:t xml:space="preserve"> ώστε </w:t>
            </w:r>
            <w:r w:rsidRPr="004B104E">
              <w:rPr>
                <w:b/>
                <w:i/>
              </w:rPr>
              <w:t xml:space="preserve">να διασφαλίσουν ότι </w:t>
            </w:r>
            <w:r w:rsidRPr="004B104E">
              <w:t>τα σκάφη που φέρουν τη σημαία τους απελευθερώνουν όλα τα γαλά</w:t>
            </w:r>
            <w:r w:rsidRPr="004B104E">
              <w:t>ζια μάρλιν (Makaira nigricans), τα λευκά μάρλιν (Tetrapturus albidus) και τις βασιλικές ζαργάνες (Tetrapturus georgei) που είναι ζωντανά κατά τη στιγμή που φτάνουν επί του σκάφους.</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Η σύστα</w:t>
      </w:r>
      <w:r w:rsidRPr="004B104E">
        <w:t>ση 18-04 της ICCAT μεταφέρεται με ακριβέστερο τρόπο.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21</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1 – παράγραφος 1 – σημείο 20</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2017/2107</w:t>
      </w:r>
      <w:r w:rsidRPr="004B104E">
        <w:rPr>
          <w:rStyle w:val="HideTWBExt"/>
        </w:rPr>
        <w:t>&lt;/DocAmend2&gt;</w:t>
      </w:r>
    </w:p>
    <w:p w:rsidR="00714966" w:rsidRPr="004B104E" w:rsidRDefault="00AB08CD" w:rsidP="00714966">
      <w:r w:rsidRPr="004B104E">
        <w:rPr>
          <w:rStyle w:val="HideTWBExt"/>
        </w:rPr>
        <w:t>&lt;Article2&gt;</w:t>
      </w:r>
      <w:r w:rsidRPr="004B104E">
        <w:t>Άρθρο 27 – παράγραφος 3</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Κείμενο που προτείνει η Επιτροπή</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hideMark/>
          </w:tcPr>
          <w:p w:rsidR="00714966" w:rsidRPr="004B104E" w:rsidRDefault="00AB08CD">
            <w:pPr>
              <w:pStyle w:val="Normal6"/>
            </w:pPr>
            <w:r w:rsidRPr="004B104E">
              <w:t>3.</w:t>
            </w:r>
            <w:r w:rsidRPr="004B104E">
              <w:tab/>
              <w:t xml:space="preserve">Τα κράτη μέλη, μέσω της κατάρτισης κατευθυντήριων γραμμών για τον στόλο τους, ενθαρρύνουν την εφαρμογή των ελάχιστων προδιαγραφών για τις διαδικασίες ασφαλούς χειρισμού </w:t>
            </w:r>
            <w:r w:rsidRPr="004B104E">
              <w:t xml:space="preserve">και απελευθέρωσης των ζωντανών ιχθύων, που καθορίζονται στο παράρτημα 1 της σύστασης 19-05. Τα αλιευτικά σκάφη διαθέτουν ανυψωτική διάταξη, κοπτήρα </w:t>
            </w:r>
            <w:r w:rsidRPr="004B104E">
              <w:lastRenderedPageBreak/>
              <w:t>βιδών, απαγκιστρωτή και κοπτήρα σχοινιού άμεσα διαθέσιμα στο κατάστρωμα και εύκολα προσβάσιμα από το πλήρωμα</w:t>
            </w:r>
            <w:r w:rsidRPr="004B104E">
              <w:t>, για την ασφαλή απελευθέρωση των ζωντανών μάρλιν που αλιεύονται.</w:t>
            </w:r>
          </w:p>
        </w:tc>
        <w:tc>
          <w:tcPr>
            <w:tcW w:w="4876" w:type="dxa"/>
            <w:hideMark/>
          </w:tcPr>
          <w:p w:rsidR="00714966" w:rsidRPr="004B104E" w:rsidRDefault="00AB08CD">
            <w:pPr>
              <w:pStyle w:val="Normal6"/>
              <w:rPr>
                <w:szCs w:val="24"/>
              </w:rPr>
            </w:pPr>
            <w:r w:rsidRPr="004B104E">
              <w:lastRenderedPageBreak/>
              <w:t>3.</w:t>
            </w:r>
            <w:r w:rsidRPr="004B104E">
              <w:tab/>
              <w:t xml:space="preserve">Τα κράτη μέλη, μέσω της κατάρτισης κατευθυντήριων γραμμών για τον στόλο τους, ενθαρρύνουν την εφαρμογή των ελάχιστων προδιαγραφών για τις διαδικασίες ασφαλούς χειρισμού και απελευθέρωσης </w:t>
            </w:r>
            <w:r w:rsidRPr="004B104E">
              <w:t xml:space="preserve">των ζωντανών ιχθύων, που καθορίζονται στο παράρτημα 1 της σύστασης 19-05. Τα αλιευτικά σκάφη </w:t>
            </w:r>
            <w:r w:rsidRPr="004B104E">
              <w:rPr>
                <w:b/>
                <w:i/>
              </w:rPr>
              <w:t xml:space="preserve">της Ένωσης </w:t>
            </w:r>
            <w:r w:rsidRPr="004B104E">
              <w:t xml:space="preserve">διαθέτουν ανυψωτική διάταξη, </w:t>
            </w:r>
            <w:r w:rsidRPr="004B104E">
              <w:lastRenderedPageBreak/>
              <w:t>κοπτήρα βιδών, απαγκιστρωτή και κοπτήρα σχοινιού άμεσα διαθέσιμα στο κατάστρωμα και εύκολα προσβάσιμα από το πλήρωμα, για τ</w:t>
            </w:r>
            <w:r w:rsidRPr="004B104E">
              <w:t>ην ασφαλή απελευθέρωση των ζωντανών μάρλιν που αλιεύονται.</w:t>
            </w:r>
          </w:p>
        </w:tc>
      </w:tr>
    </w:tbl>
    <w:p w:rsidR="00714966" w:rsidRPr="004B104E" w:rsidRDefault="00AB08CD" w:rsidP="00714966">
      <w:pPr>
        <w:pStyle w:val="Olang"/>
      </w:pPr>
      <w:r w:rsidRPr="004B104E">
        <w:lastRenderedPageBreak/>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Γλωσσική διευκρίνιση.</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22</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 xml:space="preserve">Άρθρο 1 – </w:t>
      </w:r>
      <w:r w:rsidRPr="004B104E">
        <w:t>παράγραφος 1 – σημείο 20</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2017/2107</w:t>
      </w:r>
      <w:r w:rsidRPr="004B104E">
        <w:rPr>
          <w:rStyle w:val="HideTWBExt"/>
        </w:rPr>
        <w:t>&lt;/DocAmend2&gt;</w:t>
      </w:r>
    </w:p>
    <w:p w:rsidR="00714966" w:rsidRPr="004B104E" w:rsidRDefault="00AB08CD" w:rsidP="00714966">
      <w:r w:rsidRPr="004B104E">
        <w:rPr>
          <w:rStyle w:val="HideTWBExt"/>
        </w:rPr>
        <w:t>&lt;Article2&gt;</w:t>
      </w:r>
      <w:r w:rsidRPr="004B104E">
        <w:t>Άρθρο 27 – παράγραφος 4</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Κείμενο που προτείνει η Επιτροπή</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hideMark/>
          </w:tcPr>
          <w:p w:rsidR="00714966" w:rsidRPr="004B104E" w:rsidRDefault="00AB08CD">
            <w:pPr>
              <w:pStyle w:val="Normal6"/>
            </w:pPr>
            <w:r w:rsidRPr="004B104E">
              <w:t>4.</w:t>
            </w:r>
            <w:r w:rsidRPr="004B104E">
              <w:tab/>
              <w:t>Τα κράτη μέλη</w:t>
            </w:r>
            <w:r w:rsidRPr="004B104E">
              <w:rPr>
                <w:b/>
                <w:i/>
              </w:rPr>
              <w:t>, μέσω της κατάρτισης κατευθυντήριων γραμμών για τον στόλο τους,</w:t>
            </w:r>
            <w:r w:rsidRPr="004B104E">
              <w:t xml:space="preserve"> εξασφαλίζουν ότι ο πλοίαρχος και τα μέλη του πληρώματος των αλιευτικών σκαφών τους είναι επαρκώς εκπαιδευμένοι, γνωρίζουν και χρησιμοποιούν κατάλληλες τεχνικές μετριασμού, αναγνώρισης, χειρισμού και απελευθέρωσης και διατηρούν επί του σκάφους όλο τον εξοπ</w:t>
            </w:r>
            <w:r w:rsidRPr="004B104E">
              <w:t>λισμό που απαιτείται για την απελευθέρωση των μάρλιν σύμφωνα με τα ελάχιστα πρότυπα για διαδικασίες ασφαλούς χειρισμού</w:t>
            </w:r>
            <w:r w:rsidRPr="004B104E">
              <w:rPr>
                <w:b/>
                <w:i/>
              </w:rPr>
              <w:t>, όπως ορίζονται στο παράρτημα</w:t>
            </w:r>
            <w:r w:rsidRPr="004B104E">
              <w:t> </w:t>
            </w:r>
            <w:r w:rsidRPr="004B104E">
              <w:rPr>
                <w:b/>
                <w:i/>
              </w:rPr>
              <w:t>1 της σύστασης 19-05</w:t>
            </w:r>
            <w:r w:rsidRPr="004B104E">
              <w:t>.</w:t>
            </w:r>
          </w:p>
        </w:tc>
        <w:tc>
          <w:tcPr>
            <w:tcW w:w="4876" w:type="dxa"/>
            <w:hideMark/>
          </w:tcPr>
          <w:p w:rsidR="00714966" w:rsidRPr="004B104E" w:rsidRDefault="00AB08CD">
            <w:pPr>
              <w:pStyle w:val="Normal6"/>
              <w:rPr>
                <w:szCs w:val="24"/>
              </w:rPr>
            </w:pPr>
            <w:r w:rsidRPr="004B104E">
              <w:t>4.</w:t>
            </w:r>
            <w:r w:rsidRPr="004B104E">
              <w:tab/>
              <w:t>Τα κράτη μέλη εξασφαλίζουν ότι ο πλοίαρχος και τα μέλη του πληρώματος των αλιευτικ</w:t>
            </w:r>
            <w:r w:rsidRPr="004B104E">
              <w:t xml:space="preserve">ών σκαφών τους είναι επαρκώς εκπαιδευμένοι, γνωρίζουν και χρησιμοποιούν κατάλληλες τεχνικές μετριασμού, αναγνώρισης, χειρισμού και απελευθέρωσης και διατηρούν επί του σκάφους όλο τον εξοπλισμό που απαιτείται για την απελευθέρωση των μάρλιν σύμφωνα με </w:t>
            </w:r>
            <w:r w:rsidRPr="004B104E">
              <w:rPr>
                <w:b/>
                <w:i/>
              </w:rPr>
              <w:t>τις κ</w:t>
            </w:r>
            <w:r w:rsidRPr="004B104E">
              <w:rPr>
                <w:b/>
                <w:i/>
              </w:rPr>
              <w:t xml:space="preserve">ατευθυντήριες γραμμές σχετικά με </w:t>
            </w:r>
            <w:r w:rsidRPr="004B104E">
              <w:t>τα ελάχιστα πρότυπα για διαδικασίες ασφαλούς χειρισμού</w:t>
            </w:r>
            <w:r w:rsidRPr="004B104E">
              <w:rPr>
                <w:b/>
                <w:i/>
              </w:rPr>
              <w:t xml:space="preserve"> που προβλέπονται στην παράγραφο</w:t>
            </w:r>
            <w:r w:rsidRPr="004B104E">
              <w:t> </w:t>
            </w:r>
            <w:r w:rsidRPr="004B104E">
              <w:rPr>
                <w:b/>
                <w:i/>
              </w:rPr>
              <w:t>3</w:t>
            </w:r>
            <w:r w:rsidRPr="004B104E">
              <w:t>.</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 xml:space="preserve">Οι κατευθυντήριες γραμμές σχετικά με τα ελάχιστα πρότυπα για τις </w:t>
      </w:r>
      <w:r w:rsidRPr="004B104E">
        <w:t>διαδικασίες ασφαλούς χειρισμού αναφέρονται ήδη στην παράγραφο 3.</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lastRenderedPageBreak/>
        <w:t>&lt;Amend&gt;</w:t>
      </w:r>
      <w:r w:rsidRPr="004B104E">
        <w:t>Τροπολογία</w:t>
      </w:r>
      <w:r w:rsidRPr="004B104E">
        <w:tab/>
      </w:r>
      <w:r w:rsidRPr="004B104E">
        <w:tab/>
      </w:r>
      <w:r w:rsidRPr="004B104E">
        <w:rPr>
          <w:rStyle w:val="HideTWBExt"/>
        </w:rPr>
        <w:t>&lt;NumAm&gt;</w:t>
      </w:r>
      <w:r w:rsidRPr="004B104E">
        <w:t>23</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1 – παράγραφος 1 – σημείο 20</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2017/2107</w:t>
      </w:r>
      <w:r w:rsidRPr="004B104E">
        <w:rPr>
          <w:rStyle w:val="HideTWBExt"/>
        </w:rPr>
        <w:t>&lt;/DocAmend2&gt;</w:t>
      </w:r>
    </w:p>
    <w:p w:rsidR="00714966" w:rsidRPr="004B104E" w:rsidRDefault="00AB08CD" w:rsidP="00714966">
      <w:r w:rsidRPr="004B104E">
        <w:rPr>
          <w:rStyle w:val="HideTWBExt"/>
        </w:rPr>
        <w:t>&lt;A</w:t>
      </w:r>
      <w:r w:rsidRPr="004B104E">
        <w:rPr>
          <w:rStyle w:val="HideTWBExt"/>
        </w:rPr>
        <w:t>rticle2&gt;</w:t>
      </w:r>
      <w:r w:rsidRPr="004B104E">
        <w:t>Άρθρο 27 – παράγραφος 6</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Κείμενο που προτείνει η Επιτροπή</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hideMark/>
          </w:tcPr>
          <w:p w:rsidR="00714966" w:rsidRPr="004B104E" w:rsidRDefault="00AB08CD">
            <w:pPr>
              <w:pStyle w:val="Normal6"/>
            </w:pPr>
            <w:r w:rsidRPr="004B104E">
              <w:t>6.</w:t>
            </w:r>
            <w:r w:rsidRPr="004B104E">
              <w:tab/>
              <w:t xml:space="preserve">Τα κράτη μέλη μπορούν να επιτρέπουν στα πελαγικά παραγαδιάρικα σκάφη </w:t>
            </w:r>
            <w:r w:rsidRPr="004B104E">
              <w:rPr>
                <w:b/>
                <w:i/>
              </w:rPr>
              <w:t xml:space="preserve">τους </w:t>
            </w:r>
            <w:r w:rsidRPr="004B104E">
              <w:t xml:space="preserve">και στα γρι-γρι τους να αλιεύουν και να διατηρούν επί του σκάφους, να μεταφορτώνουν ή να </w:t>
            </w:r>
            <w:r w:rsidRPr="004B104E">
              <w:t>εκφορτώνουν γαλάζιο και λευκό μάρλιν / βασιλική ζαργάνα, νεκρά, εντός του ορίου εκφόρτωσής τους.</w:t>
            </w:r>
          </w:p>
        </w:tc>
        <w:tc>
          <w:tcPr>
            <w:tcW w:w="4876" w:type="dxa"/>
            <w:hideMark/>
          </w:tcPr>
          <w:p w:rsidR="00714966" w:rsidRPr="004B104E" w:rsidRDefault="00AB08CD">
            <w:pPr>
              <w:pStyle w:val="Normal6"/>
              <w:rPr>
                <w:szCs w:val="24"/>
              </w:rPr>
            </w:pPr>
            <w:r w:rsidRPr="004B104E">
              <w:t>6.</w:t>
            </w:r>
            <w:r w:rsidRPr="004B104E">
              <w:tab/>
              <w:t>Τα κράτη μέλη μπορούν να επιτρέπουν στα πελαγικά παραγαδιάρικα σκάφη και στα γρι-γρι</w:t>
            </w:r>
            <w:r w:rsidRPr="004B104E">
              <w:rPr>
                <w:b/>
                <w:i/>
              </w:rPr>
              <w:t xml:space="preserve"> που φέρουν τη σημαία</w:t>
            </w:r>
            <w:r w:rsidRPr="004B104E">
              <w:t xml:space="preserve"> τους να αλιεύουν και να διατηρούν επί του σκάφους,</w:t>
            </w:r>
            <w:r w:rsidRPr="004B104E">
              <w:t xml:space="preserve"> να μεταφορτώνουν ή να εκφορτώνουν γαλάζιο και λευκό μάρλιν / βασιλική ζαργάνα, νεκρά, εντός του ορίου εκφόρτωσής τους.</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Γλωσσική διευκρίνιση.</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24</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1 – παράγραφος 1 – σημείο 21</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2017/2107</w:t>
      </w:r>
      <w:r w:rsidRPr="004B104E">
        <w:rPr>
          <w:rStyle w:val="HideTWBExt"/>
        </w:rPr>
        <w:t>&lt;/DocAmend2&gt;</w:t>
      </w:r>
    </w:p>
    <w:p w:rsidR="00714966" w:rsidRPr="004B104E" w:rsidRDefault="00AB08CD" w:rsidP="00714966">
      <w:r w:rsidRPr="004B104E">
        <w:rPr>
          <w:rStyle w:val="HideTWBExt"/>
        </w:rPr>
        <w:t>&lt;Article2&gt;</w:t>
      </w:r>
      <w:r w:rsidRPr="004B104E">
        <w:t>Άρθρο 29 – παράγραφος 5</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Κείμενο που προτείνει η Επιτροπή</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hideMark/>
          </w:tcPr>
          <w:p w:rsidR="00714966" w:rsidRPr="004B104E" w:rsidRDefault="00AB08CD">
            <w:pPr>
              <w:pStyle w:val="Normal6"/>
            </w:pPr>
            <w:r w:rsidRPr="004B104E">
              <w:t>5.</w:t>
            </w:r>
            <w:r w:rsidRPr="004B104E">
              <w:tab/>
              <w:t xml:space="preserve">Στην ερασιτεχνική </w:t>
            </w:r>
            <w:r w:rsidRPr="004B104E">
              <w:t>αλιεία, η απελευθέρωση των ιχθύων εκτελείται κατά τρόπο που να προκαλεί τη μικρότερη δυνατή βλάβη.</w:t>
            </w:r>
          </w:p>
        </w:tc>
        <w:tc>
          <w:tcPr>
            <w:tcW w:w="4876" w:type="dxa"/>
            <w:hideMark/>
          </w:tcPr>
          <w:p w:rsidR="00714966" w:rsidRPr="004B104E" w:rsidRDefault="00AB08CD">
            <w:pPr>
              <w:pStyle w:val="Normal6"/>
              <w:rPr>
                <w:szCs w:val="24"/>
              </w:rPr>
            </w:pPr>
            <w:r w:rsidRPr="004B104E">
              <w:t>5.</w:t>
            </w:r>
            <w:r w:rsidRPr="004B104E">
              <w:tab/>
            </w:r>
            <w:r w:rsidRPr="004B104E">
              <w:rPr>
                <w:b/>
                <w:i/>
              </w:rPr>
              <w:t>Τα κράτη μέλη λαμβάνουν τα κατάλληλα μέτρα για να διασφαλίσουν ότι</w:t>
            </w:r>
            <w:r w:rsidRPr="004B104E">
              <w:t xml:space="preserve"> στην ερασιτεχνική αλιεία, η απελευθέρωση των ιχθύων εκτελείται κατά τρόπο που να προκαλ</w:t>
            </w:r>
            <w:r w:rsidRPr="004B104E">
              <w:t>εί τη μικρότερη δυνατή βλάβη.</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Η σύσταση 19-05 ορίζει ότι τα ΣΜΣ λαμβάνουν τα κατάλληλα μέτρα για τη διασφάλιση της διάταξης αυτής.</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lastRenderedPageBreak/>
        <w:t>&lt;Amend&gt;</w:t>
      </w:r>
      <w:r w:rsidRPr="004B104E">
        <w:t>Τροπολογία</w:t>
      </w:r>
      <w:r w:rsidRPr="004B104E">
        <w:tab/>
      </w:r>
      <w:r w:rsidRPr="004B104E">
        <w:tab/>
      </w:r>
      <w:r w:rsidRPr="004B104E">
        <w:rPr>
          <w:rStyle w:val="HideTWBExt"/>
        </w:rPr>
        <w:t>&lt;NumAm&gt;</w:t>
      </w:r>
      <w:r w:rsidRPr="004B104E">
        <w:t>25</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1 – παράγραφος 1 – σημείο 24</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2017/2107</w:t>
      </w:r>
      <w:r w:rsidRPr="004B104E">
        <w:rPr>
          <w:rStyle w:val="HideTWBExt"/>
        </w:rPr>
        <w:t>&lt;/DocAmend2&gt;</w:t>
      </w:r>
    </w:p>
    <w:p w:rsidR="00714966" w:rsidRPr="004B104E" w:rsidRDefault="00AB08CD" w:rsidP="00714966">
      <w:r w:rsidRPr="004B104E">
        <w:rPr>
          <w:rStyle w:val="HideTWBExt"/>
        </w:rPr>
        <w:t>&lt;Article2&gt;</w:t>
      </w:r>
      <w:r w:rsidRPr="004B104E">
        <w:t>Άρθρο 33</w:t>
      </w:r>
      <w:r w:rsidRPr="004B104E">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trHeight w:val="1228"/>
          <w:jc w:val="center"/>
        </w:trPr>
        <w:tc>
          <w:tcPr>
            <w:tcW w:w="4876" w:type="dxa"/>
            <w:hideMark/>
          </w:tcPr>
          <w:p w:rsidR="00714966" w:rsidRPr="004B104E" w:rsidRDefault="00AB08CD">
            <w:pPr>
              <w:pStyle w:val="ColumnHeading"/>
              <w:keepNext/>
            </w:pPr>
            <w:r w:rsidRPr="004B104E">
              <w:t>Κείμενο που προτείνει η Επιτροπή</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hideMark/>
          </w:tcPr>
          <w:p w:rsidR="00714966" w:rsidRPr="004B104E" w:rsidRDefault="00AB08CD">
            <w:pPr>
              <w:pStyle w:val="Normal6"/>
              <w:jc w:val="center"/>
            </w:pPr>
            <w:r w:rsidRPr="004B104E">
              <w:t>Άρθρο 33</w:t>
            </w:r>
          </w:p>
        </w:tc>
        <w:tc>
          <w:tcPr>
            <w:tcW w:w="4876" w:type="dxa"/>
            <w:hideMark/>
          </w:tcPr>
          <w:p w:rsidR="00714966" w:rsidRPr="004B104E" w:rsidRDefault="00AB08CD">
            <w:pPr>
              <w:pStyle w:val="Normal6"/>
              <w:jc w:val="center"/>
              <w:rPr>
                <w:szCs w:val="24"/>
              </w:rPr>
            </w:pPr>
            <w:r w:rsidRPr="004B104E">
              <w:t>Άρθρο 33</w:t>
            </w:r>
          </w:p>
        </w:tc>
      </w:tr>
      <w:tr w:rsidR="00B82744" w:rsidRPr="004B104E" w:rsidTr="00714966">
        <w:trPr>
          <w:jc w:val="center"/>
        </w:trPr>
        <w:tc>
          <w:tcPr>
            <w:tcW w:w="4876" w:type="dxa"/>
            <w:hideMark/>
          </w:tcPr>
          <w:p w:rsidR="00714966" w:rsidRPr="004B104E" w:rsidRDefault="00AB08CD">
            <w:pPr>
              <w:pStyle w:val="Normal6"/>
              <w:jc w:val="center"/>
            </w:pPr>
            <w:r w:rsidRPr="004B104E">
              <w:t xml:space="preserve">Ρυγχοκαρχαρίας (Isurus </w:t>
            </w:r>
            <w:r w:rsidRPr="004B104E">
              <w:t>oxyrinchus)</w:t>
            </w:r>
          </w:p>
        </w:tc>
        <w:tc>
          <w:tcPr>
            <w:tcW w:w="4876" w:type="dxa"/>
            <w:hideMark/>
          </w:tcPr>
          <w:p w:rsidR="00714966" w:rsidRPr="004B104E" w:rsidRDefault="00AB08CD">
            <w:pPr>
              <w:pStyle w:val="Normal6"/>
              <w:jc w:val="center"/>
              <w:rPr>
                <w:szCs w:val="24"/>
              </w:rPr>
            </w:pPr>
            <w:r w:rsidRPr="004B104E">
              <w:t xml:space="preserve">Ρυγχοκαρχαρίας </w:t>
            </w:r>
            <w:r w:rsidRPr="004B104E">
              <w:rPr>
                <w:b/>
                <w:i/>
              </w:rPr>
              <w:t xml:space="preserve">Βορείου Ατλαντικού </w:t>
            </w:r>
            <w:r w:rsidRPr="004B104E">
              <w:t>(Isurus oxyrinchus)</w:t>
            </w:r>
          </w:p>
        </w:tc>
      </w:tr>
      <w:tr w:rsidR="00B82744" w:rsidRPr="004B104E" w:rsidTr="00714966">
        <w:trPr>
          <w:jc w:val="center"/>
        </w:trPr>
        <w:tc>
          <w:tcPr>
            <w:tcW w:w="4876" w:type="dxa"/>
            <w:hideMark/>
          </w:tcPr>
          <w:p w:rsidR="00714966" w:rsidRPr="004B104E" w:rsidRDefault="00AB08CD">
            <w:pPr>
              <w:pStyle w:val="Normal6"/>
              <w:rPr>
                <w:b/>
                <w:i/>
              </w:rPr>
            </w:pPr>
            <w:r w:rsidRPr="004B104E">
              <w:rPr>
                <w:b/>
                <w:i/>
              </w:rPr>
              <w:t xml:space="preserve">1. </w:t>
            </w:r>
            <w:r w:rsidRPr="004B104E">
              <w:rPr>
                <w:b/>
                <w:i/>
              </w:rPr>
              <w:tab/>
              <w:t>Τα ενωσιακά αλιευτικά σκάφη απελευθερώνουν αμέσως τους ρυγχοκαρχαρίες του Βορείου Ατλαντικού κατά τρόπο που προκαλεί τη μικρότερη δυνατή βλάβη</w:t>
            </w:r>
            <w:r w:rsidRPr="004B104E">
              <w:t xml:space="preserve">, </w:t>
            </w:r>
            <w:r w:rsidRPr="004B104E">
              <w:rPr>
                <w:b/>
                <w:i/>
              </w:rPr>
              <w:t>λαμβάνοντας</w:t>
            </w:r>
            <w:r w:rsidRPr="004B104E">
              <w:t xml:space="preserve"> παράλληλα δεόντως υπόψη </w:t>
            </w:r>
            <w:r w:rsidRPr="004B104E">
              <w:rPr>
                <w:b/>
                <w:i/>
              </w:rPr>
              <w:t>την</w:t>
            </w:r>
            <w:r w:rsidRPr="004B104E">
              <w:t xml:space="preserve"> α</w:t>
            </w:r>
            <w:r w:rsidRPr="004B104E">
              <w:t>σφάλεια των μελών του πληρώματος.</w:t>
            </w:r>
          </w:p>
        </w:tc>
        <w:tc>
          <w:tcPr>
            <w:tcW w:w="4876" w:type="dxa"/>
            <w:hideMark/>
          </w:tcPr>
          <w:p w:rsidR="00714966" w:rsidRPr="004B104E" w:rsidRDefault="00AB08CD">
            <w:pPr>
              <w:pStyle w:val="Normal6"/>
              <w:rPr>
                <w:szCs w:val="24"/>
              </w:rPr>
            </w:pPr>
            <w:r w:rsidRPr="004B104E">
              <w:rPr>
                <w:b/>
                <w:i/>
              </w:rPr>
              <w:t>1.</w:t>
            </w:r>
            <w:r w:rsidRPr="004B104E">
              <w:rPr>
                <w:b/>
                <w:i/>
              </w:rPr>
              <w:tab/>
              <w:t>Ο ρυγχοκαρχαρίας Βορείου Ατλαντικού που αλιεύεται από ενωσιακά αλιευτικά σκάφη δεν βλάπτεται και απελευθερώνεται αμέσως στη θάλασσα</w:t>
            </w:r>
            <w:r w:rsidRPr="004B104E">
              <w:t xml:space="preserve">, </w:t>
            </w:r>
            <w:r w:rsidRPr="004B104E">
              <w:rPr>
                <w:b/>
                <w:i/>
              </w:rPr>
              <w:t>ενώ λαμβάνεται</w:t>
            </w:r>
            <w:r w:rsidRPr="004B104E">
              <w:t xml:space="preserve"> παράλληλα δεόντως υπόψη </w:t>
            </w:r>
            <w:r w:rsidRPr="004B104E">
              <w:rPr>
                <w:b/>
                <w:i/>
              </w:rPr>
              <w:t>η</w:t>
            </w:r>
            <w:r w:rsidRPr="004B104E">
              <w:t xml:space="preserve"> ασφάλεια των μελών του πληρώματος.</w:t>
            </w:r>
          </w:p>
        </w:tc>
      </w:tr>
      <w:tr w:rsidR="00B82744" w:rsidRPr="004B104E" w:rsidTr="00714966">
        <w:trPr>
          <w:jc w:val="center"/>
        </w:trPr>
        <w:tc>
          <w:tcPr>
            <w:tcW w:w="4876" w:type="dxa"/>
            <w:hideMark/>
          </w:tcPr>
          <w:p w:rsidR="00714966" w:rsidRPr="004B104E" w:rsidRDefault="00AB08CD">
            <w:pPr>
              <w:pStyle w:val="Normal6"/>
            </w:pPr>
            <w:r w:rsidRPr="004B104E">
              <w:rPr>
                <w:b/>
                <w:i/>
              </w:rPr>
              <w:t xml:space="preserve">2. </w:t>
            </w:r>
            <w:r w:rsidRPr="004B104E">
              <w:rPr>
                <w:b/>
                <w:i/>
              </w:rPr>
              <w:tab/>
              <w:t xml:space="preserve">Κατά </w:t>
            </w:r>
            <w:r w:rsidRPr="004B104E">
              <w:rPr>
                <w:b/>
                <w:i/>
              </w:rPr>
              <w:t>παρέκκλιση από την παράγραφο 1, τα κράτη μέλη μπορούν να επιτρέπουν στα σκάφη τους να αλιεύουν και να διατηρούν επί του σκάφους, να μεταφορτώνουν ή να εκφορτώνουν τον ρυγχοκαρχαρία του Βορείου Ατλαντικού, υπό την προϋπόθεση ότι:</w:t>
            </w:r>
          </w:p>
        </w:tc>
        <w:tc>
          <w:tcPr>
            <w:tcW w:w="4876" w:type="dxa"/>
            <w:hideMark/>
          </w:tcPr>
          <w:p w:rsidR="00714966" w:rsidRPr="004B104E" w:rsidRDefault="00AB08CD">
            <w:pPr>
              <w:pStyle w:val="Normal6"/>
              <w:rPr>
                <w:szCs w:val="24"/>
              </w:rPr>
            </w:pPr>
            <w:r w:rsidRPr="004B104E">
              <w:rPr>
                <w:b/>
                <w:i/>
              </w:rPr>
              <w:t>2.</w:t>
            </w:r>
            <w:r w:rsidRPr="004B104E">
              <w:rPr>
                <w:b/>
                <w:i/>
              </w:rPr>
              <w:tab/>
            </w:r>
            <w:r w:rsidRPr="004B104E">
              <w:t xml:space="preserve">Τα κράτη μέλη </w:t>
            </w:r>
            <w:r w:rsidRPr="004B104E">
              <w:rPr>
                <w:b/>
                <w:i/>
              </w:rPr>
              <w:t>διασφαλίζο</w:t>
            </w:r>
            <w:r w:rsidRPr="004B104E">
              <w:rPr>
                <w:b/>
                <w:i/>
              </w:rPr>
              <w:t>υν ότι τα</w:t>
            </w:r>
            <w:r w:rsidRPr="004B104E">
              <w:t xml:space="preserve"> σκάφη τους </w:t>
            </w:r>
            <w:r w:rsidRPr="004B104E">
              <w:rPr>
                <w:b/>
                <w:i/>
              </w:rPr>
              <w:t>εφαρμόζουν τα ελάχιστα πρότυπα για τις διαδικασίες ασφαλούς χειρισμού και απελευθέρωσης του</w:t>
            </w:r>
            <w:r w:rsidRPr="004B104E">
              <w:t xml:space="preserve"> ρυγχοκαρχαρία Βορείου Ατλαντικού, </w:t>
            </w:r>
            <w:r w:rsidRPr="004B104E">
              <w:rPr>
                <w:b/>
                <w:i/>
              </w:rPr>
              <w:t>όπως ορίζονται στο παράρτημα IX.</w:t>
            </w:r>
          </w:p>
        </w:tc>
      </w:tr>
      <w:tr w:rsidR="00B82744" w:rsidRPr="004B104E" w:rsidTr="00714966">
        <w:trPr>
          <w:jc w:val="center"/>
        </w:trPr>
        <w:tc>
          <w:tcPr>
            <w:tcW w:w="4876" w:type="dxa"/>
            <w:hideMark/>
          </w:tcPr>
          <w:p w:rsidR="00714966" w:rsidRPr="004B104E" w:rsidRDefault="00AB08CD">
            <w:pPr>
              <w:pStyle w:val="Normal6"/>
              <w:rPr>
                <w:b/>
                <w:i/>
              </w:rPr>
            </w:pPr>
            <w:r w:rsidRPr="004B104E">
              <w:rPr>
                <w:b/>
                <w:i/>
              </w:rPr>
              <w:t xml:space="preserve">i) </w:t>
            </w:r>
            <w:r w:rsidRPr="004B104E">
              <w:rPr>
                <w:b/>
                <w:i/>
              </w:rPr>
              <w:tab/>
              <w:t xml:space="preserve">ο ρυγχοκαρχαρίας είναι νεκρός όταν μεταφέρεται κατά μήκος του σκάφους </w:t>
            </w:r>
            <w:r w:rsidRPr="004B104E">
              <w:rPr>
                <w:b/>
                <w:i/>
              </w:rPr>
              <w:t>για να φορτωθεί στο σκάφος·</w:t>
            </w:r>
          </w:p>
        </w:tc>
        <w:tc>
          <w:tcPr>
            <w:tcW w:w="4876" w:type="dxa"/>
          </w:tcPr>
          <w:p w:rsidR="00714966" w:rsidRPr="004B104E" w:rsidRDefault="00714966">
            <w:pPr>
              <w:pStyle w:val="Normal6"/>
              <w:rPr>
                <w:b/>
                <w:i/>
              </w:rPr>
            </w:pPr>
          </w:p>
        </w:tc>
      </w:tr>
      <w:tr w:rsidR="00B82744" w:rsidRPr="004B104E" w:rsidTr="00714966">
        <w:trPr>
          <w:jc w:val="center"/>
        </w:trPr>
        <w:tc>
          <w:tcPr>
            <w:tcW w:w="4876" w:type="dxa"/>
            <w:hideMark/>
          </w:tcPr>
          <w:p w:rsidR="00714966" w:rsidRPr="004B104E" w:rsidRDefault="00AB08CD">
            <w:pPr>
              <w:pStyle w:val="Normal6"/>
              <w:rPr>
                <w:b/>
                <w:i/>
              </w:rPr>
            </w:pPr>
            <w:r w:rsidRPr="004B104E">
              <w:rPr>
                <w:b/>
                <w:i/>
              </w:rPr>
              <w:t xml:space="preserve">ii) </w:t>
            </w:r>
            <w:r w:rsidRPr="004B104E">
              <w:rPr>
                <w:b/>
                <w:i/>
              </w:rPr>
              <w:tab/>
              <w:t>η διατήρηση του ρυγχοκαρχαρία δεν υπερβαίνει τον μέσο όρο των εκφορτώσεων ρυγχοκαρχαρία του αλιευτικού σκάφους κατά τη διάρκεια της παραμονής του παρατηρητή επί του σκάφους και αυτό επαληθεύεται από υποχρεωτικά ημερολόγια</w:t>
            </w:r>
            <w:r w:rsidRPr="004B104E">
              <w:rPr>
                <w:b/>
                <w:i/>
              </w:rPr>
              <w:t xml:space="preserve"> και επιθεώρηση εκφόρτωσης που διενεργείται βάσει εκτίμησης κινδύνου.</w:t>
            </w:r>
          </w:p>
        </w:tc>
        <w:tc>
          <w:tcPr>
            <w:tcW w:w="4876" w:type="dxa"/>
          </w:tcPr>
          <w:p w:rsidR="00714966" w:rsidRPr="004B104E" w:rsidRDefault="00714966">
            <w:pPr>
              <w:pStyle w:val="Normal6"/>
              <w:rPr>
                <w:b/>
                <w:i/>
              </w:rPr>
            </w:pPr>
          </w:p>
        </w:tc>
      </w:tr>
      <w:tr w:rsidR="00B82744" w:rsidRPr="004B104E" w:rsidTr="00714966">
        <w:trPr>
          <w:jc w:val="center"/>
        </w:trPr>
        <w:tc>
          <w:tcPr>
            <w:tcW w:w="4876" w:type="dxa"/>
            <w:hideMark/>
          </w:tcPr>
          <w:p w:rsidR="00714966" w:rsidRPr="004B104E" w:rsidRDefault="00AB08CD">
            <w:pPr>
              <w:pStyle w:val="Normal6"/>
              <w:rPr>
                <w:b/>
                <w:i/>
              </w:rPr>
            </w:pPr>
            <w:r w:rsidRPr="004B104E">
              <w:rPr>
                <w:b/>
                <w:i/>
              </w:rPr>
              <w:t xml:space="preserve">3. </w:t>
            </w:r>
            <w:r w:rsidRPr="004B104E">
              <w:rPr>
                <w:b/>
                <w:i/>
              </w:rPr>
              <w:tab/>
              <w:t>Επιπλέον, όσον αφορά τα σκάφη των οποίων το μήκος είναι μεγαλύτερο από 12 m, τα κράτη μέλη μπορούν να επιτρέπουν στα σκάφη τους να αλιεύουν και να διατηρούν επί του σκάφους, να μετ</w:t>
            </w:r>
            <w:r w:rsidRPr="004B104E">
              <w:rPr>
                <w:b/>
                <w:i/>
              </w:rPr>
              <w:t xml:space="preserve">αφορτώνουν ή να εκφορτώνουν τον </w:t>
            </w:r>
            <w:r w:rsidRPr="004B104E">
              <w:rPr>
                <w:b/>
                <w:i/>
              </w:rPr>
              <w:lastRenderedPageBreak/>
              <w:t>ρυγχοκαρχαρία του Βορείου Ατλαντικού μόνον εάν, επιπλέον των όρων που προβλέπονται στην παράγραφο 2:</w:t>
            </w:r>
          </w:p>
        </w:tc>
        <w:tc>
          <w:tcPr>
            <w:tcW w:w="4876" w:type="dxa"/>
            <w:hideMark/>
          </w:tcPr>
          <w:p w:rsidR="00714966" w:rsidRPr="004B104E" w:rsidRDefault="00AB08CD">
            <w:pPr>
              <w:pStyle w:val="Normal6"/>
              <w:rPr>
                <w:b/>
                <w:i/>
              </w:rPr>
            </w:pPr>
            <w:r w:rsidRPr="004B104E">
              <w:rPr>
                <w:b/>
                <w:i/>
              </w:rPr>
              <w:lastRenderedPageBreak/>
              <w:t>3.</w:t>
            </w:r>
            <w:r w:rsidRPr="004B104E">
              <w:rPr>
                <w:b/>
                <w:i/>
              </w:rPr>
              <w:tab/>
              <w:t xml:space="preserve">Αρχής γενομένης του 2023 και στη συνέχεια ετησίως, η Επιτροπή επικυρώνει το ποσό της επιτρεπόμενης διατήρησης κατά το </w:t>
            </w:r>
            <w:r w:rsidRPr="004B104E">
              <w:rPr>
                <w:b/>
                <w:i/>
              </w:rPr>
              <w:t xml:space="preserve">επόμενο έτος, με βάση τις βέλτιστες διαθέσιμες επιστημονικές </w:t>
            </w:r>
            <w:r w:rsidRPr="004B104E">
              <w:rPr>
                <w:b/>
                <w:i/>
              </w:rPr>
              <w:lastRenderedPageBreak/>
              <w:t>γνωμοδοτήσεις.</w:t>
            </w:r>
          </w:p>
        </w:tc>
      </w:tr>
      <w:tr w:rsidR="00B82744" w:rsidRPr="004B104E" w:rsidTr="00714966">
        <w:trPr>
          <w:jc w:val="center"/>
        </w:trPr>
        <w:tc>
          <w:tcPr>
            <w:tcW w:w="4876" w:type="dxa"/>
            <w:hideMark/>
          </w:tcPr>
          <w:p w:rsidR="00714966" w:rsidRPr="004B104E" w:rsidRDefault="00AB08CD">
            <w:pPr>
              <w:pStyle w:val="Normal6"/>
              <w:rPr>
                <w:b/>
                <w:i/>
              </w:rPr>
            </w:pPr>
            <w:r w:rsidRPr="004B104E">
              <w:rPr>
                <w:b/>
                <w:i/>
              </w:rPr>
              <w:lastRenderedPageBreak/>
              <w:t xml:space="preserve">α) </w:t>
            </w:r>
            <w:r w:rsidRPr="004B104E">
              <w:rPr>
                <w:b/>
                <w:i/>
              </w:rPr>
              <w:tab/>
              <w:t xml:space="preserve">το σκάφος διαθέτει είτε παρατηρητή είτε λειτουργικό ηλεκτρονικό σύστημα παρακολούθησης, που μπορεί να προσδιορίσει αν τα αλιεύματα είναι νεκρά ή ζωντανά· </w:t>
            </w:r>
          </w:p>
        </w:tc>
        <w:tc>
          <w:tcPr>
            <w:tcW w:w="4876" w:type="dxa"/>
          </w:tcPr>
          <w:p w:rsidR="00714966" w:rsidRPr="004B104E" w:rsidRDefault="00714966">
            <w:pPr>
              <w:pStyle w:val="Normal6"/>
              <w:rPr>
                <w:b/>
                <w:i/>
              </w:rPr>
            </w:pPr>
          </w:p>
        </w:tc>
      </w:tr>
      <w:tr w:rsidR="00B82744" w:rsidRPr="004B104E" w:rsidTr="00714966">
        <w:trPr>
          <w:jc w:val="center"/>
        </w:trPr>
        <w:tc>
          <w:tcPr>
            <w:tcW w:w="4876" w:type="dxa"/>
            <w:hideMark/>
          </w:tcPr>
          <w:p w:rsidR="00714966" w:rsidRPr="004B104E" w:rsidRDefault="00AB08CD">
            <w:pPr>
              <w:pStyle w:val="Normal6"/>
              <w:rPr>
                <w:b/>
                <w:i/>
              </w:rPr>
            </w:pPr>
            <w:r w:rsidRPr="004B104E">
              <w:rPr>
                <w:b/>
                <w:i/>
              </w:rPr>
              <w:t xml:space="preserve">β) </w:t>
            </w:r>
            <w:r w:rsidRPr="004B104E">
              <w:rPr>
                <w:b/>
                <w:i/>
              </w:rPr>
              <w:tab/>
              <w:t xml:space="preserve">ο παρατηρητής </w:t>
            </w:r>
            <w:r w:rsidRPr="004B104E">
              <w:rPr>
                <w:b/>
                <w:i/>
              </w:rPr>
              <w:t>συλλέγει δεδομένα σχετικά με τον αριθμό των ατόμων που αγκιστρώνονται, το μήκος σώματος, το φύλο, την κατάσταση, την ωριμότητα (αν το άτομο είναι έγκυο και τον αριθμό των νεογνών του) και το βάρος των προϊόντων για κάθε ρυγχοκαρχαρία που αλιεύεται, καθώς κ</w:t>
            </w:r>
            <w:r w:rsidRPr="004B104E">
              <w:rPr>
                <w:b/>
                <w:i/>
              </w:rPr>
              <w:t xml:space="preserve">αι την αλιευτική προσπάθεια· και </w:t>
            </w:r>
          </w:p>
        </w:tc>
        <w:tc>
          <w:tcPr>
            <w:tcW w:w="4876" w:type="dxa"/>
          </w:tcPr>
          <w:p w:rsidR="00714966" w:rsidRPr="004B104E" w:rsidRDefault="00714966">
            <w:pPr>
              <w:pStyle w:val="Normal6"/>
              <w:rPr>
                <w:b/>
                <w:i/>
              </w:rPr>
            </w:pPr>
          </w:p>
        </w:tc>
      </w:tr>
      <w:tr w:rsidR="00B82744" w:rsidRPr="004B104E" w:rsidTr="00714966">
        <w:trPr>
          <w:jc w:val="center"/>
        </w:trPr>
        <w:tc>
          <w:tcPr>
            <w:tcW w:w="4876" w:type="dxa"/>
            <w:hideMark/>
          </w:tcPr>
          <w:p w:rsidR="00714966" w:rsidRPr="004B104E" w:rsidRDefault="00AB08CD">
            <w:pPr>
              <w:pStyle w:val="Normal6"/>
              <w:rPr>
                <w:b/>
                <w:i/>
              </w:rPr>
            </w:pPr>
            <w:r w:rsidRPr="004B104E">
              <w:rPr>
                <w:b/>
                <w:i/>
              </w:rPr>
              <w:t xml:space="preserve">γ) </w:t>
            </w:r>
            <w:r w:rsidRPr="004B104E">
              <w:rPr>
                <w:b/>
                <w:i/>
              </w:rPr>
              <w:tab/>
              <w:t>όταν δεν διατηρείται ο ρυγχοκαρχαρίας, ο αριθμός των απορρίψεων νεκρών ιχθύων και των απελευθερώσεων ζωντανών ιχθύων καταγράφεται από τον παρατηρητή ή εκτιμάται από τα αρχεία του ηλεκτρονικού συστήματος παρακολούθηση</w:t>
            </w:r>
            <w:r w:rsidRPr="004B104E">
              <w:rPr>
                <w:b/>
                <w:i/>
              </w:rPr>
              <w:t>ς.</w:t>
            </w:r>
          </w:p>
        </w:tc>
        <w:tc>
          <w:tcPr>
            <w:tcW w:w="4876" w:type="dxa"/>
          </w:tcPr>
          <w:p w:rsidR="00714966" w:rsidRPr="004B104E" w:rsidRDefault="00714966">
            <w:pPr>
              <w:pStyle w:val="Normal6"/>
              <w:rPr>
                <w:b/>
                <w:i/>
              </w:rPr>
            </w:pPr>
          </w:p>
        </w:tc>
      </w:tr>
      <w:tr w:rsidR="00B82744" w:rsidRPr="004B104E" w:rsidTr="00714966">
        <w:trPr>
          <w:jc w:val="center"/>
        </w:trPr>
        <w:tc>
          <w:tcPr>
            <w:tcW w:w="4876" w:type="dxa"/>
            <w:hideMark/>
          </w:tcPr>
          <w:p w:rsidR="00714966" w:rsidRPr="004B104E" w:rsidRDefault="00AB08CD">
            <w:pPr>
              <w:pStyle w:val="Normal6"/>
              <w:rPr>
                <w:b/>
                <w:i/>
              </w:rPr>
            </w:pPr>
            <w:r w:rsidRPr="004B104E">
              <w:rPr>
                <w:b/>
                <w:i/>
              </w:rPr>
              <w:t xml:space="preserve">4. </w:t>
            </w:r>
            <w:r w:rsidRPr="004B104E">
              <w:rPr>
                <w:b/>
                <w:i/>
              </w:rPr>
              <w:tab/>
              <w:t xml:space="preserve">Ο παρατηρητής ενθαρρύνεται επίσης να συλλέγει βιολογικά δείγματα, όπως μυϊκούς ιστούς (για την ταυτοποίηση των αποθεμάτων), αναπαραγωγικό όργανο με έμβρυο (για τον προσδιορισμό του κύκλου της εγκυμοσύνης και της αναπαραγωγικής απόδοσης) και </w:t>
            </w:r>
            <w:r w:rsidRPr="004B104E">
              <w:rPr>
                <w:b/>
                <w:i/>
              </w:rPr>
              <w:t>σπονδύλους (για την εκτίμηση της καμπύλης ανάπτυξης). Τα βιολογικά δείγματα που συλλέγονται από τον παρατηρητή θα πρέπει να αναλύονται από τα ενδιαφερόμενα κράτη μέλη και το αποτέλεσμα θα πρέπει να υποβάλλεται από την Επιτροπή στη μόνιμη επιτροπή έρευνας κ</w:t>
            </w:r>
            <w:r w:rsidRPr="004B104E">
              <w:rPr>
                <w:b/>
                <w:i/>
              </w:rPr>
              <w:t xml:space="preserve">αι στατιστικών. </w:t>
            </w:r>
          </w:p>
        </w:tc>
        <w:tc>
          <w:tcPr>
            <w:tcW w:w="4876" w:type="dxa"/>
          </w:tcPr>
          <w:p w:rsidR="00714966" w:rsidRPr="004B104E" w:rsidRDefault="00714966">
            <w:pPr>
              <w:pStyle w:val="Normal6"/>
              <w:rPr>
                <w:szCs w:val="24"/>
              </w:rPr>
            </w:pPr>
          </w:p>
        </w:tc>
      </w:tr>
      <w:tr w:rsidR="00B82744" w:rsidRPr="004B104E" w:rsidTr="00714966">
        <w:trPr>
          <w:jc w:val="center"/>
        </w:trPr>
        <w:tc>
          <w:tcPr>
            <w:tcW w:w="4876" w:type="dxa"/>
            <w:hideMark/>
          </w:tcPr>
          <w:p w:rsidR="00714966" w:rsidRPr="004B104E" w:rsidRDefault="00AB08CD">
            <w:pPr>
              <w:pStyle w:val="Normal6"/>
              <w:rPr>
                <w:b/>
                <w:i/>
              </w:rPr>
            </w:pPr>
            <w:r w:rsidRPr="004B104E">
              <w:rPr>
                <w:b/>
                <w:i/>
              </w:rPr>
              <w:t xml:space="preserve">5. </w:t>
            </w:r>
            <w:r w:rsidRPr="004B104E">
              <w:rPr>
                <w:b/>
                <w:i/>
              </w:rPr>
              <w:tab/>
              <w:t>Τα κράτη μέλη υποβάλλουν επίσης στην Επιτροπή στοιχεία σχετικά με τον αριθμό των απορρίψεων νεκρών ιχθύων και των απελευθερώσεων ζωντανών ιχθύων για τον ρυγχοκαρχαρία του Βορείου Ατλαντικού, που εκτιμώνται με βάση τη συνολική αλιευτι</w:t>
            </w:r>
            <w:r w:rsidRPr="004B104E">
              <w:rPr>
                <w:b/>
                <w:i/>
              </w:rPr>
              <w:t xml:space="preserve">κή προσπάθεια των σχετικών στόλων, με τη χρήση </w:t>
            </w:r>
            <w:r w:rsidRPr="004B104E">
              <w:rPr>
                <w:b/>
                <w:i/>
              </w:rPr>
              <w:lastRenderedPageBreak/>
              <w:t>δεδομένων που συλλέγονται μέσω προγραμμάτων παρατηρητών ή άλλων σχετικών προγραμμάτων συλλογής δεδομένων. Τα κράτη μέλη που δεν επιτρέπουν στα σκάφη τους να αλιεύουν και να διατηρούν επί του σκάφους, να μεταφο</w:t>
            </w:r>
            <w:r w:rsidRPr="004B104E">
              <w:rPr>
                <w:b/>
                <w:i/>
              </w:rPr>
              <w:t>ρτώνουν ή να εκφορτώνουν τον ρυγχοκαρχαρία του Βόρειου Ατλαντικού, σύμφωνα με τις παραγράφους 2 και 3, καταγράφουν επίσης, μέσω των προγραμμάτων παρατηρητών τους, τον αριθμό των απορρίψεων νεκρών ιχθύων και των απελευθερώσεων ζωντανών ιχθύων του ρυγχοκαρχα</w:t>
            </w:r>
            <w:r w:rsidRPr="004B104E">
              <w:rPr>
                <w:b/>
                <w:i/>
              </w:rPr>
              <w:t>ρία του Βορείου Ατλαντικού. Η Επιτροπή υποβάλλει σχετική έκθεση στη μόνιμη επιτροπή έρευνας και στατιστικών.</w:t>
            </w:r>
          </w:p>
        </w:tc>
        <w:tc>
          <w:tcPr>
            <w:tcW w:w="4876" w:type="dxa"/>
          </w:tcPr>
          <w:p w:rsidR="00714966" w:rsidRPr="004B104E" w:rsidRDefault="00714966">
            <w:pPr>
              <w:pStyle w:val="Normal6"/>
              <w:rPr>
                <w:b/>
                <w:i/>
              </w:rPr>
            </w:pP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Η σύσταση 21-09 της ICCAT τροποποίησε το άρθρο 33. Η σύσταση 21-09 της ICCAT ο</w:t>
      </w:r>
      <w:r w:rsidRPr="004B104E">
        <w:t>ρίζει ότι δεν επιτρέπεται η διατήρηση ρυγχοκαρχαρία Βορείου Ατλαντικού. Η πιθανή μελλοντική διατήρηση θα καθοριστεί σύμφωνα με την παράγραφο 5 της σύστασης.</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26</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w:t>
      </w:r>
      <w:r w:rsidRPr="004B104E">
        <w:t>ο 1 – παράγραφος 1 – σημείο 24 α (νέο)</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2017/2107</w:t>
      </w:r>
      <w:r w:rsidRPr="004B104E">
        <w:rPr>
          <w:rStyle w:val="HideTWBExt"/>
        </w:rPr>
        <w:t>&lt;/DocAmend2&gt;</w:t>
      </w:r>
    </w:p>
    <w:p w:rsidR="00714966" w:rsidRPr="004B104E" w:rsidRDefault="00AB08CD" w:rsidP="00714966">
      <w:r w:rsidRPr="004B104E">
        <w:rPr>
          <w:rStyle w:val="HideTWBExt"/>
        </w:rPr>
        <w:t>&lt;Article2&gt;</w:t>
      </w:r>
      <w:r w:rsidRPr="004B104E">
        <w:t>Άρθρο 33 α (νέο)</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Κείμενο που προτείνει η Επιτροπή</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24α)</w:t>
            </w:r>
            <w:r w:rsidRPr="004B104E">
              <w:rPr>
                <w:b/>
                <w:i/>
              </w:rPr>
              <w:tab/>
              <w:t>προστίθεται το ακόλουθο άρθρο: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«Άρθρο 33a</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Ρυγχοκαρχαρίας Νοτίου</w:t>
            </w:r>
            <w:r w:rsidRPr="004B104E">
              <w:rPr>
                <w:b/>
                <w:i/>
              </w:rPr>
              <w:t xml:space="preserve"> Ατλαντικού (Isurus oxyrinchus)</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Τα κράτη μέλη διασφαλίζουν ότι τα σκάφη τους εφαρμόζουν τα ελάχιστα πρότυπα για τις διαδικασίες ασφαλούς χειρισμού και απελευθέρωσης του ρυγχοκαρχαρία Νοτίου Ατλαντικού, όπως ορίζονται στο παράρτημα IX.</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w:t>
            </w:r>
            <w:r w:rsidRPr="004B104E">
              <w:rPr>
                <w:b/>
                <w:i/>
              </w:rPr>
              <w:tab/>
              <w:t xml:space="preserve">Τα κράτη </w:t>
            </w:r>
            <w:r w:rsidRPr="004B104E">
              <w:rPr>
                <w:b/>
                <w:i/>
              </w:rPr>
              <w:t>μέλη υποβάλλουν έκθεση στην Επιτροπή σε μηνιαία βάση για όλες τις επιτρεπόμενες εκφορτώσεις που πραγματοποιούνται από σκάφη που φέρουν τη σημαία τους και που διαθέτουν άδεια αλίευσης του ρυγχοκαρχαρία Νοτίου Ατλαντικού. Η εν λόγω έκθεση διαβιβάζεται στην Ε</w:t>
            </w:r>
            <w:r w:rsidRPr="004B104E">
              <w:rPr>
                <w:b/>
                <w:i/>
              </w:rPr>
              <w:t>πιτροπή εντός 15 ημερών από το τέλος του ημερολογιακού μήνα κατά τον οποίο πραγματοποιήθηκε η αλίευση· Επιπλέον, τα κράτη μέλη υποβάλλουν ετησίως έκθεση στην Επιτροπή σχετικά με τις απορρίψεις νεκρών ιχθύων, τις απελευθερώσεις ζωντανών ιχθύων και το σύνολο</w:t>
            </w:r>
            <w:r w:rsidRPr="004B104E">
              <w:rPr>
                <w:b/>
                <w:i/>
              </w:rPr>
              <w:t xml:space="preserve"> των αλιευμάτων που πραγματοποίησαν τα σκάφη που φέρουν τη σημαία τους.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w:t>
            </w:r>
            <w:r w:rsidRPr="004B104E">
              <w:rPr>
                <w:b/>
                <w:i/>
              </w:rPr>
              <w:tab/>
              <w:t>Έως τις 30 Ιουνίου κάθε έτους, τα κράτη μέλη των οποίων τα σκάφη έχουν αλιεύσει (όπως επίσης εκφορτώσει και απορρίψει νεκρούς ιχθύες) ρυγχοκαρχαρία Νοτίου Ατλαντικού κοινοποιούν σ</w:t>
            </w:r>
            <w:r w:rsidRPr="004B104E">
              <w:rPr>
                <w:b/>
                <w:i/>
              </w:rPr>
              <w:t>την Επιτροπή τη στατιστική μεθοδολογία που χρησιμοποίησαν για την εκτίμηση των απορρίψεων νεκρών ιχθύων και της απελευθέρωσης ζωντανών ιχθύων. Τα κράτη μέλη με παραδοσιακή αλιεία και αλιεία μικρής κλίμακας παρέχουν επίσης πληροφορίες σχετικά με τα οικεία π</w:t>
            </w:r>
            <w:r w:rsidRPr="004B104E">
              <w:rPr>
                <w:b/>
                <w:i/>
              </w:rPr>
              <w:t>ρογράμματα συλλογής δεδομένων.</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4.</w:t>
            </w:r>
            <w:r w:rsidRPr="004B104E">
              <w:rPr>
                <w:b/>
                <w:i/>
              </w:rPr>
              <w:tab/>
              <w:t>Στο πλαίσιο της ετήσιας υποβολής δεδομένων βάσει του καθήκοντος 1 και 2 , τα κράτη μέλη παρέχουν στην Επιτροπή όλα τα σχετικά δεδομένα για τον ρυγχοκαρχαρία Νοτίου Ατλαντικού, συμπεριλαμβανομένων εκτιμήσεων για τις απορρ</w:t>
            </w:r>
            <w:r w:rsidRPr="004B104E">
              <w:rPr>
                <w:b/>
                <w:i/>
              </w:rPr>
              <w:t>ίψεις νεκρών ιχθύων και τις απελευθερώσεις ζωντανών ιχθύων με τη χρήση των μεθόδων που έχουν εγκριθεί από την SCRS.».</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Σύσταση 22-11 της ICCAT.</w:t>
      </w:r>
    </w:p>
    <w:p w:rsidR="00714966" w:rsidRPr="004B104E" w:rsidRDefault="00AB08CD" w:rsidP="00714966">
      <w:r w:rsidRPr="004B104E">
        <w:rPr>
          <w:rStyle w:val="HideTWBExt"/>
        </w:rPr>
        <w:lastRenderedPageBreak/>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27</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rPr>
          <w:rStyle w:val="HideTWBExt"/>
          <w:b w:val="0"/>
        </w:rPr>
      </w:pPr>
      <w:r w:rsidRPr="004B104E">
        <w:rPr>
          <w:rStyle w:val="HideTWBExt"/>
        </w:rPr>
        <w:t>&lt;Article&gt;</w:t>
      </w:r>
      <w:r w:rsidRPr="004B104E">
        <w:t>Άρθρο 1 – παράγραφος 1 – σημείο 25 α (νέο)</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2017/2107</w:t>
      </w:r>
      <w:r w:rsidRPr="004B104E">
        <w:rPr>
          <w:rStyle w:val="HideTWBExt"/>
        </w:rPr>
        <w:t>&lt;/DocAmend2&gt;</w:t>
      </w:r>
    </w:p>
    <w:p w:rsidR="00714966" w:rsidRPr="004B104E" w:rsidRDefault="00AB08CD" w:rsidP="00714966">
      <w:pPr>
        <w:pStyle w:val="NormalBold"/>
        <w:rPr>
          <w:b w:val="0"/>
        </w:rPr>
      </w:pPr>
      <w:r w:rsidRPr="004B104E">
        <w:rPr>
          <w:rStyle w:val="HideTWBExt"/>
        </w:rPr>
        <w:t>&lt;Article2&gt;</w:t>
      </w:r>
      <w:r w:rsidRPr="004B104E">
        <w:rPr>
          <w:b w:val="0"/>
        </w:rPr>
        <w:t>Άρθρο 41</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25α)</w:t>
            </w:r>
            <w:r w:rsidRPr="004B104E">
              <w:rPr>
                <w:b/>
                <w:i/>
              </w:rPr>
              <w:tab/>
              <w:t>το άρθρο 41 τροποποιείται ως εξής: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w:t>
            </w:r>
            <w:r w:rsidRPr="004B104E">
              <w:rPr>
                <w:b/>
                <w:i/>
              </w:rPr>
              <w:tab/>
              <w:t>προστίθεται η ακόλουθη παράγραφος: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«2α.</w:t>
            </w:r>
            <w:r w:rsidRPr="004B104E">
              <w:rPr>
                <w:b/>
                <w:i/>
              </w:rPr>
              <w:tab/>
              <w:t>Τα κράτη μέλη απαιτούν από τα σκάφη που φέρουν τη σημαία τους και αλιεύουν με παραγάδια σε μικρό βάθος: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 xml:space="preserve">— να χρησιμοποιούν μόνο μεγάλα κυκλικά αγκίστρια· </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 να χρησιμοποιούν μόνο δολώματα για ιχθύες με πτερύ</w:t>
            </w:r>
            <w:r w:rsidRPr="004B104E">
              <w:rPr>
                <w:b/>
                <w:i/>
              </w:rPr>
              <w:t>για· ή</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 να χρησιμοποιούν άλλα μέτρα που έχουν επανεξεταστεί, κριθεί ως αποτελεσματικά και εγκριθεί από την ICCAT ως ικανά να μειώσουν το ποσοστό αλληλεπίδρασης με θαλάσσιες χελώνες σε τύπους αλιείας με παραγάδια σε μικρό βάθος.»·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β)</w:t>
            </w:r>
            <w:r w:rsidRPr="004B104E">
              <w:rPr>
                <w:b/>
                <w:i/>
              </w:rPr>
              <w:tab/>
              <w:t>η παράγραφος 4 αντ</w:t>
            </w:r>
            <w:r w:rsidRPr="004B104E">
              <w:rPr>
                <w:b/>
                <w:i/>
              </w:rPr>
              <w:t>ικαθίσταται από το ακόλουθο κείμενο:</w:t>
            </w:r>
          </w:p>
        </w:tc>
      </w:tr>
      <w:tr w:rsidR="00B82744" w:rsidRPr="004B104E" w:rsidTr="00714966">
        <w:trPr>
          <w:jc w:val="center"/>
        </w:trPr>
        <w:tc>
          <w:tcPr>
            <w:tcW w:w="4876" w:type="dxa"/>
            <w:hideMark/>
          </w:tcPr>
          <w:p w:rsidR="00714966" w:rsidRPr="004B104E" w:rsidRDefault="00AB08CD">
            <w:pPr>
              <w:pStyle w:val="Normal6"/>
            </w:pPr>
            <w:r w:rsidRPr="004B104E">
              <w:t>«4.  Τα κράτη μέλη</w:t>
            </w:r>
            <w:r w:rsidRPr="004B104E">
              <w:rPr>
                <w:b/>
                <w:i/>
              </w:rPr>
              <w:t xml:space="preserve"> καταρτίζουν τους αλιείς σε πελαγικά παραγαδιάρικα σκάφη στις τεχνικές ασφαλούς χειρισμού και απελευθέρωσης.»</w:t>
            </w:r>
          </w:p>
        </w:tc>
        <w:tc>
          <w:tcPr>
            <w:tcW w:w="4876" w:type="dxa"/>
            <w:hideMark/>
          </w:tcPr>
          <w:p w:rsidR="00714966" w:rsidRPr="004B104E" w:rsidRDefault="00AB08CD">
            <w:pPr>
              <w:pStyle w:val="Normal6"/>
              <w:rPr>
                <w:szCs w:val="24"/>
              </w:rPr>
            </w:pPr>
            <w:r w:rsidRPr="004B104E">
              <w:rPr>
                <w:b/>
                <w:i/>
              </w:rPr>
              <w:t>«4.</w:t>
            </w:r>
            <w:r w:rsidRPr="004B104E">
              <w:rPr>
                <w:b/>
                <w:i/>
              </w:rPr>
              <w:tab/>
            </w:r>
            <w:r w:rsidRPr="004B104E">
              <w:t>Τα κράτη μέλη</w:t>
            </w:r>
            <w:r w:rsidRPr="004B104E">
              <w:rPr>
                <w:b/>
                <w:i/>
              </w:rPr>
              <w:t>:</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w:t>
            </w:r>
            <w:r w:rsidRPr="004B104E">
              <w:rPr>
                <w:b/>
                <w:i/>
              </w:rPr>
              <w:tab/>
            </w:r>
            <w:r w:rsidRPr="004B104E">
              <w:rPr>
                <w:b/>
                <w:i/>
              </w:rPr>
              <w:t>διασφαλίζουν ότι οι αλληλεπιδράσεις με τις θαλάσσιες χελώνες μειώνονται και εξαλείφονται, στο μέτρο του δυνατού, στις περιοχές όπου έχουν καταγραφεί τέτοιες αλληλεπιδράσεις και έχουν υποβληθεί σχετικές εκθέσεις στην SCRS, μέσω της χρήσης ή της συνεχιζόμενη</w:t>
            </w:r>
            <w:r w:rsidRPr="004B104E">
              <w:rPr>
                <w:b/>
                <w:i/>
              </w:rPr>
              <w:t xml:space="preserve">ς χρήσης τουλάχιστον ενός από τα ακόλουθα μέτρα μετριασμού παρεμπιπτόντων </w:t>
            </w:r>
            <w:r w:rsidRPr="004B104E">
              <w:rPr>
                <w:b/>
                <w:i/>
              </w:rPr>
              <w:lastRenderedPageBreak/>
              <w:t>αλιευμάτων:</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i)</w:t>
            </w:r>
            <w:r w:rsidRPr="004B104E">
              <w:rPr>
                <w:b/>
                <w:i/>
              </w:rPr>
              <w:tab/>
              <w:t>εναλλακτικοί ή νέοι τύποι εργαλείων και τροποποιήσεις εργαλείων·</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ii)</w:t>
            </w:r>
            <w:r w:rsidRPr="004B104E">
              <w:rPr>
                <w:b/>
                <w:i/>
              </w:rPr>
              <w:tab/>
              <w:t>χωρικoί-χρονικοί περιορισμοί και απαγορεύσεις αλιείας σε περιπτώσεις όπου υπάρχει υψηλότερος κ</w:t>
            </w:r>
            <w:r w:rsidRPr="004B104E">
              <w:rPr>
                <w:b/>
                <w:i/>
              </w:rPr>
              <w:t>ίνδυνος αλληλεπίδρασης με θαλάσσιες χελώνες·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iii)</w:t>
            </w:r>
            <w:r w:rsidRPr="004B104E">
              <w:rPr>
                <w:b/>
                <w:i/>
              </w:rPr>
              <w:tab/>
              <w:t xml:space="preserve">αποτελεσματική σήμανση των στατικών διχτυών που επιτρέπει την ανίχνευση τους από τις θαλάσσιες χελώνες, όπως με τη χρήση βαφής διχτυού, παθητικών ανακλαστήρων φωτός, νήματος με διάμετρο μεγαλύτερου </w:t>
            </w:r>
            <w:r w:rsidRPr="004B104E">
              <w:rPr>
                <w:b/>
                <w:i/>
              </w:rPr>
              <w:t>πάχους, φελλού ή άλλων υλικών στο δίχτυ·</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iv)</w:t>
            </w:r>
            <w:r w:rsidRPr="004B104E">
              <w:rPr>
                <w:b/>
                <w:i/>
              </w:rPr>
              <w:tab/>
              <w:t>αλλαγές στην αλιευτική συμπεριφορά και στρατηγική (για παράδειγμα, μειωμένος χρόνος παραμονής στη θάλασσα).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β)</w:t>
            </w:r>
            <w:r w:rsidRPr="004B104E">
              <w:rPr>
                <w:b/>
                <w:i/>
              </w:rPr>
              <w:tab/>
              <w:t>απαιτούν από τα οικεία σκάφη γρι-γρι να αποφεύγουν να περικυκλώνουν θαλάσσιες χελώνες, στο μέτρο</w:t>
            </w:r>
            <w:r w:rsidRPr="004B104E">
              <w:rPr>
                <w:b/>
                <w:i/>
              </w:rPr>
              <w:t xml:space="preserve"> του δυνατού, να απελευθερώνουν τις θαλάσσιες χελώνες που είναι περικυκλωμένες ή μπλεγμένες σε δίχτυα, συμπεριλαμβανομένων των ΔΣΙ, όπου είναι εφικτό, και να διασφαλίζουν ότι οι ΔΣΙ που χρησιμοποιούν κατασκευάζονται σύμφωνα με το παράρτημα X για την αποτελ</w:t>
            </w:r>
            <w:r w:rsidRPr="004B104E">
              <w:rPr>
                <w:b/>
                <w:i/>
              </w:rPr>
              <w:t>εσματική εξάλειψη των κινδύνων εμπλοκής των θαλάσσιων χελωνών·</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γ)</w:t>
            </w:r>
            <w:r w:rsidRPr="004B104E">
              <w:rPr>
                <w:b/>
                <w:i/>
              </w:rPr>
              <w:tab/>
              <w:t>λαμβάνουν όλα τα εύλογα μέτρα για να διασφαλίζουν την ασφαλή απελευθέρωση των θαλάσσιων χελωνών κατά τρόπο που μεγιστοποιεί την πιθανότητα επιβίωσής τους, με την απαίτηση ότι:</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i)</w:t>
            </w:r>
            <w:r w:rsidRPr="004B104E">
              <w:rPr>
                <w:b/>
                <w:i/>
              </w:rPr>
              <w:tab/>
            </w:r>
            <w:r w:rsidRPr="004B104E">
              <w:rPr>
                <w:b/>
                <w:i/>
              </w:rPr>
              <w:t>τα σκάφη γρι-γρι και τα παραγαδιάρικα σκάφη που φέρουν τη σημαία τους, καθώς και άλλοι τύποι σκαφών που φέρουν τη σημαία τους, τα οποία χρησιμοποιούν αλιευτικά εργαλεία όπου είναι πιθανόν να εμπλακούν θαλάσσιες χελώνες, φέρουν επί του σκάφους εργαλεία αφαί</w:t>
            </w:r>
            <w:r w:rsidRPr="004B104E">
              <w:rPr>
                <w:b/>
                <w:i/>
              </w:rPr>
              <w:t xml:space="preserve">ρεσης αγκίστρων, κοπτήρες πετονιάς και καλάθια </w:t>
            </w:r>
            <w:r w:rsidRPr="004B104E">
              <w:rPr>
                <w:b/>
                <w:i/>
              </w:rPr>
              <w:lastRenderedPageBreak/>
              <w:t>ανέλκυσης ή απόχη, κατά περίπτωση ανάλογα με τον κάθε τύπο εργαλείου και σύμφωνα με τις «Βέλτιστες πρακτικές για τον χειρισμό και την απελευθέρωση θαλάσσιων χελωνών» που περιλαμβάνονται στις κατευθυντήριες γρα</w:t>
            </w:r>
            <w:r w:rsidRPr="004B104E">
              <w:rPr>
                <w:b/>
                <w:i/>
              </w:rPr>
              <w:t xml:space="preserve">μμές του FAO για τη μείωση της θνησιμότητας της θαλάσσιας χελώνας στο πλαίσιο αλιευτικών δραστηριοτήτων (2009) </w:t>
            </w:r>
            <w:r w:rsidRPr="004B104E">
              <w:rPr>
                <w:b/>
                <w:i/>
                <w:vertAlign w:val="superscript"/>
              </w:rPr>
              <w:t>1a</w:t>
            </w:r>
            <w:r w:rsidRPr="004B104E">
              <w:rPr>
                <w:b/>
                <w:i/>
              </w:rPr>
              <w:t xml:space="preserve"> (στο εξής: κατευθυντήριες γραμμές του FAO)·</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ii)</w:t>
            </w:r>
            <w:r w:rsidRPr="004B104E">
              <w:rPr>
                <w:b/>
                <w:i/>
              </w:rPr>
              <w:tab/>
              <w:t>οι ιδιοκτήτες, οι φορείς εκμετάλλευσης και το πλήρωμα των εν λόγω σκαφών, καθώς και οι παρατ</w:t>
            </w:r>
            <w:r w:rsidRPr="004B104E">
              <w:rPr>
                <w:b/>
                <w:i/>
              </w:rPr>
              <w:t>ηρητές επί του σκάφους, χρησιμοποιούν τον εν λόγω εξοπλισμό σύμφωνα με τις πρακτικές ασφαλούς χειρισμού και απελευθέρωσης του παραρτήματος XI και τις κατευθυντήριες γραμμές του FAO. Επιπλέον, οι ιδιοκτήτες, οι φορείς εκμετάλλευσης και το πλήρωμα παροτρύνον</w:t>
            </w:r>
            <w:r w:rsidRPr="004B104E">
              <w:rPr>
                <w:b/>
                <w:i/>
              </w:rPr>
              <w:t>ται να λαμβάνουν εκπαίδευση ως προς τη χρήση του εν λόγω εξοπλισμού.</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δ)</w:t>
            </w:r>
            <w:r w:rsidRPr="004B104E">
              <w:rPr>
                <w:b/>
                <w:i/>
              </w:rPr>
              <w:tab/>
              <w:t xml:space="preserve">απαιτούν από τους αλιείς τους σε σκάφη που αλιεύουν είδη τα οποία καλύπτονται από τη σύμβαση να μεταφέρουν επί σκάφους, εφόσον είναι εφικτό, κάθε θαλάσσια χελώνα που παγιδεύεται και </w:t>
            </w:r>
            <w:r w:rsidRPr="004B104E">
              <w:rPr>
                <w:b/>
                <w:i/>
              </w:rPr>
              <w:t>βρίσκεται σε κωματώδη ή αδρανή κατάσταση το συντομότερο δυνατόν και να τη βοηθούν να ανακτήσει τις δυνάμεις της, μεταξύ άλλων παρέχοντας βοήθεια για την ανάνηψή της, σύμφωνα με το παράρτημα XI, προτού ριφθεί και πάλι στη θάλασσα·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ε)</w:t>
            </w:r>
            <w:r w:rsidRPr="004B104E">
              <w:rPr>
                <w:b/>
                <w:i/>
              </w:rPr>
              <w:tab/>
              <w:t>διασφαλίζουν ότι οι α</w:t>
            </w:r>
            <w:r w:rsidRPr="004B104E">
              <w:rPr>
                <w:b/>
                <w:i/>
              </w:rPr>
              <w:t>λιείς γνωρίζουν και χρησιμοποιούν κατάλληλες τεχνικές μετριασμού και χειρισμού, όπως ορίζονται στο παράρτημα XI.»·</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γ)</w:t>
            </w:r>
            <w:r w:rsidRPr="004B104E">
              <w:rPr>
                <w:b/>
                <w:i/>
              </w:rPr>
              <w:tab/>
              <w:t>προστίθεται το ακόλουθο εδάφιο: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«5.</w:t>
            </w:r>
            <w:r w:rsidRPr="004B104E">
              <w:rPr>
                <w:b/>
                <w:i/>
              </w:rPr>
              <w:tab/>
              <w:t>Κατά παρέκκλιση από τις παραγράφους 2α και 4, στη Μεσόγειο Θάλασσα: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w:t>
            </w:r>
            <w:r w:rsidRPr="004B104E">
              <w:rPr>
                <w:b/>
                <w:i/>
              </w:rPr>
              <w:tab/>
              <w:t xml:space="preserve">δεν εφαρμόζεται η </w:t>
            </w:r>
            <w:r w:rsidRPr="004B104E">
              <w:rPr>
                <w:b/>
                <w:i/>
              </w:rPr>
              <w:t>παράγραφος 2α·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β)</w:t>
            </w:r>
            <w:r w:rsidRPr="004B104E">
              <w:rPr>
                <w:b/>
                <w:i/>
              </w:rPr>
              <w:tab/>
              <w:t>δεν εφαρμόζονται τα άρθρα 2 και 3 πριν από τις 31 Δεκεμβρίου 2025.</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__________________</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vertAlign w:val="superscript"/>
              </w:rPr>
              <w:t>1α</w:t>
            </w:r>
            <w:r w:rsidRPr="004B104E">
              <w:rPr>
                <w:b/>
                <w:i/>
              </w:rPr>
              <w:t xml:space="preserve"> http://www.fao.org/docrep/012/i0725e/i0725e.pdf”</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Σύσταση 22-12.</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28</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keepNext/>
      </w:pPr>
      <w:r w:rsidRPr="004B104E">
        <w:rPr>
          <w:rStyle w:val="HideTWBExt"/>
        </w:rPr>
        <w:t>&lt;Article&gt;</w:t>
      </w:r>
      <w:r w:rsidRPr="004B104E">
        <w:t>Άρθρο 1 – παράγραφος 1 – σημείο 26 – εισαγωγικό μέρος</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2017/2107</w:t>
      </w:r>
      <w:r w:rsidRPr="004B104E">
        <w:rPr>
          <w:rStyle w:val="HideTWBExt"/>
        </w:rPr>
        <w:t>&lt;/DocAmend2&gt;</w:t>
      </w:r>
    </w:p>
    <w:p w:rsidR="00714966" w:rsidRPr="004B104E" w:rsidRDefault="00AB08CD" w:rsidP="00714966">
      <w:r w:rsidRPr="004B104E">
        <w:rPr>
          <w:rStyle w:val="HideTWBExt"/>
        </w:rPr>
        <w:t>&lt;Article2&gt;</w:t>
      </w:r>
      <w:r w:rsidRPr="004B104E">
        <w:t>Άρθρο 44α</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 xml:space="preserve">Κείμενο που προτείνει η </w:t>
            </w:r>
            <w:r w:rsidRPr="004B104E">
              <w:t>Επιτροπή</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hideMark/>
          </w:tcPr>
          <w:p w:rsidR="00714966" w:rsidRPr="004B104E" w:rsidRDefault="00AB08CD">
            <w:pPr>
              <w:pStyle w:val="Normal6"/>
            </w:pPr>
            <w:r w:rsidRPr="004B104E">
              <w:t>26)</w:t>
            </w:r>
            <w:r w:rsidRPr="004B104E">
              <w:tab/>
              <w:t xml:space="preserve">προστίθεται το </w:t>
            </w:r>
            <w:r w:rsidRPr="004B104E">
              <w:rPr>
                <w:b/>
                <w:i/>
              </w:rPr>
              <w:t>νέο</w:t>
            </w:r>
            <w:r w:rsidRPr="004B104E">
              <w:t xml:space="preserve"> άρθρο</w:t>
            </w:r>
            <w:r w:rsidRPr="004B104E">
              <w:rPr>
                <w:b/>
                <w:i/>
              </w:rPr>
              <w:t> 44α</w:t>
            </w:r>
            <w:r w:rsidRPr="004B104E">
              <w:t>:</w:t>
            </w:r>
          </w:p>
        </w:tc>
        <w:tc>
          <w:tcPr>
            <w:tcW w:w="4876" w:type="dxa"/>
            <w:hideMark/>
          </w:tcPr>
          <w:p w:rsidR="00714966" w:rsidRPr="004B104E" w:rsidRDefault="00AB08CD">
            <w:pPr>
              <w:pStyle w:val="Normal6"/>
              <w:rPr>
                <w:szCs w:val="24"/>
              </w:rPr>
            </w:pPr>
            <w:r w:rsidRPr="004B104E">
              <w:t>26)</w:t>
            </w:r>
            <w:r w:rsidRPr="004B104E">
              <w:tab/>
              <w:t xml:space="preserve">Προστίθεται το </w:t>
            </w:r>
            <w:r w:rsidRPr="004B104E">
              <w:rPr>
                <w:b/>
                <w:i/>
              </w:rPr>
              <w:t>ακόλουθο</w:t>
            </w:r>
            <w:r w:rsidRPr="004B104E">
              <w:t xml:space="preserve"> άρθρο:</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Γλωσσική διευκρίνιση.</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29</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1 – παράγραφος 1 – σημείο 26</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2017/2107</w:t>
      </w:r>
      <w:r w:rsidRPr="004B104E">
        <w:rPr>
          <w:rStyle w:val="HideTWBExt"/>
        </w:rPr>
        <w:t>&lt;/DocAmend2&gt;</w:t>
      </w:r>
    </w:p>
    <w:p w:rsidR="00714966" w:rsidRPr="004B104E" w:rsidRDefault="00AB08CD" w:rsidP="00714966">
      <w:r w:rsidRPr="004B104E">
        <w:rPr>
          <w:rStyle w:val="HideTWBExt"/>
        </w:rPr>
        <w:t>&lt;Article2&gt;</w:t>
      </w:r>
      <w:r w:rsidRPr="004B104E">
        <w:t>Άρθρο 25α – τίτλος</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Κείμενο που προτείνει η Επιτροπή</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hideMark/>
          </w:tcPr>
          <w:p w:rsidR="00714966" w:rsidRPr="004B104E" w:rsidRDefault="00AB08CD">
            <w:pPr>
              <w:pStyle w:val="Normal6"/>
            </w:pPr>
            <w:r w:rsidRPr="004B104E">
              <w:t>Άρθρο 44α</w:t>
            </w:r>
          </w:p>
        </w:tc>
        <w:tc>
          <w:tcPr>
            <w:tcW w:w="4876" w:type="dxa"/>
            <w:hideMark/>
          </w:tcPr>
          <w:p w:rsidR="00714966" w:rsidRPr="004B104E" w:rsidRDefault="00AB08CD">
            <w:pPr>
              <w:pStyle w:val="Normal6"/>
              <w:rPr>
                <w:szCs w:val="24"/>
              </w:rPr>
            </w:pPr>
            <w:r w:rsidRPr="004B104E">
              <w:t>Άρθρο 44α</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lastRenderedPageBreak/>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Γλωσσική διευκρίνιση.</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30</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1 – παράγραφος 1 – σημείο 26</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2017/2107</w:t>
      </w:r>
      <w:r w:rsidRPr="004B104E">
        <w:rPr>
          <w:rStyle w:val="HideTWBExt"/>
        </w:rPr>
        <w:t>&lt;/DocAmend2&gt;</w:t>
      </w:r>
    </w:p>
    <w:p w:rsidR="00714966" w:rsidRPr="004B104E" w:rsidRDefault="00AB08CD" w:rsidP="00714966">
      <w:r w:rsidRPr="004B104E">
        <w:rPr>
          <w:rStyle w:val="HideTWBExt"/>
        </w:rPr>
        <w:t>&lt;Article2&gt;</w:t>
      </w:r>
      <w:r w:rsidRPr="004B104E">
        <w:t>Άρθρο 44α – παράγραφος 1</w:t>
      </w:r>
      <w:r w:rsidRPr="004B104E">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Κείμενο που προτείνει η Επιτροπή</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hideMark/>
          </w:tcPr>
          <w:p w:rsidR="00714966" w:rsidRPr="004B104E" w:rsidRDefault="00AB08CD">
            <w:pPr>
              <w:pStyle w:val="Normal6"/>
            </w:pPr>
            <w:r w:rsidRPr="004B104E">
              <w:t xml:space="preserve">Πέραν των διατάξεων του άρθρου 9 του κανονισμού (ΕΚ) αριθ. 1224/2009 του Συμβουλίου, της 20ής Νοεμβρίου 20095, </w:t>
            </w:r>
            <w:r w:rsidRPr="004B104E">
              <w:rPr>
                <w:b/>
                <w:i/>
              </w:rPr>
              <w:t>κάθε κράτος μέλος διασφαλίζει</w:t>
            </w:r>
            <w:r w:rsidRPr="004B104E">
              <w:t xml:space="preserve"> ότι οι συσκευές</w:t>
            </w:r>
            <w:r w:rsidRPr="004B104E">
              <w:rPr>
                <w:b/>
                <w:i/>
              </w:rPr>
              <w:t xml:space="preserve"> δορυφορικού</w:t>
            </w:r>
            <w:r w:rsidRPr="004B104E">
              <w:t xml:space="preserve"> εντοπισμού των αλιευτικών σκαφών που φέρουν τη σημαία </w:t>
            </w:r>
            <w:r w:rsidRPr="004B104E">
              <w:rPr>
                <w:b/>
                <w:i/>
              </w:rPr>
              <w:t>του</w:t>
            </w:r>
            <w:r w:rsidRPr="004B104E">
              <w:t xml:space="preserve"> λειτουργούν μονίμως και συνεχώς και ότι </w:t>
            </w:r>
            <w:r w:rsidRPr="004B104E">
              <w:rPr>
                <w:b/>
                <w:i/>
              </w:rPr>
              <w:t>οι πληροφορίες</w:t>
            </w:r>
            <w:r w:rsidRPr="004B104E">
              <w:t xml:space="preserve"> συλλέγονται και μεταδίδονται τουλάχιστον μία φορά ανά ώρα για τα σκάφη γρι-γρι.</w:t>
            </w:r>
          </w:p>
        </w:tc>
        <w:tc>
          <w:tcPr>
            <w:tcW w:w="4876" w:type="dxa"/>
            <w:hideMark/>
          </w:tcPr>
          <w:p w:rsidR="00714966" w:rsidRPr="004B104E" w:rsidRDefault="00AB08CD">
            <w:pPr>
              <w:pStyle w:val="Normal6"/>
              <w:rPr>
                <w:szCs w:val="24"/>
              </w:rPr>
            </w:pPr>
            <w:r w:rsidRPr="004B104E">
              <w:t>Πέραν των διατάξεων του άρθρου 9 του κανονισμού (ΕΚ) αριθ. 122</w:t>
            </w:r>
            <w:r w:rsidRPr="004B104E">
              <w:t xml:space="preserve">4/2009 του Συμβουλίου, της 20ής Νοεμβρίου 20095, </w:t>
            </w:r>
            <w:r w:rsidRPr="004B104E">
              <w:rPr>
                <w:b/>
                <w:i/>
              </w:rPr>
              <w:t>τα κράτη μέλη διασφαλίζουν</w:t>
            </w:r>
            <w:r w:rsidRPr="004B104E">
              <w:t xml:space="preserve"> ότι οι συσκευές εντοπισμού των αλιευτικών σκαφών που φέρουν τη σημαία </w:t>
            </w:r>
            <w:r w:rsidRPr="004B104E">
              <w:rPr>
                <w:b/>
                <w:i/>
              </w:rPr>
              <w:t>τους</w:t>
            </w:r>
            <w:r w:rsidRPr="004B104E">
              <w:t xml:space="preserve"> λειτουργούν μονίμως και συνεχώς και ότι </w:t>
            </w:r>
            <w:r w:rsidRPr="004B104E">
              <w:rPr>
                <w:b/>
                <w:i/>
              </w:rPr>
              <w:t>τα δεδομένα στίγματος σκάφους</w:t>
            </w:r>
            <w:r w:rsidRPr="004B104E">
              <w:t xml:space="preserve"> συλλέγονται και μεταδίδονται </w:t>
            </w:r>
            <w:r w:rsidRPr="004B104E">
              <w:rPr>
                <w:b/>
                <w:i/>
              </w:rPr>
              <w:t>στις α</w:t>
            </w:r>
            <w:r w:rsidRPr="004B104E">
              <w:rPr>
                <w:b/>
                <w:i/>
              </w:rPr>
              <w:t xml:space="preserve">ρμόδιες αρχές του κράτους μέλους </w:t>
            </w:r>
            <w:r w:rsidRPr="004B104E">
              <w:t>τουλάχιστον μία φορά ανά ώρα για τα σκάφη γρι-γρι</w:t>
            </w:r>
            <w:r w:rsidRPr="004B104E">
              <w:rPr>
                <w:b/>
                <w:i/>
              </w:rPr>
              <w:t xml:space="preserve"> και τουλάχιστον μία φορά ανά δίωρο για τα υπόλοιπα σκάφη</w:t>
            </w:r>
            <w:r w:rsidRPr="004B104E">
              <w:t>.</w:t>
            </w:r>
          </w:p>
        </w:tc>
      </w:tr>
      <w:tr w:rsidR="00B82744" w:rsidRPr="004B104E" w:rsidTr="00714966">
        <w:trPr>
          <w:jc w:val="center"/>
        </w:trPr>
        <w:tc>
          <w:tcPr>
            <w:tcW w:w="4876" w:type="dxa"/>
            <w:hideMark/>
          </w:tcPr>
          <w:p w:rsidR="00714966" w:rsidRPr="004B104E" w:rsidRDefault="00AB08CD">
            <w:pPr>
              <w:pStyle w:val="Normal6"/>
            </w:pPr>
            <w:r w:rsidRPr="004B104E">
              <w:t>__________________</w:t>
            </w:r>
          </w:p>
        </w:tc>
        <w:tc>
          <w:tcPr>
            <w:tcW w:w="4876" w:type="dxa"/>
            <w:hideMark/>
          </w:tcPr>
          <w:p w:rsidR="00714966" w:rsidRPr="004B104E" w:rsidRDefault="00AB08CD">
            <w:pPr>
              <w:pStyle w:val="Normal6"/>
              <w:rPr>
                <w:szCs w:val="24"/>
              </w:rPr>
            </w:pPr>
            <w:r w:rsidRPr="004B104E">
              <w:t>__________________</w:t>
            </w:r>
          </w:p>
        </w:tc>
      </w:tr>
      <w:tr w:rsidR="00B82744" w:rsidRPr="004B104E" w:rsidTr="00714966">
        <w:trPr>
          <w:jc w:val="center"/>
        </w:trPr>
        <w:tc>
          <w:tcPr>
            <w:tcW w:w="4876" w:type="dxa"/>
            <w:hideMark/>
          </w:tcPr>
          <w:p w:rsidR="00714966" w:rsidRPr="004B104E" w:rsidRDefault="00AB08CD">
            <w:pPr>
              <w:pStyle w:val="Normal6"/>
            </w:pPr>
            <w:r w:rsidRPr="004B104E">
              <w:rPr>
                <w:vertAlign w:val="superscript"/>
              </w:rPr>
              <w:t xml:space="preserve">5 </w:t>
            </w:r>
            <w:r w:rsidRPr="004B104E">
              <w:t xml:space="preserve">Κανονισμός (ΕΚ) αριθ. 1224/2009 του Συμβουλίου, της 20ής Νοεμβρίου 2009, </w:t>
            </w:r>
            <w:r w:rsidRPr="004B104E">
              <w:t>περί θεσπίσεως κοινοτικού συστήματος ελέγχου της τήρησης των κανόνων της κοινής αλιευτικής πολιτικής, τροποποιήσεως των κανονισμών (ΕΚ) αριθ. 847/96, (ΕΚ) αριθ. 2371/2002, (ΕΚ) αριθ. 811/2004, (ΕΚ) αριθ. 768/2005, (ΕΚ) αριθ. 2115/2005, (ΕΚ) αριθ. 2166/2005</w:t>
            </w:r>
            <w:r w:rsidRPr="004B104E">
              <w:t>, (ΕΚ) αριθ. 388/2006, (ΕΚ) αριθ. 509/2007, (ΕΚ) αριθ. 676/2007, (ΕΚ) αριθ. 1098/2007, (ΕΚ) αριθ. 1300/2008, (ΕΚ) αριθ. 1342/2008 και καταργήσεως των κανονισμών (ΕΟΚ) αριθ. 2847/93, (ΕΚ) αριθ. 1627/94 και (ΕΚ) αριθ. 1966/2006 (ΕΕ L 343 της 22.12.2009, σ. 1</w:t>
            </w:r>
            <w:r w:rsidRPr="004B104E">
              <w:t>).</w:t>
            </w:r>
          </w:p>
        </w:tc>
        <w:tc>
          <w:tcPr>
            <w:tcW w:w="4876" w:type="dxa"/>
            <w:hideMark/>
          </w:tcPr>
          <w:p w:rsidR="00714966" w:rsidRPr="004B104E" w:rsidRDefault="00AB08CD">
            <w:pPr>
              <w:pStyle w:val="Normal6"/>
              <w:rPr>
                <w:szCs w:val="24"/>
              </w:rPr>
            </w:pPr>
            <w:r w:rsidRPr="004B104E">
              <w:rPr>
                <w:vertAlign w:val="superscript"/>
              </w:rPr>
              <w:t xml:space="preserve">5 </w:t>
            </w:r>
            <w:r w:rsidRPr="004B104E">
              <w:t>Κανονισμός (ΕΚ) αριθ. 1224/2009 του Συμβουλίου, της 20ής Νοεμβρίου 2009, περί θεσπίσεως κοινοτικού συστήματος ελέγχου της τήρησης των κανόνων της κοινής αλιευτικής πολιτικής, τροποποιήσεως των κανονισμών (ΕΚ) αριθ. 847/96, (ΕΚ) αριθ. 2371/2002, (ΕΚ) α</w:t>
            </w:r>
            <w:r w:rsidRPr="004B104E">
              <w:t>ριθ. 811/2004, (ΕΚ) αριθ. 768/2005, (ΕΚ) αριθ. 2115/2005, (ΕΚ) αριθ. 2166/2005, (ΕΚ) αριθ. 388/2006, (ΕΚ) αριθ. 509/2007, (ΕΚ) αριθ. 676/2007, (ΕΚ) αριθ. 1098/2007, (ΕΚ) αριθ. 1300/2008, (ΕΚ) αριθ. 1342/2008 και καταργήσεως των κανονισμών (ΕΟΚ) αριθ. 2847/</w:t>
            </w:r>
            <w:r w:rsidRPr="004B104E">
              <w:t>93, (ΕΚ) αριθ. 1627/94 και (ΕΚ) αριθ. 1966/2006 (ΕΕ L 343 της 22.12.2009, σ. 1).</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lastRenderedPageBreak/>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Η σύσταση 18-10 περιέχει πρόσθετους κανόνες που θα πρέπει επίσης να μεταφερθούν στον παρόντα κανονισμό.</w:t>
      </w:r>
    </w:p>
    <w:p w:rsidR="00714966" w:rsidRPr="004B104E" w:rsidRDefault="00AB08CD" w:rsidP="00714966">
      <w:r w:rsidRPr="004B104E">
        <w:rPr>
          <w:rStyle w:val="HideTWBExt"/>
        </w:rPr>
        <w:t>&lt;/A</w:t>
      </w:r>
      <w:r w:rsidRPr="004B104E">
        <w:rPr>
          <w:rStyle w:val="HideTWBExt"/>
        </w:rPr>
        <w:t>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31</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1 – παράγραφος 1 – σημείο 26</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2017/2107</w:t>
      </w:r>
      <w:r w:rsidRPr="004B104E">
        <w:rPr>
          <w:rStyle w:val="HideTWBExt"/>
        </w:rPr>
        <w:t>&lt;/DocAmend2&gt;</w:t>
      </w:r>
    </w:p>
    <w:p w:rsidR="00714966" w:rsidRPr="004B104E" w:rsidRDefault="00AB08CD" w:rsidP="00714966">
      <w:r w:rsidRPr="004B104E">
        <w:rPr>
          <w:rStyle w:val="HideTWBExt"/>
        </w:rPr>
        <w:t>&lt;Article2&gt;</w:t>
      </w:r>
      <w:r w:rsidRPr="004B104E">
        <w:t>Άρθρο 44α – παράγραφος 1 α (νέα)</w:t>
      </w:r>
      <w:r w:rsidRPr="004B104E">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 xml:space="preserve">Κείμενο που </w:t>
            </w:r>
            <w:r w:rsidRPr="004B104E">
              <w:t>προτείνει η Επιτροπή</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Σε περίπτωση τεχνικής βλάβης ή μη λειτουργίας της συσκευής εντοπισμού που είναι εγκατεστημένη σε ενωσιακό αλιευτικό σκάφος, η συσκευή επισκευάζεται ή αντικαθίσταται το συντομότερο δυνατόν ή τουλάχιστον εντός 1 μηνός από τη</w:t>
            </w:r>
            <w:r w:rsidRPr="004B104E">
              <w:rPr>
                <w:b/>
                <w:i/>
              </w:rPr>
              <w:t xml:space="preserve"> στιγμή του συμβάντος, εκτός εάν το σκάφος δεν δραστηριοποιείται πλέον στη ζώνη της σύμβασης ICCAT. Τα ενωσιακά αλιευτικά σκάφη δεν ξεκινούν αλιευτικό ταξίδι προτού επισκευαστεί ή αντικατασταθεί η συσκευή εντοπισμού.</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Η σύσταση 18-10 περιέχει πρόσθετους κανόνες που θα πρέπει επίσης να μεταφερθούν στον παρόντα κανονισμό.</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32</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1 – παράγραφος 1</w:t>
      </w:r>
      <w:r w:rsidRPr="004B104E">
        <w:t xml:space="preserve"> – σημείο 31</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2017/2107</w:t>
      </w:r>
      <w:r w:rsidRPr="004B104E">
        <w:rPr>
          <w:rStyle w:val="HideTWBExt"/>
        </w:rPr>
        <w:t>&lt;/DocAmend2&gt;</w:t>
      </w:r>
    </w:p>
    <w:p w:rsidR="00714966" w:rsidRPr="004B104E" w:rsidRDefault="00AB08CD" w:rsidP="00714966">
      <w:r w:rsidRPr="004B104E">
        <w:rPr>
          <w:rStyle w:val="HideTWBExt"/>
        </w:rPr>
        <w:t>&lt;Article2&gt;</w:t>
      </w:r>
      <w:r w:rsidRPr="004B104E">
        <w:t>Άρθρο 66 – παράγραφος 5</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Κείμενο που προτείνει η Επιτροπή</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hideMark/>
          </w:tcPr>
          <w:p w:rsidR="00714966" w:rsidRPr="004B104E" w:rsidRDefault="00AB08CD">
            <w:pPr>
              <w:pStyle w:val="Normal6"/>
            </w:pPr>
            <w:r w:rsidRPr="004B104E">
              <w:t>5.</w:t>
            </w:r>
            <w:r w:rsidRPr="004B104E">
              <w:tab/>
            </w:r>
            <w:r w:rsidRPr="004B104E">
              <w:t xml:space="preserve">Τα κράτη μέλη σημαίας εξετάζουν τις αναφορές παραβάσεων από </w:t>
            </w:r>
            <w:r w:rsidRPr="004B104E">
              <w:lastRenderedPageBreak/>
              <w:t xml:space="preserve">επιθεωρητές κράτους λιμένα και ενεργούν επ’ αυτών, με ανάλογο τρόπο με τις εκθέσεις των δικών τους επιθεωρητών, σύμφωνα με </w:t>
            </w:r>
            <w:r w:rsidRPr="004B104E">
              <w:rPr>
                <w:b/>
                <w:i/>
              </w:rPr>
              <w:t>την εθνική τους νομοθεσία</w:t>
            </w:r>
            <w:r w:rsidRPr="004B104E">
              <w:t>.</w:t>
            </w:r>
          </w:p>
        </w:tc>
        <w:tc>
          <w:tcPr>
            <w:tcW w:w="4876" w:type="dxa"/>
            <w:hideMark/>
          </w:tcPr>
          <w:p w:rsidR="00714966" w:rsidRPr="004B104E" w:rsidRDefault="00AB08CD">
            <w:pPr>
              <w:pStyle w:val="Normal6"/>
              <w:rPr>
                <w:szCs w:val="24"/>
              </w:rPr>
            </w:pPr>
            <w:r w:rsidRPr="004B104E">
              <w:lastRenderedPageBreak/>
              <w:t>5.</w:t>
            </w:r>
            <w:r w:rsidRPr="004B104E">
              <w:tab/>
              <w:t>Τα κράτη μέλη σημαίας εξετάζουν τις αναφορέ</w:t>
            </w:r>
            <w:r w:rsidRPr="004B104E">
              <w:t xml:space="preserve">ς παραβάσεων από </w:t>
            </w:r>
            <w:r w:rsidRPr="004B104E">
              <w:lastRenderedPageBreak/>
              <w:t xml:space="preserve">επιθεωρητές κράτους λιμένα και ενεργούν επ’ αυτών, με ανάλογο τρόπο με τις εκθέσεις των δικών τους επιθεωρητών, σύμφωνα με </w:t>
            </w:r>
            <w:r w:rsidRPr="004B104E">
              <w:rPr>
                <w:b/>
                <w:i/>
              </w:rPr>
              <w:t>τον κανονισμό (ΕΕ) 2017/2403·του Ευρωπαϊκού Κοινοβουλίου και του Συμβουλίου</w:t>
            </w:r>
            <w:r w:rsidRPr="004B104E">
              <w:rPr>
                <w:b/>
                <w:i/>
                <w:vertAlign w:val="superscript"/>
              </w:rPr>
              <w:t>1a</w:t>
            </w:r>
            <w:r w:rsidRPr="004B104E">
              <w:t>.</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t>__________________</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vertAlign w:val="superscript"/>
              </w:rPr>
              <w:t xml:space="preserve">1α </w:t>
            </w:r>
            <w:r w:rsidRPr="004B104E">
              <w:rPr>
                <w:b/>
                <w:i/>
              </w:rPr>
              <w:t xml:space="preserve">Κανονισμός </w:t>
            </w:r>
            <w:r w:rsidRPr="004B104E">
              <w:rPr>
                <w:b/>
                <w:i/>
              </w:rPr>
              <w:t>(ΕΕ) 2017/2403 του Ευρωπαϊκού Κοινοβουλίου και του Συμβουλίου, της 12ης Δεκεμβρίου 2017, σχετικά με τη βιώσιμη διαχείριση των εξωτερικών αλιευτικών στόλων και την κατάργηση του κανονισμού (ΕΚ) αριθ. 1006/2008 του Συμβουλίου (ΕΕ L 347 της 28.12.2017, σ. 81)</w:t>
            </w:r>
            <w:r w:rsidRPr="004B104E">
              <w:rPr>
                <w:b/>
                <w:i/>
              </w:rPr>
              <w:t xml:space="preserve">. </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Η αναφορά στον κανονισμό SMEFF έλειπε.</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33</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1 – παράγραφος 1 – σημείο 32 α (νέο)</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2017/2107</w:t>
      </w:r>
      <w:r w:rsidRPr="004B104E">
        <w:rPr>
          <w:rStyle w:val="HideTWBExt"/>
        </w:rPr>
        <w:t>&lt;/DocAmend2&gt;</w:t>
      </w:r>
    </w:p>
    <w:p w:rsidR="00714966" w:rsidRPr="004B104E" w:rsidRDefault="00AB08CD" w:rsidP="00714966">
      <w:pPr>
        <w:keepNext/>
      </w:pPr>
      <w:r w:rsidRPr="004B104E">
        <w:rPr>
          <w:rStyle w:val="HideTWBExt"/>
        </w:rPr>
        <w:t>&lt;Article2&gt;</w:t>
      </w:r>
      <w:r w:rsidRPr="004B104E">
        <w:t>Άρθρο 69 α (νέο)</w:t>
      </w:r>
      <w:r w:rsidRPr="004B104E">
        <w:rPr>
          <w:rStyle w:val="HideTWBExt"/>
        </w:rPr>
        <w:t>&lt;/Article2&gt;</w:t>
      </w:r>
    </w:p>
    <w:p w:rsidR="00714966" w:rsidRPr="004B104E" w:rsidRDefault="00714966" w:rsidP="00714966">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Κείμενο που προτείνει η Επιτροπή</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32α)</w:t>
            </w:r>
            <w:r w:rsidRPr="004B104E">
              <w:rPr>
                <w:b/>
                <w:i/>
              </w:rPr>
              <w:tab/>
              <w:t>προστίθεται το ακόλουθο άρθρο: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«Άρθρο 69a</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Σκάφη ΠΛΑ αλιείας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 xml:space="preserve">Τα κράτη μέλη διασφαλίζουν ότι τα </w:t>
            </w:r>
            <w:r w:rsidRPr="004B104E">
              <w:rPr>
                <w:b/>
                <w:i/>
              </w:rPr>
              <w:t>σκάφη που περιλαμβάνονται στον κατάλογο ΠΛΑ αλιείας δεν επιτρέπεται να εκφορτώνουν, να μεταφορτώνουν, να ανεφοδιάζονται με καύσιμα, να επανεφοδιάζονται ή να συμμετέχουν σε άλλες εμπορικές συναλλαγές.»</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r w:rsidRPr="004B104E">
        <w:rPr>
          <w:rStyle w:val="HideTWBExt"/>
        </w:rPr>
        <w:lastRenderedPageBreak/>
        <w:t>&lt;/Amend&gt;</w:t>
      </w:r>
    </w:p>
    <w:p w:rsidR="00714966" w:rsidRPr="004B104E" w:rsidRDefault="00AB08CD" w:rsidP="00714966">
      <w:pPr>
        <w:pStyle w:val="AMNumberTabs0"/>
        <w:keepNext/>
      </w:pPr>
      <w:r w:rsidRPr="004B104E">
        <w:rPr>
          <w:rStyle w:val="HideTWBExt"/>
        </w:rPr>
        <w:t>&lt;Amend&gt;</w:t>
      </w:r>
      <w:r w:rsidRPr="004B104E">
        <w:t>Τροπολ</w:t>
      </w:r>
      <w:r w:rsidRPr="004B104E">
        <w:t>ογία</w:t>
      </w:r>
      <w:r w:rsidRPr="004B104E">
        <w:tab/>
      </w:r>
      <w:r w:rsidRPr="004B104E">
        <w:tab/>
      </w:r>
      <w:r w:rsidRPr="004B104E">
        <w:rPr>
          <w:rStyle w:val="HideTWBExt"/>
        </w:rPr>
        <w:t>&lt;NumAm&gt;</w:t>
      </w:r>
      <w:r w:rsidRPr="004B104E">
        <w:t>34</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1 – παράγραφος 1 – σημείο 35 α (νέο)</w:t>
      </w:r>
      <w:r w:rsidRPr="004B104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Κείμενο που προτείνει η Επιτροπή</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35α)</w:t>
            </w:r>
            <w:r w:rsidRPr="004B104E">
              <w:tab/>
            </w:r>
            <w:r w:rsidRPr="004B104E">
              <w:rPr>
                <w:b/>
                <w:i/>
              </w:rPr>
              <w:t xml:space="preserve">Το κείμενο που παρατίθεται στο παράρτημα του παρόντος κανονισμού προστίθεται </w:t>
            </w:r>
            <w:r w:rsidRPr="004B104E">
              <w:rPr>
                <w:b/>
                <w:i/>
              </w:rPr>
              <w:t>ως παραρτήματα VIIIa, VIIIb και VIIIc στον κανονισμό (ΕΕ) 2017/2107</w:t>
            </w:r>
            <w:r w:rsidRPr="004B104E">
              <w:t>.</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35</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παράγραφος 1 – σημείο -1 (νέο)</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ΧΧ/2023</w:t>
      </w:r>
      <w:r w:rsidRPr="004B104E">
        <w:rPr>
          <w:rStyle w:val="HideTWBExt"/>
        </w:rPr>
        <w:t>&lt;/DocAmend2&gt;</w:t>
      </w:r>
    </w:p>
    <w:p w:rsidR="00714966" w:rsidRPr="004B104E" w:rsidRDefault="00AB08CD" w:rsidP="00714966">
      <w:r w:rsidRPr="004B104E">
        <w:rPr>
          <w:rStyle w:val="HideTWBExt"/>
        </w:rPr>
        <w:t>&lt;Article2&gt;</w:t>
      </w:r>
      <w:r w:rsidRPr="004B104E">
        <w:t>Άρθρο 5</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Το άρθρο 5 αντικαθίσταται από 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b/>
                <w:i/>
              </w:rPr>
            </w:pPr>
            <w:r w:rsidRPr="004B104E">
              <w:rPr>
                <w:b/>
                <w:i/>
              </w:rPr>
              <w:t>«Άρθρο 5</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b/>
                <w:i/>
              </w:rPr>
            </w:pPr>
            <w:r w:rsidRPr="004B104E">
              <w:rPr>
                <w:b/>
                <w:i/>
              </w:rPr>
              <w:t>Ορισμοί</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b/>
                <w:i/>
                <w:szCs w:val="24"/>
              </w:rPr>
            </w:pPr>
            <w:r w:rsidRPr="004B104E">
              <w:rPr>
                <w:b/>
                <w:i/>
              </w:rPr>
              <w:t>Για τους σκοπούς του παρόντος κανονισμού, ισχύουν οι ακόλουθοι ορισμοί:</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b/>
                <w:i/>
                <w:szCs w:val="24"/>
              </w:rPr>
            </w:pPr>
            <w:r w:rsidRPr="004B104E">
              <w:rPr>
                <w:b/>
                <w:i/>
              </w:rPr>
              <w:t>1)</w:t>
            </w:r>
            <w:r w:rsidRPr="004B104E">
              <w:rPr>
                <w:b/>
                <w:i/>
              </w:rPr>
              <w:tab/>
              <w:t>«ICCAT»: η Διεθνής Επιτροπή για τη Διατήρηση των Θυννοειδών του Ατλαντικού·</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b/>
                <w:i/>
                <w:szCs w:val="24"/>
              </w:rPr>
            </w:pPr>
            <w:r w:rsidRPr="004B104E">
              <w:rPr>
                <w:b/>
                <w:i/>
              </w:rPr>
              <w:t>2)</w:t>
            </w:r>
            <w:r w:rsidRPr="004B104E">
              <w:rPr>
                <w:b/>
                <w:i/>
              </w:rPr>
              <w:tab/>
              <w:t>«η σύμβαση»: η διεθνής σύμβαση για τη διατήρηση των θυννοειδών του Ατλαντικού·</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b/>
                <w:i/>
                <w:szCs w:val="24"/>
              </w:rPr>
            </w:pPr>
            <w:r w:rsidRPr="004B104E">
              <w:rPr>
                <w:b/>
                <w:i/>
              </w:rPr>
              <w:t>3)</w:t>
            </w:r>
            <w:r w:rsidRPr="004B104E">
              <w:rPr>
                <w:b/>
                <w:i/>
              </w:rPr>
              <w:tab/>
              <w:t>«ζώνη της σύμβασης»: η γεωγραφική ζώνη όπως ορίζεται στο άρθρο 1 της σύμβασης·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b/>
                <w:i/>
                <w:szCs w:val="24"/>
              </w:rPr>
            </w:pPr>
            <w:r w:rsidRPr="004B104E">
              <w:rPr>
                <w:b/>
                <w:i/>
              </w:rPr>
              <w:t>4)</w:t>
            </w:r>
            <w:r w:rsidRPr="004B104E">
              <w:rPr>
                <w:b/>
                <w:i/>
              </w:rPr>
              <w:tab/>
              <w:t>«Σ</w:t>
            </w:r>
            <w:r w:rsidRPr="004B104E">
              <w:rPr>
                <w:b/>
                <w:i/>
              </w:rPr>
              <w:t xml:space="preserve">ΜΣ»: συμβαλλόμενο μέρος της σύμβασης, καθώς και συνεργαζόμενο μη </w:t>
            </w:r>
            <w:r w:rsidRPr="004B104E">
              <w:rPr>
                <w:b/>
                <w:i/>
              </w:rPr>
              <w:lastRenderedPageBreak/>
              <w:t>συμβαλλόμενο μέρος, νομικό πρόσωπο ή αλιευτική οργάνωση·</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b/>
                <w:i/>
                <w:szCs w:val="24"/>
              </w:rPr>
            </w:pPr>
            <w:r w:rsidRPr="004B104E">
              <w:rPr>
                <w:b/>
                <w:i/>
              </w:rPr>
              <w:t>5)</w:t>
            </w:r>
            <w:r w:rsidRPr="004B104E">
              <w:rPr>
                <w:b/>
                <w:i/>
              </w:rPr>
              <w:tab/>
              <w:t>«SCRS»: η Μόνιμη Επιτροπή Έρευνας και Στατιστικών της ICCAT·</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b/>
                <w:i/>
                <w:szCs w:val="24"/>
              </w:rPr>
            </w:pPr>
            <w:r w:rsidRPr="004B104E">
              <w:rPr>
                <w:b/>
                <w:i/>
              </w:rPr>
              <w:t>6)</w:t>
            </w:r>
            <w:r w:rsidRPr="004B104E">
              <w:rPr>
                <w:b/>
                <w:i/>
              </w:rPr>
              <w:tab/>
              <w:t xml:space="preserve">«φορέας εκμετάλλευσης»: το φυσικό ή νομικό πρόσωπο που </w:t>
            </w:r>
            <w:r w:rsidRPr="004B104E">
              <w:rPr>
                <w:b/>
                <w:i/>
              </w:rPr>
              <w:t>λειτουργεί ή κατέχει επιχείρηση η οποία πραγματοποιεί οποιαδήποτε από τις δραστηριότητες που συνδέεται με οποιοδήποτε στάδιο της παραγωγής, μεταποίησης, εμπορίας και διανομής των προϊόντων αλιείας και υδατοκαλλιέργειας σε αλυσίδες λιανικής πώλησης·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b/>
                <w:i/>
                <w:szCs w:val="24"/>
              </w:rPr>
            </w:pPr>
            <w:r w:rsidRPr="004B104E">
              <w:rPr>
                <w:b/>
                <w:i/>
              </w:rPr>
              <w:t>7)</w:t>
            </w:r>
            <w:r w:rsidRPr="004B104E">
              <w:rPr>
                <w:b/>
                <w:i/>
              </w:rPr>
              <w:tab/>
              <w:t>«α</w:t>
            </w:r>
            <w:r w:rsidRPr="004B104E">
              <w:rPr>
                <w:b/>
                <w:i/>
              </w:rPr>
              <w:t>ρμόδιο κράτος μέλος»: το κράτος μέλος σημαίας ή το κράτος μέλος στη δικαιοδοσία του οποίου βρίσκεται το σχετικό ιχθυοτροφείο ή η σχετική διάταξη παγίδευσης·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8)</w:t>
            </w:r>
            <w:r w:rsidRPr="004B104E">
              <w:rPr>
                <w:b/>
                <w:i/>
              </w:rPr>
              <w:tab/>
              <w:t>«ΣΜΣ ιχθυοτροφείου»: το κράτος μέλος στη δικαιοδοσία του οποίου υπάγεται το ιχθυοτροφείο ερυθρ</w:t>
            </w:r>
            <w:r w:rsidRPr="004B104E">
              <w:rPr>
                <w:b/>
                <w:i/>
              </w:rPr>
              <w:t>ού τόνου·</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9)</w:t>
            </w:r>
            <w:r w:rsidRPr="004B104E">
              <w:rPr>
                <w:b/>
                <w:i/>
              </w:rPr>
              <w:tab/>
              <w:t>«ΣΜΣ σημαίας»: το κράτος μέλος του οποίου τη σημαία φέρει το αλιευτικό σκάφος·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10)</w:t>
            </w:r>
            <w:r w:rsidRPr="004B104E">
              <w:rPr>
                <w:b/>
                <w:i/>
              </w:rPr>
              <w:tab/>
              <w:t>«ΣΜΣ διάταξης παγίδευσης»: τα κράτη μέλη στη δικαιοδοσία των οποίων βρίσκεται η διάταξη παγίδευσης·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b/>
                <w:i/>
                <w:szCs w:val="24"/>
              </w:rPr>
            </w:pPr>
            <w:r w:rsidRPr="004B104E">
              <w:rPr>
                <w:b/>
                <w:i/>
              </w:rPr>
              <w:t>11)</w:t>
            </w:r>
            <w:r w:rsidRPr="004B104E">
              <w:rPr>
                <w:b/>
                <w:i/>
              </w:rPr>
              <w:tab/>
              <w:t>«αλιευτικό σκάφος»: κάθε μηχανοκίνητο σκάφος που χ</w:t>
            </w:r>
            <w:r w:rsidRPr="004B104E">
              <w:rPr>
                <w:b/>
                <w:i/>
              </w:rPr>
              <w:t>ρησιμοποιείται με σκοπό την εμπορική εκμετάλλευση πόρων τόνου, συμπεριλαμβανομένων των σκαφών αλίευσης, των σκαφών μεταποίησης ιχθύων, των σκαφών υποστήριξης, των ρυμουλκών, των σκαφών που συμμετέχουν σε μεταφορτώσεις, καθώς και των σκαφών μεταφοράς που εί</w:t>
            </w:r>
            <w:r w:rsidRPr="004B104E">
              <w:rPr>
                <w:b/>
                <w:i/>
              </w:rPr>
              <w:t>ναι εξοπλισμένα για τη μεταφορά προϊόντων τόνου, και των βοηθητικών σκαφών, εξαιρουμένων των σκαφών μεταφοράς εμπορευματοκιβωτίων·</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b/>
                <w:i/>
                <w:szCs w:val="24"/>
              </w:rPr>
            </w:pPr>
            <w:r w:rsidRPr="004B104E">
              <w:rPr>
                <w:b/>
                <w:i/>
              </w:rPr>
              <w:t>12)</w:t>
            </w:r>
            <w:r w:rsidRPr="004B104E">
              <w:rPr>
                <w:b/>
                <w:i/>
              </w:rPr>
              <w:tab/>
              <w:t>«σκάφος αλίευσης»: σκάφος που χρησιμοποιείται για την αλίευση πόρων τόνου για εμπορικούς σκοπούς·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b/>
                <w:i/>
                <w:szCs w:val="24"/>
              </w:rPr>
            </w:pPr>
            <w:r w:rsidRPr="004B104E">
              <w:rPr>
                <w:b/>
                <w:i/>
              </w:rPr>
              <w:t>13)</w:t>
            </w:r>
            <w:r w:rsidRPr="004B104E">
              <w:rPr>
                <w:b/>
                <w:i/>
              </w:rPr>
              <w:tab/>
              <w:t xml:space="preserve">«ρυμουλκό»: </w:t>
            </w:r>
            <w:r w:rsidRPr="004B104E">
              <w:rPr>
                <w:b/>
                <w:i/>
              </w:rPr>
              <w:t>κάθε σκάφος που χρησιμοποιείται για τη ρυμούλκηση κλωβών ζώντος ερυθρού τόνου·</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b/>
                <w:i/>
                <w:szCs w:val="24"/>
              </w:rPr>
            </w:pPr>
            <w:r w:rsidRPr="004B104E">
              <w:rPr>
                <w:b/>
                <w:i/>
              </w:rPr>
              <w:t>14)</w:t>
            </w:r>
            <w:r w:rsidRPr="004B104E">
              <w:rPr>
                <w:b/>
                <w:i/>
              </w:rPr>
              <w:tab/>
              <w:t>«σκάφος μεταποίησης»: σκάφος επί του οποίου τα αλιευτικά προϊόντα υπόκεινται σε μία ή περισσότερες από τις εξής κατεργασίες πριν συσκευαστούν: τεμαχισμό σε φιλέτα ή φέτες,</w:t>
            </w:r>
            <w:r w:rsidRPr="004B104E">
              <w:rPr>
                <w:b/>
                <w:i/>
              </w:rPr>
              <w:t xml:space="preserve"> κατάψυξη και/ή μεταποίηση·</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b/>
                <w:i/>
                <w:szCs w:val="24"/>
              </w:rPr>
            </w:pPr>
            <w:r w:rsidRPr="004B104E">
              <w:rPr>
                <w:b/>
                <w:i/>
              </w:rPr>
              <w:t>15)</w:t>
            </w:r>
            <w:r w:rsidRPr="004B104E">
              <w:rPr>
                <w:b/>
                <w:i/>
              </w:rPr>
              <w:tab/>
              <w:t>«βοηθητικό σκάφος»: κάθε σκάφος που χρησιμοποιείται για τη μεταφορά νεκρών τόνων (μη μεταποιημένων) από κλωβό μεταφοράς/εκτροφής, από σκάφος γρι-γρι ή από διάταξη παγίδευσης σε καθορισμένο λιμένα και/ή σε σκάφος μεταποίηση</w:t>
            </w:r>
            <w:r w:rsidRPr="004B104E">
              <w:rPr>
                <w:b/>
                <w:i/>
              </w:rPr>
              <w:t>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b/>
                <w:i/>
                <w:szCs w:val="24"/>
              </w:rPr>
            </w:pPr>
            <w:r w:rsidRPr="004B104E">
              <w:rPr>
                <w:b/>
                <w:i/>
              </w:rPr>
              <w:t>16)</w:t>
            </w:r>
            <w:r w:rsidRPr="004B104E">
              <w:rPr>
                <w:b/>
                <w:i/>
              </w:rPr>
              <w:tab/>
              <w:t>«μικρό παράκτιο σκάφος»: σκάφος αλίευσης που φέρει τουλάχιστον τρία από τα πέντε κάτωθι χαρακτηριστικά:</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b/>
                <w:i/>
                <w:szCs w:val="24"/>
              </w:rPr>
            </w:pPr>
            <w:r w:rsidRPr="004B104E">
              <w:rPr>
                <w:b/>
                <w:i/>
              </w:rPr>
              <w:t>α)</w:t>
            </w:r>
            <w:r w:rsidRPr="004B104E">
              <w:rPr>
                <w:b/>
                <w:i/>
              </w:rPr>
              <w:tab/>
              <w:t>συνολικό μήκος κάτω των 12 μέτρων·</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b/>
                <w:i/>
                <w:szCs w:val="24"/>
              </w:rPr>
            </w:pPr>
            <w:r w:rsidRPr="004B104E">
              <w:rPr>
                <w:b/>
                <w:i/>
              </w:rPr>
              <w:t>β)</w:t>
            </w:r>
            <w:r w:rsidRPr="004B104E">
              <w:rPr>
                <w:b/>
                <w:i/>
              </w:rPr>
              <w:tab/>
              <w:t>το σκάφος αλιεύει αποκλειστικά εντός των υδάτων που υπάγονται στη δικαιοδοσία του κράτους μέλους σ</w:t>
            </w:r>
            <w:r w:rsidRPr="004B104E">
              <w:rPr>
                <w:b/>
                <w:i/>
              </w:rPr>
              <w:t>ημαίας·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b/>
                <w:i/>
                <w:szCs w:val="24"/>
              </w:rPr>
            </w:pPr>
            <w:r w:rsidRPr="004B104E">
              <w:rPr>
                <w:b/>
                <w:i/>
              </w:rPr>
              <w:t>γ)</w:t>
            </w:r>
            <w:r w:rsidRPr="004B104E">
              <w:rPr>
                <w:b/>
                <w:i/>
              </w:rPr>
              <w:tab/>
              <w:t>τα αλιευτικά ταξίδια έχουν διάρκεια μικρότερη των 24 ωρών·</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b/>
                <w:i/>
              </w:rPr>
            </w:pPr>
            <w:r w:rsidRPr="004B104E">
              <w:rPr>
                <w:b/>
                <w:i/>
              </w:rPr>
              <w:t>δ)</w:t>
            </w:r>
            <w:r w:rsidRPr="004B104E">
              <w:rPr>
                <w:b/>
                <w:i/>
              </w:rPr>
              <w:tab/>
              <w:t xml:space="preserve">ο ανώτατος αριθμός μελών πληρώματος ορίζεται στα τέσσερα άτομα· ή </w:t>
            </w:r>
          </w:p>
          <w:p w:rsidR="00714966" w:rsidRPr="004B104E" w:rsidRDefault="00AB08CD">
            <w:pPr>
              <w:pStyle w:val="Normal6"/>
              <w:rPr>
                <w:szCs w:val="24"/>
              </w:rPr>
            </w:pPr>
            <w:r w:rsidRPr="004B104E">
              <w:rPr>
                <w:b/>
                <w:i/>
              </w:rPr>
              <w:t xml:space="preserve">ε) </w:t>
            </w:r>
            <w:r w:rsidRPr="004B104E">
              <w:rPr>
                <w:b/>
                <w:i/>
              </w:rPr>
              <w:tab/>
              <w:t>το σκάφος χρησιμοποιεί επιλεκτικές αλιευτικές τεχνικές που έχουν μειωμένες περιβαλλοντικές επιπτώσεις·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17)</w:t>
            </w:r>
            <w:r w:rsidRPr="004B104E">
              <w:rPr>
                <w:b/>
                <w:i/>
              </w:rPr>
              <w:tab/>
              <w:t>«μεγάλα πελαγικά παραγαδιάρικα σκάφη»: πελαγικά παραγαδιάρικα σκάφη συνολικού μήκους άνω των 24 μέτρων·</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18)</w:t>
            </w:r>
            <w:r w:rsidRPr="004B104E">
              <w:rPr>
                <w:b/>
                <w:i/>
              </w:rPr>
              <w:tab/>
              <w:t xml:space="preserve">«σκάφος υποστήριξης»: κάθε άλλο σκάφος που διαθέτει άδεια δραστηριοποίησης στην αλιεία ερυθρού τόνου για την εκτέλεση καθηκόντων υποστήριξης και </w:t>
            </w:r>
            <w:r w:rsidRPr="004B104E">
              <w:rPr>
                <w:b/>
                <w:i/>
              </w:rPr>
              <w:t xml:space="preserve">το οποίο δεν εμπίπτει σε καμία από τις άλλες κατηγορίες που </w:t>
            </w:r>
            <w:r w:rsidRPr="004B104E">
              <w:rPr>
                <w:b/>
                <w:i/>
              </w:rPr>
              <w:lastRenderedPageBreak/>
              <w:t>αναφέρονται στο παρόν άρθρο·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b/>
                <w:i/>
                <w:szCs w:val="24"/>
              </w:rPr>
            </w:pPr>
            <w:r w:rsidRPr="004B104E">
              <w:rPr>
                <w:b/>
                <w:i/>
              </w:rPr>
              <w:t>19)</w:t>
            </w:r>
            <w:r w:rsidRPr="004B104E">
              <w:rPr>
                <w:b/>
                <w:i/>
              </w:rPr>
              <w:tab/>
              <w:t>«ερασιτεχνική αλιεία»: μη εμπορικές αλιευτικές δραστηριότητες εκμετάλλευσης θαλάσσιων βιολογικών πόρων για αναψυχή, τουρισμό ή αθλητισμό·</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20)</w:t>
            </w:r>
            <w:r w:rsidRPr="004B104E">
              <w:rPr>
                <w:b/>
                <w:i/>
              </w:rPr>
              <w:tab/>
              <w:t>«γρι-γρι»: κάθε κ</w:t>
            </w:r>
            <w:r w:rsidRPr="004B104E">
              <w:rPr>
                <w:b/>
                <w:i/>
              </w:rPr>
              <w:t>υκλωτικό δίχτυ το κάτω μέρος του οποίου κλείνει με τη βοήθεια ενός σκοινιού (στίγκου) που βρίσκεται στο κάτω μέρος του διχτυού, το οποίο διέρχεται από μια σειρά δακτυλίων κατά μήκος του κάτω γραντιού, επιτρέποντας το στιγκάρισμα και το κλείσιμο του διχτυού</w:t>
            </w:r>
            <w:r w:rsidRPr="004B104E">
              <w:rPr>
                <w:b/>
                <w:i/>
              </w:rPr>
              <w:t>·</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21)</w:t>
            </w:r>
            <w:r w:rsidRPr="004B104E">
              <w:rPr>
                <w:b/>
                <w:i/>
              </w:rPr>
              <w:tab/>
              <w:t>«κοινή αλιευτική δραστηριότητα»: κάθε δραστηριότητα στην οποία συμμετέχουν δύο ή περισσότερα σκάφη γρι-γρι, κατά την οποία τα αλιεύματα ενός σκάφους γρι-γρι καταλογίζονται σε ένα ή περισσότερα σκάφη γρι-γρι, σύμφωνα με προσυμφωνημένη κλείδα κατανομ</w:t>
            </w:r>
            <w:r w:rsidRPr="004B104E">
              <w:rPr>
                <w:b/>
                <w:i/>
              </w:rPr>
              <w:t>ής·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22)</w:t>
            </w:r>
            <w:r w:rsidRPr="004B104E">
              <w:rPr>
                <w:b/>
                <w:i/>
              </w:rPr>
              <w:tab/>
              <w:t>«ομάδα εργαλείων»: ομάδα αλιευτικών σκαφών που χρησιμοποιούν τα ίδια εργαλεία για τα οποία έχει κατανεμηθεί ομαδική ποσόστωση·</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23)</w:t>
            </w:r>
            <w:r w:rsidRPr="004B104E">
              <w:rPr>
                <w:b/>
                <w:i/>
              </w:rPr>
              <w:tab/>
              <w:t>«αλιευτική προσπάθεια»: το προϊόν της ικανότητας και της δραστηριότητας αλιευτικού σκάφους για τη μέτρηση της έντ</w:t>
            </w:r>
            <w:r w:rsidRPr="004B104E">
              <w:rPr>
                <w:b/>
                <w:i/>
              </w:rPr>
              <w:t xml:space="preserve">ασης των αλιευτικών δραστηριοτήτων. Η εν λόγω μέτρηση ποικίλλει μεταξύ εργαλείων. Όσον αφορά την αλιεία με παραγάδια, μετράται ο αριθμός των αγκιστριών ή των αγκιστριών επί τις ώρες. Όσον αφορά τα γρι-γρι, μετράται ο αριθμός ημερών επί του σκάφους (χρόνος </w:t>
            </w:r>
            <w:r w:rsidRPr="004B104E">
              <w:rPr>
                <w:b/>
                <w:i/>
              </w:rPr>
              <w:t>αλίευσης συν τον χρόνο αναζήτησης)·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24)</w:t>
            </w:r>
            <w:r w:rsidRPr="004B104E">
              <w:rPr>
                <w:b/>
                <w:i/>
              </w:rPr>
              <w:tab/>
              <w:t>«ενεργός αλιεία»: για κάθε σκάφος αλίευσης, το γεγονός ότι έχει ως στόχο τον τόνο στη διάρκεια δεδομένης αλιευτικής περιόδου·</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25)</w:t>
            </w:r>
            <w:r w:rsidRPr="004B104E">
              <w:rPr>
                <w:b/>
                <w:i/>
              </w:rPr>
              <w:tab/>
              <w:t>«BCD»: έγγραφο αλιευμάτων τόνου·</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26)</w:t>
            </w:r>
            <w:r w:rsidRPr="004B104E">
              <w:rPr>
                <w:b/>
                <w:i/>
              </w:rPr>
              <w:tab/>
              <w:t xml:space="preserve">«eBCD»: ηλεκτρονικό έγγραφο </w:t>
            </w:r>
            <w:r w:rsidRPr="004B104E">
              <w:rPr>
                <w:b/>
                <w:i/>
              </w:rPr>
              <w:lastRenderedPageBreak/>
              <w:t xml:space="preserve">αλιευμάτων </w:t>
            </w:r>
            <w:r w:rsidRPr="004B104E">
              <w:rPr>
                <w:b/>
                <w:i/>
              </w:rPr>
              <w:t>τόνου·</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27)</w:t>
            </w:r>
            <w:r w:rsidRPr="004B104E">
              <w:rPr>
                <w:b/>
                <w:i/>
              </w:rPr>
              <w:tab/>
              <w:t>«μεταφόρτωση»: η εκφόρτωση του συνόλου ή μέρους των αλιευτικών προϊόντων που βρίσκονται επί αλιευτικού σκάφους σε άλλο αλιευτικό σκάφος. Ωστόσο, η εκφόρτωση νεκρού τόνου από το γρι-γρι, τη διάταξη παγίδευσης ή το ρυμουλκό σε βοηθητικό σκάφος δ</w:t>
            </w:r>
            <w:r w:rsidRPr="004B104E">
              <w:rPr>
                <w:b/>
                <w:i/>
              </w:rPr>
              <w:t>εν θεωρείται μεταφόρτωση·</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b/>
                <w:i/>
                <w:szCs w:val="24"/>
              </w:rPr>
            </w:pPr>
            <w:r w:rsidRPr="004B104E">
              <w:rPr>
                <w:b/>
                <w:i/>
              </w:rPr>
              <w:t>28)</w:t>
            </w:r>
            <w:r w:rsidRPr="004B104E">
              <w:rPr>
                <w:b/>
                <w:i/>
              </w:rPr>
              <w:tab/>
              <w:t>«ζων ερυθρός τόνος»: ερυθρός τόνος που διατηρείται ζωντανός για συγκεκριμένο χρονικό διάστημα σε διάταξη παγίδευσης ή μεταβιβάζεται ζωντανός σε εγκατάσταση εκτροφής, εγκλωβίζεται, εκτρέφεται και τελικά εξαλιεύεται ή ελευθερώ</w:t>
            </w:r>
            <w:r w:rsidRPr="004B104E">
              <w:rPr>
                <w:b/>
                <w:i/>
              </w:rPr>
              <w:t>νεται·</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29)</w:t>
            </w:r>
            <w:r w:rsidRPr="004B104E">
              <w:rPr>
                <w:b/>
                <w:i/>
              </w:rPr>
              <w:tab/>
              <w:t>«εξαλίευση»: η θανάτωση του τόνου σε ιχθυοτροφεία ή σε διατάξεις παγίδευσης·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30)</w:t>
            </w:r>
            <w:r w:rsidRPr="004B104E">
              <w:rPr>
                <w:b/>
                <w:i/>
              </w:rPr>
              <w:tab/>
              <w:t>«διάταξη παγίδευσης»: σταθερό εργαλείο στερεωμένο στον βυθό, που διαθέτει συνήθως καθοδηγητικό δίχτυ το οποίο κατευθύνει τον τόνο σε περίκλειστο χώρο ή σε σειρά</w:t>
            </w:r>
            <w:r w:rsidRPr="004B104E">
              <w:rPr>
                <w:b/>
                <w:i/>
              </w:rPr>
              <w:t xml:space="preserve"> περίκλειστων χώρων όπου και παραμένει πριν από την εξαλίευση ή την εκτροφή·</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31)</w:t>
            </w:r>
            <w:r w:rsidRPr="004B104E">
              <w:rPr>
                <w:b/>
                <w:i/>
              </w:rPr>
              <w:tab/>
              <w:t>«εγκλωβισμός»: η μετακίνηση ζώντος ερυθρού τόνου σε ιχθυοτροφεία και η επακόλουθη εκτροφή του με στόχο την πάχυνση και την αύξηση της συνολικής του βιομάζας·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32)</w:t>
            </w:r>
            <w:r w:rsidRPr="004B104E">
              <w:rPr>
                <w:b/>
                <w:i/>
              </w:rPr>
              <w:tab/>
            </w:r>
            <w:r w:rsidRPr="004B104E">
              <w:rPr>
                <w:b/>
                <w:i/>
              </w:rPr>
              <w:t>«εγκλωβισμός ελέγχου»: επανάληψη των εργασιών εγκλωβισμού που πραγματοποιούνται κατόπιν αιτήματος των αρχών ελέγχου, με σκοπό την επαλήθευση του αριθμού και/ή του μέσου βάρους των ιχθύων που εγκλωβίζονται·</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33)</w:t>
            </w:r>
            <w:r w:rsidRPr="004B104E">
              <w:rPr>
                <w:b/>
                <w:i/>
              </w:rPr>
              <w:tab/>
              <w:t>«εκτροφή» ή «πάχυνση»: ο εγκλωβισμός ερυθρού</w:t>
            </w:r>
            <w:r w:rsidRPr="004B104E">
              <w:rPr>
                <w:b/>
                <w:i/>
              </w:rPr>
              <w:t xml:space="preserve"> τόνου σε ιχθυοτροφεία και η επακόλουθη εκτροφή του με στόχο την πάχυνση και την αύξηση της συνολικής του βιομάζας·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34)</w:t>
            </w:r>
            <w:r w:rsidRPr="004B104E">
              <w:rPr>
                <w:b/>
                <w:i/>
              </w:rPr>
              <w:tab/>
              <w:t xml:space="preserve">«ιχθυοτροφείο»: θαλάσσια περιοχή σαφώς οριζόμενη από </w:t>
            </w:r>
            <w:r w:rsidRPr="004B104E">
              <w:rPr>
                <w:b/>
                <w:i/>
              </w:rPr>
              <w:lastRenderedPageBreak/>
              <w:t xml:space="preserve">γεωγραφικές συντεταγμένες, η οποία χρησιμοποιείται για την πάχυνση ή την εκτροφή </w:t>
            </w:r>
            <w:r w:rsidRPr="004B104E">
              <w:rPr>
                <w:b/>
                <w:i/>
              </w:rPr>
              <w:t>τόνου ο οποίος αλιεύεται με διατάξεις παγίδευσης και/ή γρι-γρι. Ένα ιχθυοτροφείο μπορεί να έχει διάφορους χώρους εκτροφής οριζόμενους, στο σύνολό τους, από γεωγραφικές συντεταγμένες, με σαφώς καθορισμένο γεωγραφικό μήκος και γεωγραφικό πλάτος για καθένα απ</w:t>
            </w:r>
            <w:r w:rsidRPr="004B104E">
              <w:rPr>
                <w:b/>
                <w:i/>
              </w:rPr>
              <w:t>ό τα σημεία του πολυγώνου·</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35)</w:t>
            </w:r>
            <w:r w:rsidRPr="004B104E">
              <w:rPr>
                <w:b/>
                <w:i/>
              </w:rPr>
              <w:tab/>
              <w:t>«εισερχόμενη ικανότητα εκτροφής»: η μέγιστη ποσότητα σε τόνους άγριου ερυθρού τόνου, η οποία επιτρέπεται να εγκλωβιστεί από ιχθυοτροφείο κατά τη διάρκεια μιας αλιευτικής περιόδου·</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36)</w:t>
            </w:r>
            <w:r w:rsidRPr="004B104E">
              <w:rPr>
                <w:b/>
                <w:i/>
              </w:rPr>
              <w:tab/>
              <w:t>«μεταβίβαση»: οποιαδήποτε μεταβίβαση:</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w:t>
            </w:r>
            <w:r w:rsidRPr="004B104E">
              <w:rPr>
                <w:b/>
                <w:i/>
              </w:rPr>
              <w:tab/>
              <w:t>ζώντος ερυθρού τόνου από το δίχτυ του σκάφους αλίευσης στον κλωβό μεταφοράς·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β)</w:t>
            </w:r>
            <w:r w:rsidRPr="004B104E">
              <w:rPr>
                <w:b/>
                <w:i/>
              </w:rPr>
              <w:tab/>
              <w:t>ζώντος ερυθρού τόνου από τη διάταξη παγίδευσης στον κλωβό μεταφοράς, ανεξαρτήτως της ύπαρξης ρυμουλκού·</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γ)</w:t>
            </w:r>
            <w:r w:rsidRPr="004B104E">
              <w:rPr>
                <w:b/>
                <w:i/>
              </w:rPr>
              <w:tab/>
              <w:t>ζώντος ερυθρού τόνου από τον κλωβό μεταφοράς σε άλλον κλωβό</w:t>
            </w:r>
            <w:r w:rsidRPr="004B104E">
              <w:rPr>
                <w:b/>
                <w:i/>
              </w:rPr>
              <w:t xml:space="preserve"> μεταφοράς·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δ)</w:t>
            </w:r>
            <w:r w:rsidRPr="004B104E">
              <w:rPr>
                <w:b/>
                <w:i/>
              </w:rPr>
              <w:tab/>
              <w:t>κλωβού που περιέχει ζωντανό ερυθρό τόνο από ένα ρυμουλκό σε άλλο·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ε)</w:t>
            </w:r>
            <w:r w:rsidRPr="004B104E">
              <w:rPr>
                <w:b/>
                <w:i/>
              </w:rPr>
              <w:tab/>
              <w:t>ζώντος ερυθρού τόνου μεταξύ διαφορετικών κλωβών στο ίδιο ιχθυοτροφείο (μεταβίβαση εντός ιχθυοτροφείου)·</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στ)</w:t>
            </w:r>
            <w:r w:rsidRPr="004B104E">
              <w:rPr>
                <w:b/>
                <w:i/>
              </w:rPr>
              <w:tab/>
              <w:t>ζώντος ερυθρού τόνου από κλωβό εκτροφής σε κλωβό μεταφοράς</w:t>
            </w:r>
            <w:r w:rsidRPr="004B104E">
              <w:rPr>
                <w:b/>
                <w:i/>
              </w:rPr>
              <w:t>·</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37)</w:t>
            </w:r>
            <w:r w:rsidRPr="004B104E">
              <w:rPr>
                <w:b/>
                <w:i/>
              </w:rPr>
              <w:tab/>
              <w:t>«μεταβίβαση ελέγχου»: η επανάληψη κάθε μεταβίβασης που εκτελείται κατόπιν αιτήματος των αρχών ελέγχου·</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38)</w:t>
            </w:r>
            <w:r w:rsidRPr="004B104E">
              <w:rPr>
                <w:b/>
                <w:i/>
              </w:rPr>
              <w:tab/>
              <w:t xml:space="preserve">«μεταβίβαση μεταξύ ιχθυοτροφείων»: η μετακίνηση ζώντος ερυθρού τόνου από ένα ιχθυοτροφείο σε </w:t>
            </w:r>
            <w:r w:rsidRPr="004B104E">
              <w:rPr>
                <w:b/>
                <w:i/>
              </w:rPr>
              <w:lastRenderedPageBreak/>
              <w:t>άλλο ιχθυοτροφείο που αποτελείται από δύο στάδ</w:t>
            </w:r>
            <w:r w:rsidRPr="004B104E">
              <w:rPr>
                <w:b/>
                <w:i/>
              </w:rPr>
              <w:t>ια, τη μεταφορά από τον κλωβό του ιχθυοτροφείου-δότη σε κλωβό μεταφοράς και τον εγκλωβισμό από τον κλωβό μεταφοράς στον κλωβό του ιχθυοτροφείου υποδοχής·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39)</w:t>
            </w:r>
            <w:r w:rsidRPr="004B104E">
              <w:rPr>
                <w:b/>
                <w:i/>
              </w:rPr>
              <w:tab/>
              <w:t xml:space="preserve">«πρώτη μεταβίβαση»: η μεταβίβαση ζώντος ερυθρού τόνου από δίχτυ γρι-γρι ή διάταξη παγίδευσης σε </w:t>
            </w:r>
            <w:r w:rsidRPr="004B104E">
              <w:rPr>
                <w:b/>
                <w:i/>
              </w:rPr>
              <w:t>κλωβό μεταφοράς·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40)</w:t>
            </w:r>
            <w:r w:rsidRPr="004B104E">
              <w:rPr>
                <w:b/>
                <w:i/>
              </w:rPr>
              <w:tab/>
              <w:t>«περαιτέρω μεταβίβαση»: κάθε δραστηριότητα μεταβίβασης που πραγματοποιείται μετά την πρώτη μεταβίβαση και πριν από τον εγκλωβισμό στο ιχθυοτροφείο προορισμού, όπως διαχωρισμός ή συγχώνευση του περιεχομένου δύο κλωβών μεταφοράς, με εξ</w:t>
            </w:r>
            <w:r w:rsidRPr="004B104E">
              <w:rPr>
                <w:b/>
                <w:i/>
              </w:rPr>
              <w:t>αίρεση τις εκούσιες μεταβιβάσεις ή τις μεταβιβάσεις ελέγχου·</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41)</w:t>
            </w:r>
            <w:r w:rsidRPr="004B104E">
              <w:rPr>
                <w:b/>
                <w:i/>
              </w:rPr>
              <w:tab/>
              <w:t xml:space="preserve">«οικειοθελής μεταβίβαση»: η επανάληψη οποιασδήποτε μεταβίβασης που εκτελείται οικειοθελώς από τον πλοίαρχο του σκάφους αλίευσης ή του ρυμουλκού ή τον αντιπρόσωπό του ή από τον αντιπρόσωπο </w:t>
            </w:r>
            <w:r w:rsidRPr="004B104E">
              <w:rPr>
                <w:b/>
                <w:i/>
              </w:rPr>
              <w:t>ιχθυοτροφείου ή διάταξης παγίδευσης, από τα οποία προέρχεται η δραστηριότητα μεταβίβασης·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42)</w:t>
            </w:r>
            <w:r w:rsidRPr="004B104E">
              <w:rPr>
                <w:b/>
                <w:i/>
              </w:rPr>
              <w:tab/>
              <w:t>«κάμερα ελέγχου»: στερεοσκοπική κάμερα και/ή συμβατική βιντεοκάμερα για τον σκοπό των ελέγχων που προβλέπονται στον παρόντα κανονισμό·</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43)</w:t>
            </w:r>
            <w:r w:rsidRPr="004B104E">
              <w:rPr>
                <w:b/>
                <w:i/>
              </w:rPr>
              <w:tab/>
              <w:t>«στερεοσκοπική κάμε</w:t>
            </w:r>
            <w:r w:rsidRPr="004B104E">
              <w:rPr>
                <w:b/>
                <w:i/>
              </w:rPr>
              <w:t>ρα»: κάμερα που διαθέτει δύο ή περισσότερους φακούς, με διαφορετικό αισθητήρα εικόνας ή αναλογική εγγραφή σε φιλμ ο καθένας, για τη λήψη τρισδιάστατων εικόνων με σκοπό τη μέτρηση του μήκους των ιχθύων.»</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Η σύσταση 22-08 της ICCAT τροποποιεί τη σύσταση 21-08 για τη θέσπιση πολυετούς σχεδίου αποκατάστασης του ερυθρού τόνου στον Ανατολικό Ατλαντικό και στη Μεσόγειο.</w:t>
      </w:r>
    </w:p>
    <w:p w:rsidR="00714966" w:rsidRPr="004B104E" w:rsidRDefault="00AB08CD" w:rsidP="00714966">
      <w:r w:rsidRPr="004B104E">
        <w:rPr>
          <w:rStyle w:val="HideTWBExt"/>
        </w:rPr>
        <w:lastRenderedPageBreak/>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36</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w:t>
      </w:r>
      <w:r w:rsidRPr="004B104E">
        <w:t>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εδάφιο 1 – σημείο 1</w:t>
      </w:r>
      <w:r w:rsidRPr="004B104E">
        <w:rPr>
          <w:rStyle w:val="HideTWBExt"/>
        </w:rPr>
        <w:t>&lt;/Article&gt;</w:t>
      </w:r>
    </w:p>
    <w:p w:rsidR="00714966" w:rsidRPr="004B104E" w:rsidRDefault="00AB08CD" w:rsidP="00714966">
      <w:pPr>
        <w:keepNext/>
      </w:pPr>
      <w:r w:rsidRPr="004B104E">
        <w:rPr>
          <w:rStyle w:val="HideTWBExt"/>
        </w:rPr>
        <w:t>&lt;DocAmend2&gt;</w:t>
      </w:r>
      <w:r w:rsidRPr="004B104E">
        <w:t xml:space="preserve">Κανονισμός (ΕΕ) ΧΧ/2023 </w:t>
      </w:r>
      <w:r w:rsidRPr="004B104E">
        <w:rPr>
          <w:rStyle w:val="HideTWBExt"/>
        </w:rPr>
        <w:t>&lt;/DocAmend2&gt;</w:t>
      </w:r>
    </w:p>
    <w:p w:rsidR="00714966" w:rsidRPr="004B104E" w:rsidRDefault="00AB08CD" w:rsidP="00714966">
      <w:r w:rsidRPr="004B104E">
        <w:rPr>
          <w:rStyle w:val="HideTWBExt"/>
        </w:rPr>
        <w:t>&lt;Article2&gt;</w:t>
      </w:r>
      <w:r w:rsidRPr="004B104E">
        <w:t>Άρθρο 7</w:t>
      </w:r>
      <w:r w:rsidRPr="004B104E">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Κείμενο που προτείνει η Επιτροπή</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hideMark/>
          </w:tcPr>
          <w:p w:rsidR="00714966" w:rsidRPr="004B104E" w:rsidRDefault="00AB08CD">
            <w:pPr>
              <w:pStyle w:val="Normal6"/>
            </w:pPr>
            <w:r w:rsidRPr="004B104E">
              <w:rPr>
                <w:b/>
                <w:i/>
              </w:rPr>
              <w:t>1)</w:t>
            </w:r>
            <w:r w:rsidRPr="004B104E">
              <w:rPr>
                <w:b/>
                <w:i/>
              </w:rPr>
              <w:tab/>
              <w:t xml:space="preserve">στο άρθρο 7, στην παράγραφο (...) προστίθενται τα ακόλουθα </w:t>
            </w:r>
            <w:r w:rsidRPr="004B104E">
              <w:rPr>
                <w:b/>
                <w:i/>
              </w:rPr>
              <w:t>στοιχεία α) και β):</w:t>
            </w:r>
          </w:p>
        </w:tc>
        <w:tc>
          <w:tcPr>
            <w:tcW w:w="4876" w:type="dxa"/>
            <w:hideMark/>
          </w:tcPr>
          <w:p w:rsidR="00714966" w:rsidRPr="004B104E" w:rsidRDefault="00AB08CD">
            <w:pPr>
              <w:pStyle w:val="Normal6"/>
              <w:rPr>
                <w:szCs w:val="24"/>
              </w:rPr>
            </w:pPr>
            <w:r w:rsidRPr="004B104E">
              <w:rPr>
                <w:b/>
                <w:i/>
              </w:rPr>
              <w:t>διαγράφεται</w:t>
            </w:r>
          </w:p>
        </w:tc>
      </w:tr>
      <w:tr w:rsidR="00B82744" w:rsidRPr="004B104E" w:rsidTr="00714966">
        <w:trPr>
          <w:jc w:val="center"/>
        </w:trPr>
        <w:tc>
          <w:tcPr>
            <w:tcW w:w="4876" w:type="dxa"/>
            <w:hideMark/>
          </w:tcPr>
          <w:p w:rsidR="00714966" w:rsidRPr="004B104E" w:rsidRDefault="00AB08CD">
            <w:pPr>
              <w:pStyle w:val="Normal6"/>
            </w:pPr>
            <w:r w:rsidRPr="004B104E">
              <w:rPr>
                <w:b/>
                <w:i/>
              </w:rPr>
              <w:t>«α)</w:t>
            </w:r>
            <w:r w:rsidRPr="004B104E">
              <w:rPr>
                <w:b/>
                <w:i/>
              </w:rPr>
              <w:tab/>
              <w:t>τα κράτη μέλη εκτροφής συμπληρώνουν και διαβιβάζουν ετήσια δήλωση μεταφοράς των αχρησιμοποίητων ποσοστώσεων στην Επιτροπή έως τις 25 Μαΐου κάθε έτους.</w:t>
            </w:r>
          </w:p>
        </w:tc>
        <w:tc>
          <w:tcPr>
            <w:tcW w:w="4876" w:type="dxa"/>
          </w:tcPr>
          <w:p w:rsidR="00714966" w:rsidRPr="004B104E" w:rsidRDefault="00714966">
            <w:pPr>
              <w:pStyle w:val="Normal6"/>
              <w:rPr>
                <w:szCs w:val="24"/>
              </w:rPr>
            </w:pPr>
          </w:p>
        </w:tc>
      </w:tr>
      <w:tr w:rsidR="00B82744" w:rsidRPr="004B104E" w:rsidTr="00714966">
        <w:trPr>
          <w:jc w:val="center"/>
        </w:trPr>
        <w:tc>
          <w:tcPr>
            <w:tcW w:w="4876" w:type="dxa"/>
            <w:hideMark/>
          </w:tcPr>
          <w:p w:rsidR="00714966" w:rsidRPr="004B104E" w:rsidRDefault="00AB08CD">
            <w:pPr>
              <w:pStyle w:val="Normal6"/>
            </w:pPr>
            <w:r w:rsidRPr="004B104E">
              <w:rPr>
                <w:b/>
                <w:i/>
              </w:rPr>
              <w:t>Η δήλωση περιλαμβάνει:</w:t>
            </w:r>
          </w:p>
        </w:tc>
        <w:tc>
          <w:tcPr>
            <w:tcW w:w="4876" w:type="dxa"/>
          </w:tcPr>
          <w:p w:rsidR="00714966" w:rsidRPr="004B104E" w:rsidRDefault="00714966">
            <w:pPr>
              <w:pStyle w:val="Normal6"/>
              <w:rPr>
                <w:szCs w:val="24"/>
              </w:rPr>
            </w:pPr>
          </w:p>
        </w:tc>
      </w:tr>
      <w:tr w:rsidR="00B82744" w:rsidRPr="004B104E" w:rsidTr="00714966">
        <w:trPr>
          <w:jc w:val="center"/>
        </w:trPr>
        <w:tc>
          <w:tcPr>
            <w:tcW w:w="4876" w:type="dxa"/>
            <w:hideMark/>
          </w:tcPr>
          <w:p w:rsidR="00714966" w:rsidRPr="004B104E" w:rsidRDefault="00AB08CD">
            <w:pPr>
              <w:pStyle w:val="Normal6"/>
            </w:pPr>
            <w:r w:rsidRPr="004B104E">
              <w:rPr>
                <w:b/>
                <w:i/>
              </w:rPr>
              <w:t>—</w:t>
            </w:r>
            <w:r w:rsidRPr="004B104E">
              <w:rPr>
                <w:b/>
                <w:i/>
              </w:rPr>
              <w:tab/>
              <w:t>τις ποσότητες (εκπεφρασμένες σε kg) και</w:t>
            </w:r>
            <w:r w:rsidRPr="004B104E">
              <w:rPr>
                <w:b/>
                <w:i/>
              </w:rPr>
              <w:t xml:space="preserve"> τον αριθμό των ιχθύων που αποτελούν αντικείμενο μεταφοράς,</w:t>
            </w:r>
          </w:p>
        </w:tc>
        <w:tc>
          <w:tcPr>
            <w:tcW w:w="4876" w:type="dxa"/>
          </w:tcPr>
          <w:p w:rsidR="00714966" w:rsidRPr="004B104E" w:rsidRDefault="00714966">
            <w:pPr>
              <w:pStyle w:val="Normal6"/>
              <w:rPr>
                <w:szCs w:val="24"/>
              </w:rPr>
            </w:pPr>
          </w:p>
        </w:tc>
      </w:tr>
      <w:tr w:rsidR="00B82744" w:rsidRPr="004B104E" w:rsidTr="00714966">
        <w:trPr>
          <w:jc w:val="center"/>
        </w:trPr>
        <w:tc>
          <w:tcPr>
            <w:tcW w:w="4876" w:type="dxa"/>
            <w:hideMark/>
          </w:tcPr>
          <w:p w:rsidR="00714966" w:rsidRPr="004B104E" w:rsidRDefault="00AB08CD">
            <w:pPr>
              <w:pStyle w:val="Normal6"/>
            </w:pPr>
            <w:r w:rsidRPr="004B104E">
              <w:rPr>
                <w:b/>
                <w:i/>
              </w:rPr>
              <w:t>—</w:t>
            </w:r>
            <w:r w:rsidRPr="004B104E">
              <w:rPr>
                <w:b/>
                <w:i/>
              </w:rPr>
              <w:tab/>
              <w:t>το έτος αλίευσης,</w:t>
            </w:r>
          </w:p>
        </w:tc>
        <w:tc>
          <w:tcPr>
            <w:tcW w:w="4876" w:type="dxa"/>
          </w:tcPr>
          <w:p w:rsidR="00714966" w:rsidRPr="004B104E" w:rsidRDefault="00714966">
            <w:pPr>
              <w:pStyle w:val="Normal6"/>
              <w:rPr>
                <w:szCs w:val="24"/>
              </w:rPr>
            </w:pPr>
          </w:p>
        </w:tc>
      </w:tr>
      <w:tr w:rsidR="00B82744" w:rsidRPr="004B104E" w:rsidTr="00714966">
        <w:trPr>
          <w:jc w:val="center"/>
        </w:trPr>
        <w:tc>
          <w:tcPr>
            <w:tcW w:w="4876" w:type="dxa"/>
            <w:hideMark/>
          </w:tcPr>
          <w:p w:rsidR="00714966" w:rsidRPr="004B104E" w:rsidRDefault="00AB08CD">
            <w:pPr>
              <w:pStyle w:val="Normal6"/>
            </w:pPr>
            <w:r w:rsidRPr="004B104E">
              <w:rPr>
                <w:b/>
                <w:i/>
              </w:rPr>
              <w:t>—</w:t>
            </w:r>
            <w:r w:rsidRPr="004B104E">
              <w:rPr>
                <w:b/>
                <w:i/>
              </w:rPr>
              <w:tab/>
              <w:t>το μέσο βάρος,</w:t>
            </w:r>
          </w:p>
        </w:tc>
        <w:tc>
          <w:tcPr>
            <w:tcW w:w="4876" w:type="dxa"/>
          </w:tcPr>
          <w:p w:rsidR="00714966" w:rsidRPr="004B104E" w:rsidRDefault="00714966">
            <w:pPr>
              <w:pStyle w:val="Normal6"/>
              <w:rPr>
                <w:szCs w:val="24"/>
              </w:rPr>
            </w:pPr>
          </w:p>
        </w:tc>
      </w:tr>
      <w:tr w:rsidR="00B82744" w:rsidRPr="004B104E" w:rsidTr="00714966">
        <w:trPr>
          <w:jc w:val="center"/>
        </w:trPr>
        <w:tc>
          <w:tcPr>
            <w:tcW w:w="4876" w:type="dxa"/>
            <w:hideMark/>
          </w:tcPr>
          <w:p w:rsidR="00714966" w:rsidRPr="004B104E" w:rsidRDefault="00AB08CD">
            <w:pPr>
              <w:pStyle w:val="Normal6"/>
            </w:pPr>
            <w:r w:rsidRPr="004B104E">
              <w:rPr>
                <w:b/>
                <w:i/>
              </w:rPr>
              <w:t>—</w:t>
            </w:r>
            <w:r w:rsidRPr="004B104E">
              <w:rPr>
                <w:b/>
                <w:i/>
              </w:rPr>
              <w:tab/>
              <w:t>το ΣΜΣ σημαίας,</w:t>
            </w:r>
          </w:p>
        </w:tc>
        <w:tc>
          <w:tcPr>
            <w:tcW w:w="4876" w:type="dxa"/>
          </w:tcPr>
          <w:p w:rsidR="00714966" w:rsidRPr="004B104E" w:rsidRDefault="00714966">
            <w:pPr>
              <w:pStyle w:val="Normal6"/>
              <w:rPr>
                <w:szCs w:val="24"/>
              </w:rPr>
            </w:pPr>
          </w:p>
        </w:tc>
      </w:tr>
      <w:tr w:rsidR="00B82744" w:rsidRPr="004B104E" w:rsidTr="00714966">
        <w:trPr>
          <w:jc w:val="center"/>
        </w:trPr>
        <w:tc>
          <w:tcPr>
            <w:tcW w:w="4876" w:type="dxa"/>
            <w:hideMark/>
          </w:tcPr>
          <w:p w:rsidR="00714966" w:rsidRPr="004B104E" w:rsidRDefault="00AB08CD">
            <w:pPr>
              <w:pStyle w:val="Normal6"/>
            </w:pPr>
            <w:r w:rsidRPr="004B104E">
              <w:rPr>
                <w:b/>
                <w:i/>
              </w:rPr>
              <w:t>—</w:t>
            </w:r>
            <w:r w:rsidRPr="004B104E">
              <w:rPr>
                <w:b/>
                <w:i/>
              </w:rPr>
              <w:tab/>
              <w:t>τα στοιχεία αναφοράς του εγγράφου αλιευμάτων τόνου (BCD) που αντιστοιχούν στα μεταφερθέντα αλιεύματα,</w:t>
            </w:r>
          </w:p>
        </w:tc>
        <w:tc>
          <w:tcPr>
            <w:tcW w:w="4876" w:type="dxa"/>
          </w:tcPr>
          <w:p w:rsidR="00714966" w:rsidRPr="004B104E" w:rsidRDefault="00714966">
            <w:pPr>
              <w:pStyle w:val="Normal6"/>
              <w:rPr>
                <w:szCs w:val="24"/>
              </w:rPr>
            </w:pPr>
          </w:p>
        </w:tc>
      </w:tr>
      <w:tr w:rsidR="00B82744" w:rsidRPr="004B104E" w:rsidTr="00714966">
        <w:trPr>
          <w:jc w:val="center"/>
        </w:trPr>
        <w:tc>
          <w:tcPr>
            <w:tcW w:w="4876" w:type="dxa"/>
            <w:hideMark/>
          </w:tcPr>
          <w:p w:rsidR="00714966" w:rsidRPr="004B104E" w:rsidRDefault="00AB08CD">
            <w:pPr>
              <w:pStyle w:val="Normal6"/>
            </w:pPr>
            <w:r w:rsidRPr="004B104E">
              <w:rPr>
                <w:b/>
                <w:i/>
              </w:rPr>
              <w:t>—</w:t>
            </w:r>
            <w:r w:rsidRPr="004B104E">
              <w:rPr>
                <w:b/>
                <w:i/>
              </w:rPr>
              <w:tab/>
              <w:t xml:space="preserve">το όνομα και τον αριθμό </w:t>
            </w:r>
            <w:r w:rsidRPr="004B104E">
              <w:rPr>
                <w:b/>
                <w:i/>
              </w:rPr>
              <w:t>ICCAT του ιχθυοτροφείου,</w:t>
            </w:r>
          </w:p>
        </w:tc>
        <w:tc>
          <w:tcPr>
            <w:tcW w:w="4876" w:type="dxa"/>
          </w:tcPr>
          <w:p w:rsidR="00714966" w:rsidRPr="004B104E" w:rsidRDefault="00714966">
            <w:pPr>
              <w:pStyle w:val="Normal6"/>
              <w:rPr>
                <w:szCs w:val="24"/>
              </w:rPr>
            </w:pPr>
          </w:p>
        </w:tc>
      </w:tr>
      <w:tr w:rsidR="00B82744" w:rsidRPr="004B104E" w:rsidTr="00714966">
        <w:trPr>
          <w:jc w:val="center"/>
        </w:trPr>
        <w:tc>
          <w:tcPr>
            <w:tcW w:w="4876" w:type="dxa"/>
            <w:hideMark/>
          </w:tcPr>
          <w:p w:rsidR="00714966" w:rsidRPr="004B104E" w:rsidRDefault="00AB08CD">
            <w:pPr>
              <w:pStyle w:val="Normal6"/>
            </w:pPr>
            <w:r w:rsidRPr="004B104E">
              <w:rPr>
                <w:b/>
                <w:i/>
              </w:rPr>
              <w:t>—</w:t>
            </w:r>
            <w:r w:rsidRPr="004B104E">
              <w:rPr>
                <w:b/>
                <w:i/>
              </w:rPr>
              <w:tab/>
              <w:t>τον αριθμό του κλωβού και</w:t>
            </w:r>
          </w:p>
        </w:tc>
        <w:tc>
          <w:tcPr>
            <w:tcW w:w="4876" w:type="dxa"/>
          </w:tcPr>
          <w:p w:rsidR="00714966" w:rsidRPr="004B104E" w:rsidRDefault="00714966">
            <w:pPr>
              <w:pStyle w:val="Normal6"/>
              <w:rPr>
                <w:szCs w:val="24"/>
              </w:rPr>
            </w:pPr>
          </w:p>
        </w:tc>
      </w:tr>
      <w:tr w:rsidR="00B82744" w:rsidRPr="004B104E" w:rsidTr="00714966">
        <w:trPr>
          <w:jc w:val="center"/>
        </w:trPr>
        <w:tc>
          <w:tcPr>
            <w:tcW w:w="4876" w:type="dxa"/>
            <w:hideMark/>
          </w:tcPr>
          <w:p w:rsidR="00714966" w:rsidRPr="004B104E" w:rsidRDefault="00AB08CD">
            <w:pPr>
              <w:pStyle w:val="Normal6"/>
            </w:pPr>
            <w:r w:rsidRPr="004B104E">
              <w:rPr>
                <w:b/>
                <w:i/>
              </w:rPr>
              <w:t>—</w:t>
            </w:r>
            <w:r w:rsidRPr="004B104E">
              <w:rPr>
                <w:b/>
                <w:i/>
              </w:rPr>
              <w:tab/>
              <w:t>τις πληροφορίες για τις συλλεγείσες ποσότητες (εκφρασμένες σε kg), μετά την ολοκλήρωση.</w:t>
            </w:r>
          </w:p>
        </w:tc>
        <w:tc>
          <w:tcPr>
            <w:tcW w:w="4876" w:type="dxa"/>
          </w:tcPr>
          <w:p w:rsidR="00714966" w:rsidRPr="004B104E" w:rsidRDefault="00714966">
            <w:pPr>
              <w:pStyle w:val="Normal6"/>
              <w:rPr>
                <w:szCs w:val="24"/>
              </w:rPr>
            </w:pPr>
          </w:p>
        </w:tc>
      </w:tr>
      <w:tr w:rsidR="00B82744" w:rsidRPr="004B104E" w:rsidTr="00714966">
        <w:trPr>
          <w:jc w:val="center"/>
        </w:trPr>
        <w:tc>
          <w:tcPr>
            <w:tcW w:w="4876" w:type="dxa"/>
            <w:hideMark/>
          </w:tcPr>
          <w:p w:rsidR="00714966" w:rsidRPr="004B104E" w:rsidRDefault="00AB08CD">
            <w:pPr>
              <w:pStyle w:val="Normal6"/>
            </w:pPr>
            <w:r w:rsidRPr="004B104E">
              <w:rPr>
                <w:b/>
                <w:i/>
              </w:rPr>
              <w:t>β)</w:t>
            </w:r>
            <w:r w:rsidRPr="004B104E">
              <w:rPr>
                <w:b/>
                <w:i/>
              </w:rPr>
              <w:tab/>
              <w:t xml:space="preserve">οι ποσότητες που μεταφέρονται σύμφωνα με την ανωτέρω παράγραφο τοποθετούνται στο ιχθυοτροφείο σε </w:t>
            </w:r>
            <w:r w:rsidRPr="004B104E">
              <w:rPr>
                <w:b/>
                <w:i/>
              </w:rPr>
              <w:t>χωριστούς κλωβούς ή σειρές κλωβών με βάση το έτος αλίευσης.»</w:t>
            </w:r>
          </w:p>
        </w:tc>
        <w:tc>
          <w:tcPr>
            <w:tcW w:w="4876" w:type="dxa"/>
          </w:tcPr>
          <w:p w:rsidR="00714966" w:rsidRPr="004B104E" w:rsidRDefault="00714966">
            <w:pPr>
              <w:pStyle w:val="Normal6"/>
              <w:rPr>
                <w:szCs w:val="24"/>
              </w:rPr>
            </w:pP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lastRenderedPageBreak/>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Διατάξεις που περιλαμβάνονται ήδη στον κανονισμό (EE) XX/2022 του Ευρωπαϊκού Κοινοβουλίου και του Συμβουλίου για τη θέσπιση πο</w:t>
      </w:r>
      <w:r w:rsidRPr="004B104E">
        <w:t>λυετούς σχεδίου διαχείρισης του ερυθρού τόνου στον Ανατολικό Ατλαντικό και 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37</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παράγραφος 1 – σημείο 1 α (νέο)</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w:t>
      </w:r>
      <w:r w:rsidRPr="004B104E">
        <w:t>ς (ΕΕ) ΧΧ/2023</w:t>
      </w:r>
      <w:r w:rsidRPr="004B104E">
        <w:rPr>
          <w:rStyle w:val="HideTWBExt"/>
        </w:rPr>
        <w:t>&lt;/DocAmend2&gt;</w:t>
      </w:r>
    </w:p>
    <w:p w:rsidR="00714966" w:rsidRPr="004B104E" w:rsidRDefault="00AB08CD" w:rsidP="00714966">
      <w:pPr>
        <w:keepNext/>
      </w:pPr>
      <w:r w:rsidRPr="004B104E">
        <w:rPr>
          <w:rStyle w:val="HideTWBExt"/>
        </w:rPr>
        <w:t>&lt;Article2&gt;</w:t>
      </w:r>
      <w:r w:rsidRPr="004B104E">
        <w:t>Άρθρο 8</w:t>
      </w:r>
      <w:r w:rsidRPr="004B104E">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1α)</w:t>
            </w:r>
            <w:r w:rsidRPr="004B104E">
              <w:rPr>
                <w:b/>
                <w:i/>
              </w:rPr>
              <w:tab/>
              <w:t>το άρθρο 8 αντικαθίσταται από 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«Άρθρο 8</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Μεταφορά αχρησιμοποίητων ποσοστώσεων</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Όταν το κράτος μέλος διαβιβάζει το ετήσιο σχέδιο αλιείας του</w:t>
            </w:r>
            <w:r w:rsidRPr="004B104E">
              <w:rPr>
                <w:b/>
                <w:i/>
              </w:rPr>
              <w:t xml:space="preserve"> μπορεί να προσθέσει κάθε αχρησιμοποίητο τμήμα της ετήσιας ποσόστωσης / του ορίου αλιευμάτων του στην ποσόστωση / στο όριο αλιευμάτων αντιστοίχως του επόμενου έτους.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w:t>
            </w:r>
            <w:r w:rsidRPr="004B104E">
              <w:rPr>
                <w:b/>
                <w:i/>
              </w:rPr>
              <w:tab/>
              <w:t>Η ανώτατη αχρησιμοποίητη ποσότητα ερυθρού τόνου που μπορεί να μεταφέρει ένα κράτος μέ</w:t>
            </w:r>
            <w:r w:rsidRPr="004B104E">
              <w:rPr>
                <w:b/>
                <w:i/>
              </w:rPr>
              <w:t>λος σε ένα δεδομένο έτος δεν μπορεί να υπερβαίνει το ποσό που επιτρέπεται από την ICCAT για το συγκεκριμένο έτος.»</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Η σύσταση 22-08 της ICCAT τροποποιεί τη σύσταση 21-08 για τη θέσπιση πολυ</w:t>
      </w:r>
      <w:r w:rsidRPr="004B104E">
        <w:t>ετούς σχεδίου αποκατάστασης του ερυθρού τόνου στον Ανατολικό Ατλαντικό και 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lastRenderedPageBreak/>
        <w:t>&lt;Amend&gt;</w:t>
      </w:r>
      <w:r w:rsidRPr="004B104E">
        <w:t>Τροπολογία</w:t>
      </w:r>
      <w:r w:rsidRPr="004B104E">
        <w:tab/>
      </w:r>
      <w:r w:rsidRPr="004B104E">
        <w:tab/>
      </w:r>
      <w:r w:rsidRPr="004B104E">
        <w:rPr>
          <w:rStyle w:val="HideTWBExt"/>
        </w:rPr>
        <w:t>&lt;NumAm&gt;</w:t>
      </w:r>
      <w:r w:rsidRPr="004B104E">
        <w:t>38</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παράγραφος 1 – σημείο 1 β (νέο)</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w:t>
      </w:r>
      <w:r w:rsidRPr="004B104E">
        <w:t xml:space="preserve">ς (ΕΕ) ΧΧ/2023 </w:t>
      </w:r>
      <w:r w:rsidRPr="004B104E">
        <w:rPr>
          <w:rStyle w:val="HideTWBExt"/>
        </w:rPr>
        <w:t>&lt;/DocAmend2&gt;</w:t>
      </w:r>
    </w:p>
    <w:p w:rsidR="00714966" w:rsidRPr="004B104E" w:rsidRDefault="00AB08CD" w:rsidP="00714966">
      <w:pPr>
        <w:keepNext/>
      </w:pPr>
      <w:r w:rsidRPr="004B104E">
        <w:rPr>
          <w:rStyle w:val="HideTWBExt"/>
        </w:rPr>
        <w:t>&lt;Article2&gt;</w:t>
      </w:r>
      <w:r w:rsidRPr="004B104E">
        <w:t>Άρθρο 14 – εισαγωγικό μέρος</w:t>
      </w:r>
      <w:r w:rsidRPr="004B104E">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b/>
                <w:i/>
              </w:rPr>
            </w:pPr>
            <w:r w:rsidRPr="004B104E">
              <w:rPr>
                <w:b/>
                <w:i/>
              </w:rPr>
              <w:t>1β)</w:t>
            </w:r>
            <w:r w:rsidRPr="004B104E">
              <w:rPr>
                <w:b/>
                <w:i/>
              </w:rPr>
              <w:tab/>
              <w:t>Στο άρθρο 14 το εισαγωγικό μέρος αντικαθίσταται από 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 xml:space="preserve">«Τα κράτη μέλη με ποσόστωση ερυθρού τόνου θεσπίζουν ετήσιο σχέδιο </w:t>
            </w:r>
            <w:r w:rsidRPr="004B104E">
              <w:rPr>
                <w:b/>
                <w:i/>
              </w:rPr>
              <w:t>παρακολούθησης, ελέγχου και επιθεώρησης με σκοπό τη διασφάλιση της συμμόρφωσης με τον παρόντα κανονισμό. Κάθε κράτος μέλος υποβάλλει το αντίστοιχο σχέδιό του στην Επιτροπή. Κάθε κράτος μέλος θεσπίζει το σχέδιό του σύμφωνα με:»</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w:t>
      </w:r>
      <w:r w:rsidRPr="004B104E">
        <w:rPr>
          <w:rStyle w:val="HideTWBExt"/>
          <w:noProof w:val="0"/>
        </w:rPr>
        <w:t>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Η σύσταση 22-08 της ICCAT τροποποιεί τη σύσταση 21-08 για τη θέσπιση πολυετούς σχεδίου αποκατάστασης του ερυθρού τόνου στον Ανατολικό Ατλαντικό και 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39</w:t>
      </w:r>
      <w:r w:rsidRPr="004B104E">
        <w:rPr>
          <w:rStyle w:val="HideTWBExt"/>
        </w:rPr>
        <w:t>&lt;/NumAm&gt;</w:t>
      </w:r>
    </w:p>
    <w:p w:rsidR="00714966" w:rsidRPr="004B104E" w:rsidRDefault="00AB08CD" w:rsidP="00714966">
      <w:pPr>
        <w:pStyle w:val="NormalBold12b"/>
        <w:keepNext/>
      </w:pPr>
      <w:r w:rsidRPr="004B104E">
        <w:rPr>
          <w:rStyle w:val="HideTWBExt"/>
        </w:rPr>
        <w:t>&lt;DocAmend</w:t>
      </w:r>
      <w:r w:rsidRPr="004B104E">
        <w:rPr>
          <w:rStyle w:val="HideTWBExt"/>
        </w:rPr>
        <w:t>&gt;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παράγραφος 1 – σημείο 1 γ (νέο)</w:t>
      </w:r>
      <w:r w:rsidRPr="004B104E">
        <w:rPr>
          <w:rStyle w:val="HideTWBExt"/>
        </w:rPr>
        <w:t>&lt;/Article&gt;</w:t>
      </w:r>
    </w:p>
    <w:p w:rsidR="00714966" w:rsidRPr="004B104E" w:rsidRDefault="00AB08CD" w:rsidP="00714966">
      <w:pPr>
        <w:keepNext/>
      </w:pPr>
      <w:r w:rsidRPr="004B104E">
        <w:rPr>
          <w:rStyle w:val="HideTWBExt"/>
        </w:rPr>
        <w:t>&lt;DocAmend2&gt;</w:t>
      </w:r>
      <w:r w:rsidRPr="004B104E">
        <w:t xml:space="preserve">Κανονισμός (ΕΕ) ΧΧ/2023 </w:t>
      </w:r>
      <w:r w:rsidRPr="004B104E">
        <w:rPr>
          <w:rStyle w:val="HideTWBExt"/>
        </w:rPr>
        <w:t>&lt;/DocAmend2&gt;</w:t>
      </w:r>
    </w:p>
    <w:p w:rsidR="00714966" w:rsidRPr="004B104E" w:rsidRDefault="00AB08CD" w:rsidP="00714966">
      <w:pPr>
        <w:keepNext/>
      </w:pPr>
      <w:r w:rsidRPr="004B104E">
        <w:rPr>
          <w:rStyle w:val="HideTWBExt"/>
        </w:rPr>
        <w:t>&lt;Article2&gt;</w:t>
      </w:r>
      <w:r w:rsidRPr="004B104E">
        <w:t>Άρθρο 15 – παράγραφοι 6 και 7</w:t>
      </w:r>
      <w:r w:rsidRPr="004B104E">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1γ)</w:t>
            </w:r>
            <w:r w:rsidRPr="004B104E">
              <w:rPr>
                <w:b/>
                <w:i/>
              </w:rPr>
              <w:tab/>
              <w:t xml:space="preserve">το άρθρο 15 τροποποιείται ως </w:t>
            </w:r>
            <w:r w:rsidRPr="004B104E">
              <w:rPr>
                <w:b/>
                <w:i/>
              </w:rPr>
              <w:t>εξής: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w:t>
            </w:r>
            <w:r w:rsidRPr="004B104E">
              <w:rPr>
                <w:b/>
                <w:i/>
              </w:rPr>
              <w:tab/>
              <w:t>η παράγραφος 6 αντικαθίσταται από 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«6.</w:t>
            </w:r>
            <w:r w:rsidRPr="004B104E">
              <w:rPr>
                <w:b/>
                <w:i/>
              </w:rPr>
              <w:tab/>
              <w:t xml:space="preserve">Τα κράτη μέλη υποβάλλουν στην Επιτροπή στατιστικά στοιχεία σχετικά με το ετήσιο ποσό εγκλωβισμού (εισροή ιχθύων ελεύθερης αλιείας), εξαλίευσης και εξαγωγής, η οποία διαβιβάζει τα </w:t>
            </w:r>
            <w:r w:rsidRPr="004B104E">
              <w:rPr>
                <w:b/>
                <w:i/>
              </w:rPr>
              <w:lastRenderedPageBreak/>
              <w:t>δεδομ</w:t>
            </w:r>
            <w:r w:rsidRPr="004B104E">
              <w:rPr>
                <w:b/>
                <w:i/>
              </w:rPr>
              <w:t>ένα στη γραμματεία της ICCAT, έως ότου η γραμματεία της ICCAT να αναπτύξει λειτουργική δυνατότητα εξαγωγής δεδομένων στο σύστημα eBCD και να καταστεί διαθέσιμη η εν λόγω δυνατότητα.»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β)</w:t>
            </w:r>
            <w:r w:rsidRPr="004B104E">
              <w:rPr>
                <w:b/>
                <w:i/>
              </w:rPr>
              <w:tab/>
              <w:t>η παράγραφος 7 αντικαθίσταται από 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«7.</w:t>
            </w:r>
            <w:r w:rsidRPr="004B104E">
              <w:rPr>
                <w:b/>
                <w:i/>
              </w:rPr>
              <w:tab/>
              <w:t xml:space="preserve">Κατά </w:t>
            </w:r>
            <w:r w:rsidRPr="004B104E">
              <w:rPr>
                <w:b/>
                <w:i/>
              </w:rPr>
              <w:t>περίπτωση, τα κράτη μέλη υποβάλλουν αναθεωρημένα σχέδια διαχείρισης εκτροφής στην Επιτροπή έως την 15η Μαΐου κάθε έτους, τα οποία διαβιβάζονται στη γραμματεία της ICCAT έως την 1η Ιουνίου κάθε έτους.»</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Η σύσταση 22-08 της ICCAT τροποποιεί τη σύσταση 21-08 για τη θέσπιση πολυετούς σχεδίου αποκατάστασης του ερυθρού τόνου στον Ανατολικό Ατλαντικό και 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40</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w:t>
      </w:r>
      <w:r w:rsidRPr="004B104E">
        <w:rPr>
          <w:rStyle w:val="HideTWBExt"/>
        </w:rPr>
        <w:t>end&gt;</w:t>
      </w:r>
    </w:p>
    <w:p w:rsidR="00714966" w:rsidRPr="004B104E" w:rsidRDefault="00AB08CD" w:rsidP="00714966">
      <w:pPr>
        <w:pStyle w:val="NormalBold"/>
      </w:pPr>
      <w:r w:rsidRPr="004B104E">
        <w:rPr>
          <w:rStyle w:val="HideTWBExt"/>
        </w:rPr>
        <w:t>&lt;Article&gt;</w:t>
      </w:r>
      <w:r w:rsidRPr="004B104E">
        <w:t>Άρθρο 2 – παράγραφος 1 – σημείο 1 δ (νέο)</w:t>
      </w:r>
      <w:r w:rsidRPr="004B104E">
        <w:rPr>
          <w:rStyle w:val="HideTWBExt"/>
        </w:rPr>
        <w:t>&lt;/Article&gt;</w:t>
      </w:r>
    </w:p>
    <w:p w:rsidR="00714966" w:rsidRPr="004B104E" w:rsidRDefault="00AB08CD" w:rsidP="00714966">
      <w:pPr>
        <w:keepNext/>
      </w:pPr>
      <w:r w:rsidRPr="004B104E">
        <w:rPr>
          <w:rStyle w:val="HideTWBExt"/>
        </w:rPr>
        <w:t>&lt;DocAmend2&gt;</w:t>
      </w:r>
      <w:r w:rsidRPr="004B104E">
        <w:t xml:space="preserve">Κανονισμός (ΕΕ) ΧΧ/2023 </w:t>
      </w:r>
      <w:r w:rsidRPr="004B104E">
        <w:rPr>
          <w:rStyle w:val="HideTWBExt"/>
        </w:rPr>
        <w:t>&lt;/DocAmend2&gt;</w:t>
      </w:r>
    </w:p>
    <w:p w:rsidR="00714966" w:rsidRPr="004B104E" w:rsidRDefault="00AB08CD" w:rsidP="00714966">
      <w:pPr>
        <w:pStyle w:val="NormalBold"/>
      </w:pPr>
      <w:r w:rsidRPr="004B104E">
        <w:rPr>
          <w:rStyle w:val="HideTWBExt"/>
        </w:rPr>
        <w:t>&lt;Article2&gt;</w:t>
      </w:r>
      <w:r w:rsidRPr="004B104E">
        <w:rPr>
          <w:b w:val="0"/>
        </w:rPr>
        <w:t>Άρθρο 17 – παράγραφος 5</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1δ)</w:t>
            </w:r>
            <w:r w:rsidRPr="004B104E">
              <w:rPr>
                <w:b/>
                <w:i/>
              </w:rPr>
              <w:tab/>
              <w:t xml:space="preserve">στο άρθρο 17, η παράγραφος 5 αντικαθίσταται από το ακόλουθο </w:t>
            </w:r>
            <w:r w:rsidRPr="004B104E">
              <w:rPr>
                <w:b/>
                <w:i/>
              </w:rPr>
              <w:t>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«5.</w:t>
            </w:r>
            <w:r w:rsidRPr="004B104E">
              <w:rPr>
                <w:b/>
                <w:i/>
              </w:rPr>
              <w:tab/>
              <w:t xml:space="preserve">Η αλιεία ερυθρού τόνου στον Ανατολικό Ατλαντικό και στη Μεσόγειο Θάλασσα από μεγάλα αλιευτικά πελαγικά παραγαδιάρικα σκάφη με συνολικό μήκος άνω των 24 μέτρων επιτρέπεται κατά την περίοδο από 1 Ιανουαρίου έως 31 Μαΐου, με εξαίρεση την </w:t>
            </w:r>
            <w:r w:rsidRPr="004B104E">
              <w:rPr>
                <w:b/>
                <w:i/>
              </w:rPr>
              <w:t>περιοχή που οριοθετείται δυτικά του γεωγραφικού μήκους 10° δυτικά και βόρεια του γεωγραφικού πλάτους 42° βόρεια.»</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lastRenderedPageBreak/>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Η σύσταση 22-08 της ICCAT τροποποιεί τη σύσταση 21-08 για τη θέσπιση πολυε</w:t>
      </w:r>
      <w:r w:rsidRPr="004B104E">
        <w:t>τούς σχεδίου αποκατάστασης του ερυθρού τόνου στον Ανατολικό Ατλαντικό και 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41</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παράγραφος 1 – σημείο 1 ε (νέο)</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w:t>
      </w:r>
      <w:r w:rsidRPr="004B104E">
        <w:t xml:space="preserve"> (ΕΕ) ΧΧ/2023 </w:t>
      </w:r>
      <w:r w:rsidRPr="004B104E">
        <w:rPr>
          <w:rStyle w:val="HideTWBExt"/>
        </w:rPr>
        <w:t>&lt;/DocAmend2&gt;</w:t>
      </w:r>
    </w:p>
    <w:p w:rsidR="00714966" w:rsidRPr="004B104E" w:rsidRDefault="00AB08CD" w:rsidP="00714966">
      <w:pPr>
        <w:pStyle w:val="NormalBold"/>
        <w:rPr>
          <w:b w:val="0"/>
        </w:rPr>
      </w:pPr>
      <w:r w:rsidRPr="004B104E">
        <w:rPr>
          <w:rStyle w:val="HideTWBExt"/>
        </w:rPr>
        <w:t>&lt;Article2&gt;</w:t>
      </w:r>
      <w:r w:rsidRPr="004B104E">
        <w:rPr>
          <w:b w:val="0"/>
        </w:rPr>
        <w:t>Άρθρο 21 α (νέο)</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1ε)</w:t>
            </w:r>
            <w:r w:rsidRPr="004B104E">
              <w:rPr>
                <w:b/>
                <w:i/>
              </w:rPr>
              <w:tab/>
              <w:t>προστίθεται το ακόλουθο άρθρο: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«Άρθρο 21α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Απαγόρευση διατήρησης ερυθρού τόνου επί των σκαφών υποστήριξης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 xml:space="preserve">Τα σκάφη υποστήριξης δεν διατηρούν επ’ αυτών </w:t>
            </w:r>
            <w:r w:rsidRPr="004B104E">
              <w:rPr>
                <w:b/>
                <w:i/>
              </w:rPr>
              <w:t>ούτε μεταφέρουν ερυθρό τόνο.»</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Η σύσταση 22-08 της ICCAT τροποποιεί τη σύσταση 21-08 για τη θέσπιση πολυετούς σχεδίου αποκατάστασης του ερυθρού τόνου στον Ανατολικό Ατλαντικό και στη Μεσόγε</w:t>
      </w:r>
      <w:r w:rsidRPr="004B104E">
        <w:t>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42</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παράγραφος 1 – σημείο 1 στ (νέο)</w:t>
      </w:r>
      <w:r w:rsidRPr="004B104E">
        <w:rPr>
          <w:rStyle w:val="HideTWBExt"/>
        </w:rPr>
        <w:t>&lt;/Article&gt;</w:t>
      </w:r>
    </w:p>
    <w:p w:rsidR="00714966" w:rsidRPr="004B104E" w:rsidRDefault="00AB08CD" w:rsidP="00714966">
      <w:pPr>
        <w:keepNext/>
      </w:pPr>
      <w:r w:rsidRPr="004B104E">
        <w:rPr>
          <w:rStyle w:val="HideTWBExt"/>
        </w:rPr>
        <w:t>&lt;DocAmend2&gt;</w:t>
      </w:r>
      <w:r w:rsidRPr="004B104E">
        <w:t xml:space="preserve">Κανονισμός (ΕΕ) ΧΧ/2023 </w:t>
      </w:r>
      <w:r w:rsidRPr="004B104E">
        <w:rPr>
          <w:rStyle w:val="HideTWBExt"/>
        </w:rPr>
        <w:t>&lt;/DocAmend2&gt;</w:t>
      </w:r>
    </w:p>
    <w:p w:rsidR="00714966" w:rsidRPr="004B104E" w:rsidRDefault="00AB08CD" w:rsidP="00714966">
      <w:pPr>
        <w:keepNext/>
      </w:pPr>
      <w:r w:rsidRPr="004B104E">
        <w:rPr>
          <w:rStyle w:val="HideTWBExt"/>
        </w:rPr>
        <w:t>&lt;Article2&gt;</w:t>
      </w:r>
      <w:r w:rsidRPr="004B104E">
        <w:t>Άρθρο 24</w:t>
      </w:r>
      <w:r w:rsidRPr="004B104E">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1στ)</w:t>
            </w:r>
            <w:r w:rsidRPr="004B104E">
              <w:rPr>
                <w:b/>
                <w:i/>
              </w:rPr>
              <w:tab/>
              <w:t>το άρθρο 24 τροποποιείται ως εξής: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w:t>
            </w:r>
            <w:r w:rsidRPr="004B104E">
              <w:rPr>
                <w:b/>
                <w:i/>
              </w:rPr>
              <w:tab/>
              <w:t>η παράγραφος 3 αντικαθίσταται από 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w:t>
            </w:r>
            <w:r w:rsidRPr="004B104E">
              <w:rPr>
                <w:b/>
                <w:i/>
              </w:rPr>
              <w:tab/>
              <w:t xml:space="preserve">Η εμπορία ή πώληση ερυθρού τόνου που αλιεύεται στο πλαίσιο </w:t>
            </w:r>
            <w:r w:rsidRPr="004B104E">
              <w:rPr>
                <w:b/>
                <w:i/>
              </w:rPr>
              <w:lastRenderedPageBreak/>
              <w:t>ερασιτεχνικής αλιείας απαγορεύεται.»·</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β)</w:t>
            </w:r>
            <w:r w:rsidRPr="004B104E">
              <w:rPr>
                <w:b/>
                <w:i/>
              </w:rPr>
              <w:tab/>
              <w:t xml:space="preserve">η παράγραφος 4 αντικαθίσταται από </w:t>
            </w:r>
            <w:r w:rsidRPr="004B104E">
              <w:rPr>
                <w:b/>
                <w:i/>
              </w:rPr>
              <w:t>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«4.</w:t>
            </w:r>
            <w:r w:rsidRPr="004B104E">
              <w:rPr>
                <w:b/>
                <w:i/>
              </w:rPr>
              <w:tab/>
              <w:t>Τα κράτη μέλη καταγράφουν τα δεδομένα αλιεύματος, συμπεριλαμβανομένου του βάρους κάθε ερυθρού τόνου που αλιεύθηκε στο πλαίσιο ερασιτεχνικής αλιείας, και κοινοποιούν τα δεδομένα για το προηγούμενο έτος στην Επιτροπή έως τις 30 Ιου</w:t>
            </w:r>
            <w:r w:rsidRPr="004B104E">
              <w:rPr>
                <w:b/>
                <w:i/>
              </w:rPr>
              <w:t>νίου κάθε έτους. Η Επιτροπή διαβιβάζει τις πληροφορίες αυτές στη γραμματεία της ICCAT χωρίς καθυστέρηση.»·</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γ)</w:t>
            </w:r>
            <w:r w:rsidRPr="004B104E">
              <w:rPr>
                <w:b/>
                <w:i/>
              </w:rPr>
              <w:tab/>
              <w:t>η παράγραφος 5 αντικαθίσταται από 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«5.</w:t>
            </w:r>
            <w:r w:rsidRPr="004B104E">
              <w:rPr>
                <w:b/>
                <w:i/>
              </w:rPr>
              <w:tab/>
              <w:t xml:space="preserve">Τα κράτη μέλη λαμβάνουν τα αναγκαία μέτρα για να διασφαλιστεί, στον μέγιστο δυνατό </w:t>
            </w:r>
            <w:r w:rsidRPr="004B104E">
              <w:rPr>
                <w:b/>
                <w:i/>
              </w:rPr>
              <w:t>βαθμό, η απελευθέρωση του ερυθρού τόνου, ιδίως των ιχθυδίων, που αλιεύεται ζωντανός στο πλαίσιο ερασιτεχνικής αλιείας. Όλοι οι ερυθροί τόνοι που εκφορτώνονται πρέπει να είναι ολόκληροι, χωρίς βράγχια και/ή εντόσθια.»</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Η σύσταση 22-08 της ICCAT τροποποιεί τη σύσταση 21-08 για τη θέσπιση πολυετούς σχεδίου αποκατάστασης του ερυθρού τόνου στον Ανατολικό Ατλαντικό και 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43</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w:t>
      </w:r>
      <w:r w:rsidRPr="004B104E">
        <w:t>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παράγραφος 1 – σημείο 1 ζ (νέο)</w:t>
      </w:r>
      <w:r w:rsidRPr="004B104E">
        <w:rPr>
          <w:rStyle w:val="HideTWBExt"/>
        </w:rPr>
        <w:t>&lt;/Article&gt;</w:t>
      </w:r>
    </w:p>
    <w:p w:rsidR="00714966" w:rsidRPr="004B104E" w:rsidRDefault="00AB08CD" w:rsidP="00714966">
      <w:pPr>
        <w:keepNext/>
      </w:pPr>
      <w:r w:rsidRPr="004B104E">
        <w:rPr>
          <w:rStyle w:val="HideTWBExt"/>
        </w:rPr>
        <w:t>&lt;DocAmend2&gt;</w:t>
      </w:r>
      <w:r w:rsidRPr="004B104E">
        <w:t xml:space="preserve">Κανονισμός (ΕΕ) ΧΧ/2023 </w:t>
      </w:r>
      <w:r w:rsidRPr="004B104E">
        <w:rPr>
          <w:rStyle w:val="HideTWBExt"/>
        </w:rPr>
        <w:t>&lt;/DocAmend2&gt;</w:t>
      </w:r>
    </w:p>
    <w:p w:rsidR="00714966" w:rsidRPr="004B104E" w:rsidRDefault="00AB08CD" w:rsidP="00714966">
      <w:r w:rsidRPr="004B104E">
        <w:rPr>
          <w:rStyle w:val="HideTWBExt"/>
        </w:rPr>
        <w:t>&lt;Article2&gt;</w:t>
      </w:r>
      <w:r w:rsidRPr="004B104E">
        <w:t>Άρθρο 26 – παράγραφος 1</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1ζ)</w:t>
            </w:r>
            <w:r w:rsidRPr="004B104E">
              <w:rPr>
                <w:b/>
                <w:i/>
              </w:rPr>
              <w:tab/>
              <w:t xml:space="preserve">Το άρθρο 26 παράγραφος 1 αντικαθίσταται </w:t>
            </w:r>
            <w:r w:rsidRPr="004B104E">
              <w:rPr>
                <w:b/>
                <w:i/>
              </w:rPr>
              <w:t>από 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 xml:space="preserve">Κάθε έτος και έναν μήνα πριν από την έναρξη της περιόδου χορήγησης </w:t>
            </w:r>
            <w:r w:rsidRPr="004B104E">
              <w:rPr>
                <w:b/>
                <w:i/>
              </w:rPr>
              <w:lastRenderedPageBreak/>
              <w:t>άδειας, τα κράτη μέλη υποβάλλουν τις πληροφορίες που ορίζονται στο παράρτημα XVI για τους ακόλουθους καταλόγους σκαφών:</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w:t>
            </w:r>
            <w:r w:rsidRPr="004B104E">
              <w:rPr>
                <w:b/>
                <w:i/>
              </w:rPr>
              <w:tab/>
              <w:t xml:space="preserve">όλα τα σκάφη αλίευσης που </w:t>
            </w:r>
            <w:r w:rsidRPr="004B104E">
              <w:rPr>
                <w:b/>
                <w:i/>
              </w:rPr>
              <w:t>δραστηριοποιούνται ενεργά στην αλιεία ερυθρού τόνου· και</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β)</w:t>
            </w:r>
            <w:r w:rsidRPr="004B104E">
              <w:rPr>
                <w:b/>
                <w:i/>
              </w:rPr>
              <w:tab/>
              <w:t>όλα τα λοιπά σκάφη που συμμετέχουν σε δραστηριότητες σχετικές με τον ερυθρό τόνο, εκτός των σκαφών αλίευσης.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Η Επιτροπή διαβιβάζει τις εν λόγω πληροφορίες στη γραμματεία της ICCAT 15 ημέρες πρ</w:t>
            </w:r>
            <w:r w:rsidRPr="004B104E">
              <w:rPr>
                <w:b/>
                <w:i/>
              </w:rPr>
              <w:t>ιν από την έναρξη της αλιευτικής δραστηριότητας, ώστε να είναι δυνατόν τα εν λόγω σκάφη να καταχωρισθούν στο μητρώο αδειοδοτημένων σκαφών της ICCAT και, κατά περίπτωση, στο μητρώο σκαφών συνολικού μήκους τουλάχιστον 20 μέτρων της ICCAT, τα οποία έχουν άδει</w:t>
            </w:r>
            <w:r w:rsidRPr="004B104E">
              <w:rPr>
                <w:b/>
                <w:i/>
              </w:rPr>
              <w:t>α να ασκούν δραστηριότητες στη ζώνη της σύμβασης.</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 xml:space="preserve">Η σύσταση 22-08 της ICCAT τροποποιεί τη σύσταση 21-08 για τη θέσπιση πολυετούς σχεδίου αποκατάστασης του ερυθρού τόνου στον Ανατολικό </w:t>
      </w:r>
      <w:r w:rsidRPr="004B104E">
        <w:t>Ατλαντικό και 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44</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εδάφιο 1 – σημείο 1 η (νέο)</w:t>
      </w:r>
      <w:r w:rsidRPr="004B104E">
        <w:rPr>
          <w:rStyle w:val="HideTWBExt"/>
        </w:rPr>
        <w:t>&lt;/Article&gt;</w:t>
      </w:r>
    </w:p>
    <w:p w:rsidR="00714966" w:rsidRPr="004B104E" w:rsidRDefault="00AB08CD" w:rsidP="00714966">
      <w:pPr>
        <w:keepNext/>
      </w:pPr>
      <w:r w:rsidRPr="004B104E">
        <w:rPr>
          <w:rStyle w:val="HideTWBExt"/>
        </w:rPr>
        <w:t>&lt;DocAmend2&gt;</w:t>
      </w:r>
      <w:r w:rsidRPr="004B104E">
        <w:t xml:space="preserve">Κανονισμός (ΕΕ) ΧΧ/2023 </w:t>
      </w:r>
      <w:r w:rsidRPr="004B104E">
        <w:rPr>
          <w:rStyle w:val="HideTWBExt"/>
        </w:rPr>
        <w:t>&lt;/DocAmend2&gt;</w:t>
      </w:r>
    </w:p>
    <w:p w:rsidR="00714966" w:rsidRPr="004B104E" w:rsidRDefault="00AB08CD" w:rsidP="00714966">
      <w:pPr>
        <w:pStyle w:val="NormalBold"/>
        <w:rPr>
          <w:b w:val="0"/>
        </w:rPr>
      </w:pPr>
      <w:r w:rsidRPr="004B104E">
        <w:rPr>
          <w:rStyle w:val="HideTWBExt"/>
        </w:rPr>
        <w:t>&lt;Article2&gt;</w:t>
      </w:r>
      <w:r w:rsidRPr="004B104E">
        <w:rPr>
          <w:b w:val="0"/>
        </w:rPr>
        <w:t>Άρθρο 27 – παράγραφος 2</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1η)</w:t>
            </w:r>
            <w:r w:rsidRPr="004B104E">
              <w:rPr>
                <w:b/>
                <w:i/>
              </w:rPr>
              <w:tab/>
              <w:t>στο άρθρο 27, η παράγραφος 2 αντικαθίσταται από 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w:t>
            </w:r>
            <w:r w:rsidRPr="004B104E">
              <w:rPr>
                <w:b/>
                <w:i/>
              </w:rPr>
              <w:tab/>
              <w:t xml:space="preserve">Με την επιφύλαξη του άρθρου 20 παράγραφος 6, τα ενωσιακά αλιευτικά σκάφη που δεν έχουν εγγραφεί στα </w:t>
            </w:r>
            <w:r w:rsidRPr="004B104E">
              <w:rPr>
                <w:b/>
                <w:i/>
              </w:rPr>
              <w:lastRenderedPageBreak/>
              <w:t xml:space="preserve">μητρώα της ICCAT που αναφέρονται </w:t>
            </w:r>
            <w:r w:rsidRPr="004B104E">
              <w:rPr>
                <w:b/>
                <w:i/>
              </w:rPr>
              <w:t>στο άρθρο 26 θεωρείται ότι δεν έχουν άδεια να αλιεύουν, να διατηρούν επί του σκάφους, να μεταφορτώνουν, να μεταφέρουν, να μεταβιβάζουν, να μεταποιούν ή να εκφορτώνουν ερυθρό τόνο στον Ανατολικό Ατλαντικό και στη Μεσόγειο.»</w:t>
            </w:r>
          </w:p>
        </w:tc>
      </w:tr>
    </w:tbl>
    <w:p w:rsidR="00714966" w:rsidRPr="004B104E" w:rsidRDefault="00AB08CD" w:rsidP="00714966">
      <w:pPr>
        <w:pStyle w:val="Olang"/>
      </w:pPr>
      <w:r w:rsidRPr="004B104E">
        <w:lastRenderedPageBreak/>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Οι παραπομπές στα άρθρα επικαιροποιήθηκαν.</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45</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εδάφιο 1 – σημείο 1 θ (νέο)</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ΧΧ/2023</w:t>
      </w:r>
      <w:r w:rsidRPr="004B104E">
        <w:rPr>
          <w:rStyle w:val="HideTWBExt"/>
        </w:rPr>
        <w:t>&lt;</w:t>
      </w:r>
      <w:r w:rsidRPr="004B104E">
        <w:rPr>
          <w:rStyle w:val="HideTWBExt"/>
        </w:rPr>
        <w:t>/DocAmend2&gt;</w:t>
      </w:r>
    </w:p>
    <w:p w:rsidR="00714966" w:rsidRPr="004B104E" w:rsidRDefault="00AB08CD" w:rsidP="00714966">
      <w:r w:rsidRPr="004B104E">
        <w:rPr>
          <w:rStyle w:val="HideTWBExt"/>
        </w:rPr>
        <w:t>&lt;Article2&gt;</w:t>
      </w:r>
      <w:r w:rsidRPr="004B104E">
        <w:t>Άρθρο 28</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1θ)</w:t>
            </w:r>
            <w:r w:rsidRPr="004B104E">
              <w:rPr>
                <w:b/>
                <w:i/>
              </w:rPr>
              <w:tab/>
              <w:t>το άρθρο 28 τροποποιείται ως εξής: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w:t>
            </w:r>
            <w:r w:rsidRPr="004B104E">
              <w:rPr>
                <w:b/>
                <w:i/>
              </w:rPr>
              <w:tab/>
              <w:t>η παράγραφος 1 αντικαθίσταται από 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 xml:space="preserve">Τα κράτη μέλη υποβάλλουν ηλεκτρονικά στην Επιτροπή, στο πλαίσιο των οικείων </w:t>
            </w:r>
            <w:r w:rsidRPr="004B104E">
              <w:rPr>
                <w:b/>
                <w:i/>
              </w:rPr>
              <w:t>σχεδίων αλιείας, κατάλογο των διατάξεων παγίδευσης στις οποίες έχει χορηγηθεί άδεια να αλιεύουν ερυθρό τόνο στον Ανατολικό Ατλαντικό και στη Μεσόγειο, συμπεριλαμβανομένων των πληροφοριών που ορίζονται στο παράρτημα XVII. Η Επιτροπή διαβιβάζει τις εν λόγω π</w:t>
            </w:r>
            <w:r w:rsidRPr="004B104E">
              <w:rPr>
                <w:b/>
                <w:i/>
              </w:rPr>
              <w:t>ληροφορίες στη γραμματεία της ICCAT, προκειμένου οι εν λόγω διατάξεις παγίδευσης να εγγραφούν στο μητρώο της ICCAT για τις διατάξεις παγίδευσης που διαθέτουν άδεια αλίευσης ερυθρού τόνου.</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β)</w:t>
            </w:r>
            <w:r w:rsidRPr="004B104E">
              <w:rPr>
                <w:b/>
                <w:i/>
              </w:rPr>
              <w:tab/>
              <w:t>προστίθεται η ακόλουθη παράγραφος: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«5.</w:t>
            </w:r>
            <w:r w:rsidRPr="004B104E">
              <w:rPr>
                <w:b/>
                <w:i/>
              </w:rPr>
              <w:tab/>
              <w:t xml:space="preserve">Τα κράτη μέλη </w:t>
            </w:r>
            <w:r w:rsidRPr="004B104E">
              <w:rPr>
                <w:b/>
                <w:i/>
              </w:rPr>
              <w:t>κοινοποιούν στην Επιτροπή, μετά την κατάρτιση του μητρώου της ICCAT για τις διατάξεις παγίδευσης , κάθε διαγραφή και/ή τροποποίηση του εν λόγω μητρώου, οποτεδήποτε επέλθουν τέτοιου είδους αλλαγές. Η Επιτροπή θα κοινοποιήσει τις εν λόγω αλλαγές στη γραμματε</w:t>
            </w:r>
            <w:r w:rsidRPr="004B104E">
              <w:rPr>
                <w:b/>
                <w:i/>
              </w:rPr>
              <w:t>ία της ICCAT χωρίς καθυστέρηση."</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 xml:space="preserve">Η παράγραφος 1 επικαιροποιήθηκε με τη λέξη «ηλεκτρονικά» και με παραπομπή στο παράρτημα XVII (παράρτημα 14 της σύστασης 22-08). Η παράγραφος 5 μεταφέρεται </w:t>
      </w:r>
      <w:r w:rsidRPr="004B104E">
        <w:t>από τη σελίδα 12 της σύστασης 22-08.</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46</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εδάφιο 1 – σημείο 1 ι (νέο)</w:t>
      </w:r>
      <w:r w:rsidRPr="004B104E">
        <w:rPr>
          <w:rStyle w:val="HideTWBExt"/>
        </w:rPr>
        <w:t>&lt;/Article&gt;</w:t>
      </w:r>
    </w:p>
    <w:p w:rsidR="00714966" w:rsidRPr="004B104E" w:rsidRDefault="00AB08CD" w:rsidP="00714966">
      <w:pPr>
        <w:keepNext/>
      </w:pPr>
      <w:r w:rsidRPr="004B104E">
        <w:rPr>
          <w:rStyle w:val="HideTWBExt"/>
        </w:rPr>
        <w:t>&lt;DocAmend2&gt;</w:t>
      </w:r>
      <w:r w:rsidRPr="004B104E">
        <w:t xml:space="preserve">Κανονισμός (ΕΕ) ΧΧ/2023 </w:t>
      </w:r>
      <w:r w:rsidRPr="004B104E">
        <w:rPr>
          <w:rStyle w:val="HideTWBExt"/>
        </w:rPr>
        <w:t>&lt;/DocAmend2&gt;</w:t>
      </w:r>
    </w:p>
    <w:p w:rsidR="00714966" w:rsidRPr="004B104E" w:rsidRDefault="00AB08CD" w:rsidP="00714966">
      <w:r w:rsidRPr="004B104E">
        <w:rPr>
          <w:rStyle w:val="HideTWBExt"/>
        </w:rPr>
        <w:t>&lt;Article2&gt;</w:t>
      </w:r>
      <w:r w:rsidRPr="004B104E">
        <w:t>Άρθρο 28 α (νέο)</w:t>
      </w:r>
      <w:r w:rsidRPr="004B104E">
        <w:rPr>
          <w:rStyle w:val="HideTWBExt"/>
        </w:rPr>
        <w:t>&lt;/</w:t>
      </w:r>
      <w:r w:rsidRPr="004B104E">
        <w:rPr>
          <w:rStyle w:val="HideTWBExt"/>
        </w:rPr>
        <w: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1ι)</w:t>
            </w:r>
            <w:r w:rsidRPr="004B104E">
              <w:rPr>
                <w:b/>
                <w:i/>
              </w:rPr>
              <w:tab/>
              <w:t>προστίθεται το ακόλουθο άρθρο: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«Άρθρο 28a</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Μητρώο ιχθυοτροφείων</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 xml:space="preserve">Τα κράτη μέλη υποβάλλουν ηλεκτρονικά στην Επιτροπή, στο πλαίσιο των οικείων σχεδίων αλιείας, κατάλογο των ιχθυοτροφείων στα οποία έχει </w:t>
            </w:r>
            <w:r w:rsidRPr="004B104E">
              <w:rPr>
                <w:b/>
                <w:i/>
              </w:rPr>
              <w:t>χορηγηθεί άδεια να αλιεύουν ερυθρό τόνο στον Ανατολικό Ατλαντικό και στη Μεσόγειο, συμπεριλαμβανομένων των πληροφοριών που ορίζονται στο παράρτημα XVIII. Η Επιτροπή διαβιβάζει τις εν λόγω πληροφορίες στη γραμματεία της ICCAT, προκειμένου τα εν λόγω ιχθυοτρ</w:t>
            </w:r>
            <w:r w:rsidRPr="004B104E">
              <w:rPr>
                <w:b/>
                <w:i/>
              </w:rPr>
              <w:t>οφεία να εγγραφούν στο μητρώο ιχθυοτροφείων που διαθέτουν άδεια δραστηριοποίησης στην αλιεία ερυθρού τόνου της ICCAT.</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w:t>
            </w:r>
            <w:r w:rsidRPr="004B104E">
              <w:rPr>
                <w:b/>
                <w:i/>
              </w:rPr>
              <w:tab/>
              <w:t>Τα ιχθυοτροφεία τόνου που δεν έχουν εγγραφεί στο μητρώο ιχθυοτροφείων της ICCAT δεν θεωρούνται κάτοχοι άδειας για δραστηριοποίηση στη</w:t>
            </w:r>
            <w:r w:rsidRPr="004B104E">
              <w:rPr>
                <w:b/>
                <w:i/>
              </w:rPr>
              <w:t>ν αλιεία ερυθρού τόνου.</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w:t>
            </w:r>
            <w:r w:rsidRPr="004B104E">
              <w:rPr>
                <w:b/>
                <w:i/>
              </w:rPr>
              <w:tab/>
              <w:t>Οι δραστηριότητες εκτροφής, συμπεριλαμβανομένης της εκτροφής για πάχυνση ή της εξαλίευσης ερυθρού τόνου, δεν επιτρέπονται εκτός των γεωγραφικών συντεταγμένων που έχουν εγκριθεί για δραστηριότητες εκτροφής.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4.</w:t>
            </w:r>
            <w:r w:rsidRPr="004B104E">
              <w:rPr>
                <w:b/>
                <w:i/>
              </w:rPr>
              <w:tab/>
              <w:t>Τα κράτη μέλη κο</w:t>
            </w:r>
            <w:r w:rsidRPr="004B104E">
              <w:rPr>
                <w:b/>
                <w:i/>
              </w:rPr>
              <w:t>ινοποιούν αμέσως στην Επιτροπή κάθε προσθήκη, διαγραφή και/ή τροποποίηση του καταλόγου ιχθυοτροφείων, οποτεδήποτε επέλθουν οι εν λόγω αλλαγές. Η Επιτροπή διαβιβάζει τις πληροφορίες αυτές στη γραμματεία της ICCAT χωρίς καθυστέρηση.</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5.</w:t>
            </w:r>
            <w:r w:rsidRPr="004B104E">
              <w:rPr>
                <w:b/>
                <w:i/>
              </w:rPr>
              <w:tab/>
              <w:t>Τα κράτη μέλη λαμβάν</w:t>
            </w:r>
            <w:r w:rsidRPr="004B104E">
              <w:rPr>
                <w:b/>
                <w:i/>
              </w:rPr>
              <w:t>ουν τα αναγκαία μέτρα για να διασφαλίσουν ότι ο ερυθρός τόνος δεν τοποθετείται σε ιχθυοτροφεία που δεν αναγράφονται στο μητρώο ιχθυοτροφείων της ICCAT και ότι τα ιχθυοτροφεία δεν παραλαμβάνουν ερυθρό τόνο από σκάφη που δεν περιλαμβάνονται στο μητρώο σκαφών</w:t>
            </w:r>
            <w:r w:rsidRPr="004B104E">
              <w:rPr>
                <w:b/>
                <w:i/>
              </w:rPr>
              <w:t xml:space="preserve"> της ICCAT. Τα κράτη μέλη λαμβάνουν τα αναγκαία μέτρα για την απαγόρευση οποιασδήποτε δραστηριότητας σε ιχθυοτροφεία που δεν είναι καταχωρισμένα στο μητρώο ιχθυοτροφείων της ICCAT.</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 xml:space="preserve">Η </w:t>
      </w:r>
      <w:r w:rsidRPr="004B104E">
        <w:t>σύσταση 22-08 της ICCAT τροποποιεί τη σύσταση 21-08 για τη θέσπιση πολυετούς σχεδίου αποκατάστασης του ερυθρού τόνου στον Ανατολικό Ατλαντικό και 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47</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w:t>
      </w:r>
      <w:r w:rsidRPr="004B104E">
        <w:t>ρθρο 2 – παράγραφος 1 – σημείο 1 ια (νέο)</w:t>
      </w:r>
      <w:r w:rsidRPr="004B104E">
        <w:rPr>
          <w:rStyle w:val="HideTWBExt"/>
        </w:rPr>
        <w:t>&lt;/Article&gt;</w:t>
      </w:r>
    </w:p>
    <w:p w:rsidR="00714966" w:rsidRPr="004B104E" w:rsidRDefault="00AB08CD" w:rsidP="00714966">
      <w:pPr>
        <w:keepNext/>
      </w:pPr>
      <w:r w:rsidRPr="004B104E">
        <w:rPr>
          <w:rStyle w:val="HideTWBExt"/>
        </w:rPr>
        <w:lastRenderedPageBreak/>
        <w:t>&lt;DocAmend2&gt;</w:t>
      </w:r>
      <w:r w:rsidRPr="004B104E">
        <w:t xml:space="preserve">Κανονισμός (ΕΕ) ΧΧ/2023 </w:t>
      </w:r>
      <w:r w:rsidRPr="004B104E">
        <w:rPr>
          <w:rStyle w:val="HideTWBExt"/>
        </w:rPr>
        <w:t>&lt;/DocAmend2&gt;</w:t>
      </w:r>
    </w:p>
    <w:p w:rsidR="00714966" w:rsidRPr="004B104E" w:rsidRDefault="00AB08CD" w:rsidP="00714966">
      <w:pPr>
        <w:keepNext/>
      </w:pPr>
      <w:r w:rsidRPr="004B104E">
        <w:rPr>
          <w:rStyle w:val="HideTWBExt"/>
        </w:rPr>
        <w:t>&lt;Article2&gt;</w:t>
      </w:r>
      <w:r w:rsidRPr="004B104E">
        <w:t>Άρθρο 33 – παράγραφος 4</w:t>
      </w:r>
      <w:r w:rsidRPr="004B104E">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1ια)</w:t>
            </w:r>
            <w:r w:rsidRPr="004B104E">
              <w:rPr>
                <w:b/>
                <w:i/>
              </w:rPr>
              <w:tab/>
              <w:t>στο άρθρο 33, προστίθεται η ακόλουθη παράγραφος 5:</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«4.</w:t>
            </w:r>
            <w:r w:rsidRPr="004B104E">
              <w:rPr>
                <w:b/>
                <w:i/>
              </w:rPr>
              <w:tab/>
              <w:t xml:space="preserve">Το παρόν άρθρο δεν </w:t>
            </w:r>
            <w:r w:rsidRPr="004B104E">
              <w:rPr>
                <w:b/>
                <w:i/>
              </w:rPr>
              <w:t>επηρεάζει την είσοδο αλιευτικού σκάφους ΣΜΣ σε λιμένα, σύμφωνα με το διεθνές δίκαιο, για λόγους ανωτέρας βίας ή κινδύνου.»</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Σύσταση 22-15 της ICCAT, σελίδα 15.</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w:t>
      </w:r>
      <w:r w:rsidRPr="004B104E">
        <w:rPr>
          <w:rStyle w:val="HideTWBExt"/>
        </w:rPr>
        <w:t>NumAm&gt;</w:t>
      </w:r>
      <w:r w:rsidRPr="004B104E">
        <w:t>48</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παράγραφος 1 – σημείο 1 ιβ (νέο)</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ΧΧ/2023</w:t>
      </w:r>
      <w:r w:rsidRPr="004B104E">
        <w:rPr>
          <w:rStyle w:val="HideTWBExt"/>
        </w:rPr>
        <w:t>&lt;/DocAmend2&gt;</w:t>
      </w:r>
    </w:p>
    <w:p w:rsidR="00714966" w:rsidRPr="004B104E" w:rsidRDefault="00AB08CD" w:rsidP="00714966">
      <w:pPr>
        <w:keepNext/>
      </w:pPr>
      <w:r w:rsidRPr="004B104E">
        <w:rPr>
          <w:rStyle w:val="HideTWBExt"/>
        </w:rPr>
        <w:t>&lt;Article2&gt;</w:t>
      </w:r>
      <w:r w:rsidRPr="004B104E">
        <w:t>Άρθρο 34 – παράγραφος 2</w:t>
      </w:r>
      <w:r w:rsidRPr="004B104E">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1ιβ)</w:t>
            </w:r>
            <w:r w:rsidRPr="004B104E">
              <w:rPr>
                <w:b/>
                <w:i/>
              </w:rPr>
              <w:tab/>
              <w:t xml:space="preserve">στο </w:t>
            </w:r>
            <w:r w:rsidRPr="004B104E">
              <w:rPr>
                <w:b/>
                <w:i/>
              </w:rPr>
              <w:t>άρθρο 34, η παράγραφος 2 αντικαθίσταται από 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w:t>
            </w:r>
            <w:r w:rsidRPr="004B104E">
              <w:rPr>
                <w:b/>
                <w:i/>
              </w:rPr>
              <w:tab/>
              <w:t>Πριν καταπλεύσουν σε οποιονδήποτε λιμένα, οι πλοίαρχοι, ή οι αντιπρόσωποί τους, ενωσιακών αλιευτικών σκαφών, καθώς και σκαφών μεταποίησης και βοηθητικών σκαφών που περιλαμβάνονται στους</w:t>
            </w:r>
            <w:r w:rsidRPr="004B104E">
              <w:rPr>
                <w:b/>
                <w:i/>
              </w:rPr>
              <w:t xml:space="preserve"> καταλόγους σκαφών που αναφέρονται στο άρθρο 26 κοινοποιούν, τουλάχιστον τέσσερις ώρες πριν από την προβλεπόμενη ώρα άφιξης στον λιμένα, στην αρμόδια αρχή του κράτους μέλους σημαίας ή του ΣΜΣ, του οποίου τους λιμένες ή τις εγκαταστάσεις εκφόρτωσης σκοπεύου</w:t>
            </w:r>
            <w:r w:rsidRPr="004B104E">
              <w:rPr>
                <w:b/>
                <w:i/>
              </w:rPr>
              <w:t>ν να χρησιμοποιήσουν, τουλάχιστον τις ακόλουθες πληροφορίες: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w:t>
            </w:r>
            <w:r w:rsidRPr="004B104E">
              <w:rPr>
                <w:b/>
                <w:i/>
              </w:rPr>
              <w:tab/>
              <w:t>εκτιμώμενη ημερομηνία και ώρα άφιξης·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β)</w:t>
            </w:r>
            <w:r w:rsidRPr="004B104E">
              <w:rPr>
                <w:b/>
                <w:i/>
              </w:rPr>
              <w:tab/>
              <w:t>εκτιμώμενη ποσότητα ερυθρού τόνου που διατηρείται επί του σκάφους·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γ)</w:t>
            </w:r>
            <w:r w:rsidRPr="004B104E">
              <w:rPr>
                <w:b/>
                <w:i/>
              </w:rPr>
              <w:tab/>
              <w:t xml:space="preserve">πληροφορίες σχετικά με τη γεωγραφική περιοχή στην οποία αλιεύθηκαν τα </w:t>
            </w:r>
            <w:r w:rsidRPr="004B104E">
              <w:rPr>
                <w:b/>
                <w:i/>
              </w:rPr>
              <w:t>αλιεύματα.»</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Η σύσταση 22-08 της ICCAT τροποποιεί τη σύσταση 21-08 για τη θέσπιση πολυετούς σχεδίου αποκατάστασης του ερυθρού τόνου στον Ανατολικό Ατλαντικό και 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w:t>
      </w:r>
      <w:r w:rsidRPr="004B104E">
        <w:rPr>
          <w:rStyle w:val="HideTWBExt"/>
        </w:rPr>
        <w:t>d&gt;</w:t>
      </w:r>
      <w:r w:rsidRPr="004B104E">
        <w:t>Τροπολογία</w:t>
      </w:r>
      <w:r w:rsidRPr="004B104E">
        <w:tab/>
      </w:r>
      <w:r w:rsidRPr="004B104E">
        <w:tab/>
      </w:r>
      <w:r w:rsidRPr="004B104E">
        <w:rPr>
          <w:rStyle w:val="HideTWBExt"/>
        </w:rPr>
        <w:t>&lt;NumAm&gt;</w:t>
      </w:r>
      <w:r w:rsidRPr="004B104E">
        <w:t>49</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παράγραφος 1 – σημείο 1 ιγ (νέο)</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ΧΧ/2023</w:t>
      </w:r>
      <w:r w:rsidRPr="004B104E">
        <w:rPr>
          <w:rStyle w:val="HideTWBExt"/>
        </w:rPr>
        <w:t>&lt;/DocAmend2&gt;</w:t>
      </w:r>
    </w:p>
    <w:p w:rsidR="00714966" w:rsidRPr="004B104E" w:rsidRDefault="00AB08CD" w:rsidP="00714966">
      <w:r w:rsidRPr="004B104E">
        <w:rPr>
          <w:rStyle w:val="HideTWBExt"/>
        </w:rPr>
        <w:t>&lt;Article2&gt;</w:t>
      </w:r>
      <w:r w:rsidRPr="004B104E">
        <w:t>Άρθρο 35 – παράγραφος 5</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1ιγ)</w:t>
            </w:r>
            <w:r w:rsidRPr="004B104E">
              <w:rPr>
                <w:b/>
                <w:i/>
              </w:rPr>
              <w:tab/>
              <w:t>στο άρθρο 35, η παράγραφος 5 αντικαθίσταται από 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«5.</w:t>
            </w:r>
            <w:r w:rsidRPr="004B104E">
              <w:rPr>
                <w:b/>
                <w:i/>
              </w:rPr>
              <w:tab/>
              <w:t xml:space="preserve">Οι πλοίαρχοι ενωσιακών αλιευτικών σκαφών που συμμετέχουν σε εργασίες μεταφόρτωσης συμπληρώνουν και διαβιβάζουν τη δήλωση μεταφόρτωσης της ICCAT στο οικείο κράτος μέλος σημαίας </w:t>
            </w:r>
            <w:r w:rsidRPr="004B104E">
              <w:rPr>
                <w:b/>
                <w:i/>
              </w:rPr>
              <w:t>το αργότερο έως πέντε ημέρες μετά την ημερομηνία μεταφόρτωσης σε λιμένα, σύμφωνα με τη σύσταση 21-15. Οι πλοίαρχοι των αλιευτικών σκαφών μεταφόρτωσης συμπληρώνουν τη δήλωση μεταφόρτωσης της ICCAT σύμφωνα με τον μορφότυπο που ορίζεται στο παράρτημα X. Η δήλ</w:t>
            </w:r>
            <w:r w:rsidRPr="004B104E">
              <w:rPr>
                <w:b/>
                <w:i/>
              </w:rPr>
              <w:t>ωση μεταφόρτωσης συνδέεται με το eBCD, ώστε να διευκολύνεται η διασταύρωση των στοιχείων που περιέχει.»</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lastRenderedPageBreak/>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Σύσταση 22-08 της ICCAT, σελίδα 16.</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50</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1 – παράγραφος 1 – σημείο 1 ιδ (νέο)</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ΧΧ/2023</w:t>
      </w:r>
      <w:r w:rsidRPr="004B104E">
        <w:rPr>
          <w:rStyle w:val="HideTWBExt"/>
        </w:rPr>
        <w:t>&lt;/DocAmend2&gt;</w:t>
      </w:r>
    </w:p>
    <w:p w:rsidR="00714966" w:rsidRPr="004B104E" w:rsidRDefault="00AB08CD" w:rsidP="00714966">
      <w:r w:rsidRPr="004B104E">
        <w:rPr>
          <w:rStyle w:val="HideTWBExt"/>
        </w:rPr>
        <w:t>&lt;Article2&gt;</w:t>
      </w:r>
      <w:r w:rsidRPr="004B104E">
        <w:t>Άρθρο 36</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1ιδ)</w:t>
            </w:r>
            <w:r w:rsidRPr="004B104E">
              <w:rPr>
                <w:b/>
                <w:i/>
              </w:rPr>
              <w:tab/>
              <w:t>το άρθρο 36 αντικαθίσταται από το ακόλουθο</w:t>
            </w:r>
            <w:r w:rsidRPr="004B104E">
              <w:rPr>
                <w:b/>
                <w:i/>
              </w:rPr>
              <w:t xml:space="preserve">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«Άρθρο 36</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Εκθέσεις σχετικά με τις ποσότητες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 xml:space="preserve">Τα κράτη μέλη αποστέλλουν εκθέσεις αλιευμάτων στην Επιτροπή ανά δύο εβδομάδες. Οι εν λόγω εκθέσεις περιλαμβάνουν τα δεδομένα που απαιτούνται δυνάμει του άρθρου 31 όσον αφορά τις διατάξεις </w:t>
            </w:r>
            <w:r w:rsidRPr="004B104E">
              <w:rPr>
                <w:b/>
                <w:i/>
              </w:rPr>
              <w:t>παγίδευσης, τα σκάφη γρι-γρι και τα λοιπά σκάφη αλίευσης. Οι πληροφορίες διαρθρώνονται ανά τύπο εργαλείων. Η Επιτροπή διαβιβάζει τις πληροφορίες αυτές στη γραμματεία της ICCAT χωρίς καθυστέρηση.</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Σύσταση 22-08 της ICCAT, σελίδα 16.</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51</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παράγραφος 1 – σημείο 1 ιε (νέο)</w:t>
      </w:r>
      <w:r w:rsidRPr="004B104E">
        <w:rPr>
          <w:rStyle w:val="HideTWBExt"/>
        </w:rPr>
        <w:t>&lt;/Article&gt;</w:t>
      </w:r>
    </w:p>
    <w:p w:rsidR="00714966" w:rsidRPr="004B104E" w:rsidRDefault="00AB08CD" w:rsidP="00714966">
      <w:pPr>
        <w:keepNext/>
      </w:pPr>
      <w:r w:rsidRPr="004B104E">
        <w:rPr>
          <w:rStyle w:val="HideTWBExt"/>
        </w:rPr>
        <w:lastRenderedPageBreak/>
        <w:t>&lt;DocAmend2&gt;</w:t>
      </w:r>
      <w:r w:rsidRPr="004B104E">
        <w:t>Κανονισμός (ΕΕ) ΧΧ/2023</w:t>
      </w:r>
      <w:r w:rsidRPr="004B104E">
        <w:rPr>
          <w:rStyle w:val="HideTWBExt"/>
        </w:rPr>
        <w:t>&lt;/DocAmend2&gt;</w:t>
      </w:r>
    </w:p>
    <w:p w:rsidR="00714966" w:rsidRPr="004B104E" w:rsidRDefault="00AB08CD" w:rsidP="00714966">
      <w:pPr>
        <w:keepNext/>
      </w:pPr>
      <w:r w:rsidRPr="004B104E">
        <w:rPr>
          <w:rStyle w:val="HideTWBExt"/>
        </w:rPr>
        <w:t>&lt;Article2&gt;</w:t>
      </w:r>
      <w:r w:rsidRPr="004B104E">
        <w:t>Άρ</w:t>
      </w:r>
      <w:r w:rsidRPr="004B104E">
        <w:t>θρο 38</w:t>
      </w:r>
      <w:r w:rsidRPr="004B104E">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1ιε)</w:t>
            </w:r>
            <w:r w:rsidRPr="004B104E">
              <w:rPr>
                <w:b/>
                <w:i/>
              </w:rPr>
              <w:tab/>
              <w:t>το άρθρο 38 τροποποιείται ως εξής: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η παράγραφος 2 αντικαθίσταται από 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w:t>
            </w:r>
            <w:r w:rsidRPr="004B104E">
              <w:rPr>
                <w:b/>
                <w:i/>
              </w:rPr>
              <w:tab/>
              <w:t xml:space="preserve">Κατά παρέκκλιση από την παράγραφο 1, όσον αφορά τις απελευθερώσεις τόνου από ιχθυοτροφεία, παρόντες </w:t>
            </w:r>
            <w:r w:rsidRPr="004B104E">
              <w:rPr>
                <w:b/>
                <w:i/>
              </w:rPr>
              <w:t>στα ρυμουλκά είναι μόνο περιφερειακοί παρατηρητές, όπως αναφέρεται στο άρθρο 39, και όχι εθνικοί παρατηρητές.»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w:t>
            </w:r>
            <w:r w:rsidRPr="004B104E">
              <w:rPr>
                <w:b/>
                <w:i/>
              </w:rPr>
              <w:tab/>
              <w:t>η παράγραφος 3 αντικαθίσταται από 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w:t>
            </w:r>
            <w:r w:rsidRPr="004B104E">
              <w:rPr>
                <w:b/>
                <w:i/>
              </w:rPr>
              <w:tab/>
              <w:t xml:space="preserve">Οι υποχρεώσεις, οι αρμοδιότητες και τα καθήκοντα που ισχύουν για τους εθνικούς </w:t>
            </w:r>
            <w:r w:rsidRPr="004B104E">
              <w:rPr>
                <w:b/>
                <w:i/>
              </w:rPr>
              <w:t>παρατηρητές καθορίζονται στο παράρτημα VIII.»</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w:t>
            </w:r>
            <w:r w:rsidRPr="004B104E">
              <w:rPr>
                <w:b/>
                <w:i/>
              </w:rPr>
              <w:tab/>
              <w:t>η παράγραφος 5 αντικαθίσταται από 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«5.</w:t>
            </w:r>
            <w:r w:rsidRPr="004B104E">
              <w:rPr>
                <w:b/>
                <w:i/>
              </w:rPr>
              <w:tab/>
              <w:t>Για τους σκοπούς του παρόντος άρθρου, τα κράτη μέλη εξασφαλίζουν:</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w:t>
            </w:r>
            <w:r w:rsidRPr="004B104E">
              <w:rPr>
                <w:b/>
                <w:i/>
              </w:rPr>
              <w:tab/>
              <w:t xml:space="preserve">αντιπροσωπευτική χρονική και χωρική κάλυψη, ώστε η Επιτροπή να λαμβάνει </w:t>
            </w:r>
            <w:r w:rsidRPr="004B104E">
              <w:rPr>
                <w:b/>
                <w:i/>
              </w:rPr>
              <w:t>επαρκή και κατάλληλα δεδομένα και πληροφορίες σχετικά με τα αλιεύματα, την αλιευτική προσπάθεια και άλλα επιστημονικά και διαχειριστικά θέματα, λαμβανομένων υπόψη των χαρακτηριστικών των στόλων και των τύπων αλιείας·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β)</w:t>
            </w:r>
            <w:r w:rsidRPr="004B104E">
              <w:rPr>
                <w:b/>
                <w:i/>
              </w:rPr>
              <w:tab/>
              <w:t>αξιόπιστα πρωτόκολλα συλλογής δεδο</w:t>
            </w:r>
            <w:r w:rsidRPr="004B104E">
              <w:rPr>
                <w:b/>
                <w:i/>
              </w:rPr>
              <w:t>μένων·</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γ)</w:t>
            </w:r>
            <w:r w:rsidRPr="004B104E">
              <w:rPr>
                <w:b/>
                <w:i/>
              </w:rPr>
              <w:tab/>
              <w:t>την ορθή κατάρτιση και έγκριση των παρατηρητών πριν από την τοποθέτησή τους·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δ)</w:t>
            </w:r>
            <w:r w:rsidRPr="004B104E">
              <w:rPr>
                <w:b/>
                <w:i/>
              </w:rPr>
              <w:tab/>
              <w:t xml:space="preserve">την παροχή καταλόγου προς τους παρατηρητές, πριν από την έναρξη της αποστολής τους, με επαφές εντός της αρμόδιας αρχής του κράτους μέλους </w:t>
            </w:r>
            <w:r w:rsidRPr="004B104E">
              <w:rPr>
                <w:b/>
                <w:i/>
              </w:rPr>
              <w:lastRenderedPageBreak/>
              <w:t>όπου πρέπει να υποβάλλου</w:t>
            </w:r>
            <w:r w:rsidRPr="004B104E">
              <w:rPr>
                <w:b/>
                <w:i/>
              </w:rPr>
              <w:t>ν παρατηρήσεις·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ε)</w:t>
            </w:r>
            <w:r w:rsidRPr="004B104E">
              <w:rPr>
                <w:b/>
                <w:i/>
              </w:rPr>
              <w:tab/>
              <w:t>στο μέτρο του δυνατού, την ελάχιστη δυνατή διαταραχή των εργασιών των σκαφών και των διατάξεων παγίδευσης που αλιεύουν στη ζώνη της σύμβασης·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στ)</w:t>
            </w:r>
            <w:r w:rsidRPr="004B104E">
              <w:rPr>
                <w:b/>
                <w:i/>
              </w:rPr>
              <w:tab/>
              <w:t>ότι ο πλοίαρχος του αλιευτικού σκάφους ή ο φορέας εκμετάλλευσης της διάταξης παγίδευσης</w:t>
            </w:r>
            <w:r w:rsidRPr="004B104E">
              <w:rPr>
                <w:b/>
                <w:i/>
              </w:rPr>
              <w:t xml:space="preserve"> επιτρέπει στον παρατηρητή την πρόσβαση στα ηλεκτρονικά μέσα επικοινωνίας επί του αλιευτικού σκάφους ή στη διάταξη παγίδευσης.»</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Σύσταση 22-08 της ICCAT, σελίδα 18.</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52</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παράγραφος 1 – σημείο 1 ιστ (νέο)</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ΧΧ/2023</w:t>
      </w:r>
      <w:r w:rsidRPr="004B104E">
        <w:rPr>
          <w:rStyle w:val="HideTWBExt"/>
        </w:rPr>
        <w:t>&lt;/DocAmend2&gt;</w:t>
      </w:r>
    </w:p>
    <w:p w:rsidR="00714966" w:rsidRPr="004B104E" w:rsidRDefault="00AB08CD" w:rsidP="00714966">
      <w:r w:rsidRPr="004B104E">
        <w:rPr>
          <w:rStyle w:val="HideTWBExt"/>
        </w:rPr>
        <w:t>&lt;Article2&gt;</w:t>
      </w:r>
      <w:r w:rsidRPr="004B104E">
        <w:t>Άρθρο 39</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1ιστ)</w:t>
            </w:r>
            <w:r w:rsidRPr="004B104E">
              <w:rPr>
                <w:b/>
                <w:i/>
              </w:rPr>
              <w:tab/>
              <w:t xml:space="preserve">το </w:t>
            </w:r>
            <w:r w:rsidRPr="004B104E">
              <w:rPr>
                <w:b/>
                <w:i/>
              </w:rPr>
              <w:t>άρθρο 39 τροποποιείται ως εξής: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στην παράγραφο 2, το στοιχείο γ) αντικαθίσταται από 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«γ)</w:t>
            </w:r>
            <w:r w:rsidRPr="004B104E">
              <w:rPr>
                <w:b/>
                <w:i/>
              </w:rPr>
              <w:tab/>
              <w:t>κατά τη διάρκεια όλων των μεταβιβάσεων από έναν κλωβό εκτροφής σε κλωβούς μεταφοράς, οι οποίοι στη συνέχεια ρυμουλκούνται σε άλλο ιχθυοτροφε</w:t>
            </w:r>
            <w:r w:rsidRPr="004B104E">
              <w:rPr>
                <w:b/>
                <w:i/>
              </w:rPr>
              <w:t>ίο·»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w:t>
            </w:r>
            <w:r w:rsidRPr="004B104E">
              <w:rPr>
                <w:b/>
                <w:i/>
              </w:rPr>
              <w:tab/>
              <w:t>η παράγραφος 4 αντικαθίσταται από 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«4.</w:t>
            </w:r>
            <w:r w:rsidRPr="004B104E">
              <w:rPr>
                <w:b/>
                <w:i/>
              </w:rPr>
              <w:tab/>
              <w:t xml:space="preserve">Τα κράτη μέλη διασφαλίζουν ότι σε κάθε ιχθυοτροφείο τοποθετείται ένας περιφερειακός παρατηρητής της ICCAT καθ’ όλη τη διάρκεια των εργασιών </w:t>
            </w:r>
            <w:r w:rsidRPr="004B104E">
              <w:rPr>
                <w:b/>
                <w:i/>
              </w:rPr>
              <w:lastRenderedPageBreak/>
              <w:t>εγκλωβισμού και εξαλίευσης. Σε περίπτωση ανωτ</w:t>
            </w:r>
            <w:r w:rsidRPr="004B104E">
              <w:rPr>
                <w:b/>
                <w:i/>
              </w:rPr>
              <w:t xml:space="preserve">έρας βίας και αφού το κράτος μέλος εκτροφής επιβεβαιώσει τις περιστάσεις που συνιστούν ανωτέρα βία ή σε περιπτώσεις όπου γειτονικά ιχθυοτροφεία, όπως έχουν εγκριθεί και ελέγχονται από το ίδιο κράτος μέλος εκτροφής, λειτουργούν από κοινού ως ενιαία μονάδα, </w:t>
            </w:r>
            <w:r w:rsidRPr="004B104E">
              <w:rPr>
                <w:b/>
                <w:i/>
              </w:rPr>
              <w:t>ο περιφερειακός παρατηρητής της ICCAT μπορεί να είναι κοινός για περισσότερα του ενός ιχθυοτροφεία, ώστε να διασφαλίζεται η συνέχεια των δραστηριοτήτων εκτροφής, εάν εξασφαλίζεται ότι τα καθήκοντα του παρατηρητή εκπληρώνονται δεόντως και κατόπιν επιβεβαίωσ</w:t>
            </w:r>
            <w:r w:rsidRPr="004B104E">
              <w:rPr>
                <w:b/>
                <w:i/>
              </w:rPr>
              <w:t>ης από το κράτος μέλος εκτροφής.»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w:t>
            </w:r>
            <w:r w:rsidRPr="004B104E">
              <w:rPr>
                <w:b/>
                <w:i/>
              </w:rPr>
              <w:tab/>
              <w:t>προστίθεται η ακόλουθη παράγραφος: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«4α.</w:t>
            </w:r>
            <w:r w:rsidRPr="004B104E">
              <w:rPr>
                <w:b/>
                <w:i/>
              </w:rPr>
              <w:tab/>
              <w:t>Κατά παρέκκλιση από την παράγραφο 4, σε περίπτωση μεταβίβασης μεταξύ δύο διαφορετικών ιχθυοτροφείων που υπάγονται στην αρμοδιότητα του ίδιου κράτους μέλους, μπορεί να ανατεθεί</w:t>
            </w:r>
            <w:r w:rsidRPr="004B104E">
              <w:rPr>
                <w:b/>
                <w:i/>
              </w:rPr>
              <w:t xml:space="preserve"> σε έναν μόνο περιφερειακό παρατηρητή η κάλυψη ολόκληρης της διαδικασίας, συμπεριλαμβανομένης της μεταβίβασης ιχθύων σε ρυμουλκούμενο κλωβό μεταφοράς, της ρυμούλκησης των ιχθύων από το ιχθυοτροφείο-δότη στο ιχθυοτροφείο υποδοχής και του εγκλωβισμού ιχθύων </w:t>
            </w:r>
            <w:r w:rsidRPr="004B104E">
              <w:rPr>
                <w:b/>
                <w:i/>
              </w:rPr>
              <w:t>στο ιχθυοτροφείο υποδοχής. Στην περίπτωση αυτή, ο περιφερειακός παρατηρητής θα πρέπει να τοποθετείται από το ιχθυοτροφείο-δότη και το κόστος να επιμερίζεται μεταξύ του ιχθυοτροφείου-δότη και του ιχθυοτροφείου υποδοχής, εκτός εάν ορίζεται διαφορετικά από τι</w:t>
            </w:r>
            <w:r w:rsidRPr="004B104E">
              <w:rPr>
                <w:b/>
                <w:i/>
              </w:rPr>
              <w:t>ς εταιρείες ιχθυοκαλλιέργειας.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4)</w:t>
            </w:r>
            <w:r w:rsidRPr="004B104E">
              <w:rPr>
                <w:b/>
                <w:i/>
              </w:rPr>
              <w:tab/>
              <w:t>προστίθεται η ακόλουθη παράγραφος: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«5α.</w:t>
            </w:r>
            <w:r w:rsidRPr="004B104E">
              <w:rPr>
                <w:b/>
                <w:i/>
              </w:rPr>
              <w:tab/>
              <w:t xml:space="preserve">Κατά παρέκκλιση από την παράγραφο 5, το σχετικό ΣΜΣ μπορεί να χορηγεί άδεια για εξαλίευση από τα ιχθυοτροφεία έως 1 000 kg ημερησίως και έως 50 τόνων κατ’ ανώτατο όριο ανά </w:t>
            </w:r>
            <w:r w:rsidRPr="004B104E">
              <w:rPr>
                <w:b/>
                <w:i/>
              </w:rPr>
              <w:lastRenderedPageBreak/>
              <w:t>ιχθυοτ</w:t>
            </w:r>
            <w:r w:rsidRPr="004B104E">
              <w:rPr>
                <w:b/>
                <w:i/>
              </w:rPr>
              <w:t>ροφείο ετησίως για τον εφοδιασμό της αγοράς νωπού ερυθρού τόνου, υπό τον όρο ότι ο εξουσιοδοτημένος επιθεωρητής από το ιχθυοτροφείο ΣΜΣ βρίσκεται στις εγκαταστάσεις για το 100 % των εν λόγω εξαλιεύσεων και ελέγχει ολόκληρη την επιχείρηση. Ο εξουσιοδοτημένο</w:t>
            </w:r>
            <w:r w:rsidRPr="004B104E">
              <w:rPr>
                <w:b/>
                <w:i/>
              </w:rPr>
              <w:t>ς επιθεωρητής επικυρώνει επίσης στο σύστημα eBCD τις ποσότητες που εξαλιεύονται. Στην περίπτωση αυτή, δεν απαιτείται η υπογραφή του περιφερειακού παρατηρητή στο τμήμα του eBCD που αφορά την εξαλίευση. Η παρέκκλιση αυτή επανεξετάζεται, κατά περίπτωση, από τ</w:t>
            </w:r>
            <w:r w:rsidRPr="004B104E">
              <w:rPr>
                <w:b/>
                <w:i/>
              </w:rPr>
              <w:t>η μόνιμη ομάδα εργασίας, ενδεχομένως μέσω της ομάδας εργασίας της για τα ολοκληρωμένα μέτρα παρακολούθησης (IMM).»</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5)</w:t>
            </w:r>
            <w:r w:rsidRPr="004B104E">
              <w:rPr>
                <w:b/>
                <w:i/>
              </w:rPr>
              <w:tab/>
              <w:t>Παρεμβάλλεται η ακόλουθη παράγραφος: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«7.</w:t>
            </w:r>
            <w:r w:rsidRPr="004B104E">
              <w:rPr>
                <w:b/>
                <w:i/>
              </w:rPr>
              <w:tab/>
              <w:t>Οι περιφερειακοί παρατηρητές της ICCAT τηρούν τις υποχρεώσεις, τις αρμοδιότητες και τα καθήκο</w:t>
            </w:r>
            <w:r w:rsidRPr="004B104E">
              <w:rPr>
                <w:b/>
                <w:i/>
              </w:rPr>
              <w:t>ντα που ορίζονται στο παράρτημα VIII.»</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 xml:space="preserve">Η σύσταση 22-08 της ICCAT τροποποιεί τη σύσταση 21-08 για τη θέσπιση πολυετούς σχεδίου αποκατάστασης του ερυθρού τόνου στον Ανατολικό Ατλαντικό και </w:t>
      </w:r>
      <w:r w:rsidRPr="004B104E">
        <w:t>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53</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παράγραφος 1 – σημείο 1 ιζ (νέο)</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ΧΧ/2023</w:t>
      </w:r>
      <w:r w:rsidRPr="004B104E">
        <w:rPr>
          <w:rStyle w:val="HideTWBExt"/>
        </w:rPr>
        <w:t>&lt;/DocAmend2&gt;</w:t>
      </w:r>
    </w:p>
    <w:p w:rsidR="00714966" w:rsidRPr="004B104E" w:rsidRDefault="00AB08CD" w:rsidP="00714966">
      <w:pPr>
        <w:pStyle w:val="NormalBold"/>
        <w:rPr>
          <w:b w:val="0"/>
        </w:rPr>
      </w:pPr>
      <w:r w:rsidRPr="004B104E">
        <w:rPr>
          <w:rStyle w:val="HideTWBExt"/>
        </w:rPr>
        <w:t>&lt;Article2&gt;</w:t>
      </w:r>
      <w:r w:rsidRPr="004B104E">
        <w:rPr>
          <w:b w:val="0"/>
        </w:rPr>
        <w:t>Άρθρο 40</w:t>
      </w:r>
      <w:r w:rsidRPr="004B104E">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1ιζ)</w:t>
            </w:r>
            <w:r w:rsidRPr="004B104E">
              <w:rPr>
                <w:b/>
                <w:i/>
              </w:rPr>
              <w:tab/>
              <w:t>το άρθρο 40 τροποποιείται ως εξής: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 xml:space="preserve">η παράγραφος 1 αντικαθίσταται </w:t>
            </w:r>
            <w:r w:rsidRPr="004B104E">
              <w:rPr>
                <w:b/>
                <w:i/>
              </w:rPr>
              <w:lastRenderedPageBreak/>
              <w:t>από 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Πριν από την έναρξη μιας δραστηριότητας μεταβίβασης, συμπεριλαμβανομένων των οικειοθελών μεταβιβάσεων, ο πλοίαρχος του σκάφους αλίευσης ή</w:t>
            </w:r>
            <w:r w:rsidRPr="004B104E">
              <w:rPr>
                <w:b/>
                <w:i/>
              </w:rPr>
              <w:t xml:space="preserve"> του ρυμουλκού ή αντιπρόσωπός του ή ο φορέας εκμετάλλευσης του ιχθυοτροφείου ή της διάταξης παγίδευσης, από όπου ξεκινά η μεταβίβαση, αποστέλλει, στο κράτος μέλος σημαίας ή στο κράτος μέλος που είναι αρμόδιο για το ιχθυοτροφείο ή τη διάταξη παγίδευσης, προ</w:t>
            </w:r>
            <w:r w:rsidRPr="004B104E">
              <w:rPr>
                <w:b/>
                <w:i/>
              </w:rPr>
              <w:t>ηγούμενη κοινοποίηση μεταβίβασης στην οποία αναφέρονται:</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w:t>
            </w:r>
            <w:r w:rsidRPr="004B104E">
              <w:rPr>
                <w:b/>
                <w:i/>
              </w:rPr>
              <w:tab/>
              <w:t>ο αριθμός και το εκτιμώμενο βάρος του ερυθρού τόνου που πρόκειται να μεταβιβαστεί·</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β)</w:t>
            </w:r>
            <w:r w:rsidRPr="004B104E">
              <w:rPr>
                <w:b/>
                <w:i/>
              </w:rPr>
              <w:tab/>
              <w:t xml:space="preserve">το όνομα του σκάφους αλίευσης, του ρυμουλκού, του ιχθυοτροφείου ή της διάταξης παγίδευσης, με τον </w:t>
            </w:r>
            <w:r w:rsidRPr="004B104E">
              <w:rPr>
                <w:b/>
                <w:i/>
              </w:rPr>
              <w:t>αντίστοιχο αριθμό μητρώου της ICCAT·</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γ)</w:t>
            </w:r>
            <w:r w:rsidRPr="004B104E">
              <w:rPr>
                <w:b/>
                <w:i/>
              </w:rPr>
              <w:tab/>
              <w:t>η ημερομηνία και ο τόπος αλίευσης·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δ)</w:t>
            </w:r>
            <w:r w:rsidRPr="004B104E">
              <w:rPr>
                <w:b/>
                <w:i/>
              </w:rPr>
              <w:tab/>
              <w:t>η ημερομηνία και ο εκτιμώμενος χρόνος μεταβίβασης·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ε)</w:t>
            </w:r>
            <w:r w:rsidRPr="004B104E">
              <w:rPr>
                <w:b/>
                <w:i/>
              </w:rPr>
              <w:tab/>
              <w:t>το εκτιμώμενο στίγμα (γεωγραφικό πλάτος/μήκος) όπου πρόκειται να πραγματοποιηθεί η μεταβίβαση και οι αριθμοί του κλωβο</w:t>
            </w:r>
            <w:r w:rsidRPr="004B104E">
              <w:rPr>
                <w:b/>
                <w:i/>
              </w:rPr>
              <w:t>ύ-δότη και του κλωβού υποδοχής·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στ)</w:t>
            </w:r>
            <w:r w:rsidRPr="004B104E">
              <w:rPr>
                <w:b/>
                <w:i/>
              </w:rPr>
              <w:tab/>
              <w:t>το ιχθυοτροφείο προορισμού·</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ζ)</w:t>
            </w:r>
            <w:r w:rsidRPr="004B104E">
              <w:rPr>
                <w:b/>
                <w:i/>
              </w:rPr>
              <w:tab/>
              <w:t>το όνομα και ο αριθμός ICCAT· το όνομα και ο αριθμός ICCAT του ιχθυοτροφείου-δότη, σε περίπτωση μεταβίβασης από τον κλωβό εκτροφής σε κλωβό μεταφοράς·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η)</w:t>
            </w:r>
            <w:r w:rsidRPr="004B104E">
              <w:rPr>
                <w:b/>
                <w:i/>
              </w:rPr>
              <w:tab/>
              <w:t xml:space="preserve">τους αριθμούς των δύο κλωβών </w:t>
            </w:r>
            <w:r w:rsidRPr="004B104E">
              <w:rPr>
                <w:b/>
                <w:i/>
              </w:rPr>
              <w:t>εκτροφής και τυχόν κλωβών μεταφοράς, στην περίπτωση μεταβίβασης εντός ιχθυοτροφείου.»·</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w:t>
            </w:r>
            <w:r w:rsidRPr="004B104E">
              <w:rPr>
                <w:b/>
                <w:i/>
              </w:rPr>
              <w:tab/>
              <w:t>η παράγραφος 2 διαγράφεται.</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w:t>
            </w:r>
            <w:r w:rsidRPr="004B104E">
              <w:rPr>
                <w:b/>
                <w:i/>
              </w:rPr>
              <w:tab/>
              <w:t xml:space="preserve">η παράγραφος 3 αντικαθίσταται </w:t>
            </w:r>
            <w:r w:rsidRPr="004B104E">
              <w:rPr>
                <w:b/>
                <w:i/>
              </w:rPr>
              <w:lastRenderedPageBreak/>
              <w:t>από 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w:t>
            </w:r>
            <w:r w:rsidRPr="004B104E">
              <w:rPr>
                <w:b/>
                <w:i/>
              </w:rPr>
              <w:tab/>
              <w:t>Όλοι οι κλωβοί που χρησιμοποιούνται στις δραστηριότητες μεταβίβασης κα</w:t>
            </w:r>
            <w:r w:rsidRPr="004B104E">
              <w:rPr>
                <w:b/>
                <w:i/>
              </w:rPr>
              <w:t>ι στις συναφείς μεταφορές ζώντος ερυθρού τόνου αριθμούνται σύμφωνα με το ενιαίο σύστημα αρίθμησης που αναφέρεται στα άρθρα XX.»·</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4)</w:t>
            </w:r>
            <w:r w:rsidRPr="004B104E">
              <w:rPr>
                <w:b/>
                <w:i/>
              </w:rPr>
              <w:tab/>
              <w:t>η παράγραφος 5 αντικαθίσταται από 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«5.</w:t>
            </w:r>
            <w:r w:rsidRPr="004B104E">
              <w:rPr>
                <w:b/>
                <w:i/>
              </w:rPr>
              <w:tab/>
              <w:t xml:space="preserve">Τα κράτη μέλη που συμμετέχουν σε δραστηριότητες μεταβίβασης, </w:t>
            </w:r>
            <w:r w:rsidRPr="004B104E">
              <w:rPr>
                <w:b/>
                <w:i/>
              </w:rPr>
              <w:t>όπως αναφέρεται στην παράγραφο 1, χορηγούν άδεια ή αρνούνται τη χορήγηση άδειας για τη μεταβίβαση εντός 48 ωρών από την υποβολή της προηγούμενης κοινοποίησης μεταβίβασης. Η δραστηριότητα μεταβίβασης δεν ξεκινά χωρίς να προηγηθεί η έκδοση του αριθμού άδειας</w:t>
            </w:r>
            <w:r w:rsidRPr="004B104E">
              <w:rPr>
                <w:b/>
                <w:i/>
              </w:rPr>
              <w:t>.»·</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5)</w:t>
            </w:r>
            <w:r w:rsidRPr="004B104E">
              <w:rPr>
                <w:b/>
                <w:i/>
              </w:rPr>
              <w:tab/>
              <w:t>παρεμβάλλονται οι ακόλουθοι παράγραφοι:</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«5α.</w:t>
            </w:r>
            <w:r w:rsidRPr="004B104E">
              <w:rPr>
                <w:b/>
                <w:i/>
              </w:rPr>
              <w:tab/>
              <w:t xml:space="preserve">Πριν από την έναρξη της αλιευτικής εξόρμησης για τον ερυθρό τόνο, τα κράτη μέλη αποδίδουν έναν μοναδικό και αναγνωρίσιμο αριθμό σε κάθε κλωβό που σχετίζεται με ιχθυοτροφεία που βρίσκονται υπό τη </w:t>
            </w:r>
            <w:r w:rsidRPr="004B104E">
              <w:rPr>
                <w:b/>
                <w:i/>
              </w:rPr>
              <w:t>δικαιοδοσία τους, συμπεριλαμβανομένων των κλωβών που χρησιμοποιούνται για τη μεταφορά των ιχθύων στο ιχθυοτροφείο.»·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5β.</w:t>
            </w:r>
            <w:r w:rsidRPr="004B104E">
              <w:rPr>
                <w:b/>
                <w:i/>
              </w:rPr>
              <w:tab/>
              <w:t xml:space="preserve">Οι μοναδικοί αριθμοί κλωβών σφραγίζονται ή αναγράφονται με βαφή στις δύο αντίθετες πλευρές του δακτυλίου του κλωβού και πάνω από την </w:t>
            </w:r>
            <w:r w:rsidRPr="004B104E">
              <w:rPr>
                <w:b/>
                <w:i/>
              </w:rPr>
              <w:t>ίσαλο γραμμή, σε απόχρωση αντίθετη με το φόντο στο οποίο είναι βαμμένοι ή σφραγισμένοι, και πρέπει να είναι ευδιάκριτοι και ευανάγνωστοι ανά πάσα στιγμή για λόγους ελέγχου. Τα γράμματα και οι αριθμοί έχουν ύψος τουλάχιστον 20 εκατοστά και πάχος γραμμής του</w:t>
            </w:r>
            <w:r w:rsidRPr="004B104E">
              <w:rPr>
                <w:b/>
                <w:i/>
              </w:rPr>
              <w:t xml:space="preserve">λάχιστον 4 εκατοστά. Επιτρέπονται εναλλακτικές μέθοδοι για τη σήμανση του μοναδικού αριθμού στον κλωβό, υπό την </w:t>
            </w:r>
            <w:r w:rsidRPr="004B104E">
              <w:rPr>
                <w:b/>
                <w:i/>
              </w:rPr>
              <w:lastRenderedPageBreak/>
              <w:t>προϋπόθεση ότι εγγυώνται την ίδια ορατότητα, αναγνωσιμότητα και το απαραβίαστο.»·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6)</w:t>
            </w:r>
            <w:r w:rsidRPr="004B104E">
              <w:rPr>
                <w:b/>
                <w:i/>
              </w:rPr>
              <w:tab/>
              <w:t>προστίθεται η ακόλουθη παράγραφος: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«7.</w:t>
            </w:r>
            <w:r w:rsidRPr="004B104E">
              <w:rPr>
                <w:b/>
                <w:i/>
              </w:rPr>
              <w:tab/>
              <w:t xml:space="preserve">Οι οικειοθελείς </w:t>
            </w:r>
            <w:r w:rsidRPr="004B104E">
              <w:rPr>
                <w:b/>
                <w:i/>
              </w:rPr>
              <w:t>μεταβιβάσεις και οι μεταβιβάσεις ελέγχου δεν υπόκεινται σε νέα άδεια μεταβίβασης.»</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 xml:space="preserve">Η σύσταση 22-08 της ICCAT τροποποιεί τη σύσταση 21-08 για τη θέσπιση πολυετούς σχεδίου αποκατάστασης του </w:t>
      </w:r>
      <w:r w:rsidRPr="004B104E">
        <w:t>ερυθρού τόνου στον Ανατολικό Ατλαντικό και 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54</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παράγραφος 1 – σημείο 1 ιη (νέο)</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ΧΧ/2023</w:t>
      </w:r>
      <w:r w:rsidRPr="004B104E">
        <w:rPr>
          <w:rStyle w:val="HideTWBExt"/>
        </w:rPr>
        <w:t>&lt;/DocAmend2&gt;</w:t>
      </w:r>
    </w:p>
    <w:p w:rsidR="00714966" w:rsidRPr="004B104E" w:rsidRDefault="00AB08CD" w:rsidP="00714966">
      <w:pPr>
        <w:keepNext/>
      </w:pPr>
      <w:r w:rsidRPr="004B104E">
        <w:rPr>
          <w:rStyle w:val="HideTWBExt"/>
        </w:rPr>
        <w:t>&lt;Article2&gt;</w:t>
      </w:r>
      <w:r w:rsidRPr="004B104E">
        <w:t>Άρθρο 41</w:t>
      </w:r>
      <w:r w:rsidRPr="004B104E">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1ιη)</w:t>
            </w:r>
            <w:r w:rsidRPr="004B104E">
              <w:rPr>
                <w:b/>
                <w:i/>
              </w:rPr>
              <w:tab/>
              <w:t>το άρθρο 41 τροποποιείται ως εξής: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ο τίτλος αντικαθίσταται από 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«Άρθρο 41</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Άρνηση χορήγησης άδειας μεταβίβασης και επακόλουθη απελευθέρωση του τόνου»·</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w:t>
            </w:r>
            <w:r w:rsidRPr="004B104E">
              <w:rPr>
                <w:b/>
                <w:i/>
              </w:rPr>
              <w:tab/>
              <w:t xml:space="preserve">στην </w:t>
            </w:r>
            <w:r w:rsidRPr="004B104E">
              <w:rPr>
                <w:b/>
                <w:i/>
              </w:rPr>
              <w:t>παράγραφο 1, τα στοιχεία β) και γ) αντικαθίστανται από 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«β)</w:t>
            </w:r>
            <w:r w:rsidRPr="004B104E">
              <w:rPr>
                <w:b/>
                <w:i/>
              </w:rPr>
              <w:tab/>
              <w:t>ο αριθμός και το βάρος των ιχθύων δεν έχει αναφερθεί σωστά από το σκάφος αλίευσης ή τη διάταξη παγίδευσης ή δεν είχε χορηγηθεί άδεια εγκλωβισμού·</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γ)</w:t>
            </w:r>
            <w:r w:rsidRPr="004B104E">
              <w:rPr>
                <w:b/>
                <w:i/>
              </w:rPr>
              <w:tab/>
              <w:t xml:space="preserve">το σκάφος αλίευσης ή η </w:t>
            </w:r>
            <w:r w:rsidRPr="004B104E">
              <w:rPr>
                <w:b/>
                <w:i/>
              </w:rPr>
              <w:t xml:space="preserve">διάταξη παγίδευσης που δηλώνεται ότι αλίευσε τους ιχθύες δεν διέθετε έγκυρη άδεια </w:t>
            </w:r>
            <w:r w:rsidRPr="004B104E">
              <w:rPr>
                <w:b/>
                <w:i/>
              </w:rPr>
              <w:lastRenderedPageBreak/>
              <w:t>αλιείας ερυθρού τόνου εκδοθείσα σύμφωνα με το άρθρο 26, ή»</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w:t>
            </w:r>
            <w:r w:rsidRPr="004B104E">
              <w:rPr>
                <w:b/>
                <w:i/>
              </w:rPr>
              <w:tab/>
              <w:t>Στην παράγραφο 1, προστίθεται το ακόλουθο στοιχείο: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«ε)</w:t>
            </w:r>
            <w:r w:rsidRPr="004B104E">
              <w:rPr>
                <w:b/>
                <w:i/>
              </w:rPr>
              <w:tab/>
              <w:t xml:space="preserve">το ιχθυοτροφείο προορισμού δεν αναφέρεται ως ενεργό </w:t>
            </w:r>
            <w:r w:rsidRPr="004B104E">
              <w:rPr>
                <w:b/>
                <w:i/>
              </w:rPr>
              <w:t>στο μητρώο ιχθυοτροφείων της ICCAT.»</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4)</w:t>
            </w:r>
            <w:r w:rsidRPr="004B104E">
              <w:rPr>
                <w:b/>
                <w:i/>
              </w:rPr>
              <w:tab/>
              <w:t>η παράγραφος 3 αντικαθίσταται από 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«Σε περίπτωση τεχνικής βλάβης του συστήματος παρακολούθησης σκαφών (VMS) κατά τη μεταφορά στο ιχθυοτροφείο, το ρυμουλκό αντικαθίσταται από άλλο ρυμουλκό με π</w:t>
            </w:r>
            <w:r w:rsidRPr="004B104E">
              <w:rPr>
                <w:b/>
                <w:i/>
              </w:rPr>
              <w:t>λήρως λειτουργικό VMS ή εγκαθίσταται ή χρησιμοποιείται νέο λειτουργικό VMS, το συντομότερο δυνατόν και το αργότερο 72 ώρες μετά την εν λόγω τεχνική βλάβη. Η εν λόγω περίοδος των 72 ωρών μπορεί κατ’ εξαίρεση να παραταθεί σε περίπτωση ανωτέρας βίας ή λόγω θε</w:t>
            </w:r>
            <w:r w:rsidRPr="004B104E">
              <w:rPr>
                <w:b/>
                <w:i/>
              </w:rPr>
              <w:t>μιτών επιχειρησιακών περιορισμών. Η τεχνική βλάβη κοινοποιείται αμέσως στην Επιτροπή, η οποία ενημερώνει τη γραμματεία της ICCAT. Από τη στιγμή εντοπισμού της τεχνικής βλάβης μέχρι και την επίλυσή της, οι πλοίαρχοι ή οι αντιπρόσωποί τους κοινοποιούν ανά ώρ</w:t>
            </w:r>
            <w:r w:rsidRPr="004B104E">
              <w:rPr>
                <w:b/>
                <w:i/>
              </w:rPr>
              <w:t>α στις ελεγκτικές αρχές του κράτους μέλους σημαίας τις επικαιροποιημένες γεωγραφικές συντεταγμένες του αλιευτικού σκάφους με κατάλληλα μέσα τηλεπικοινωνίας.»</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Η σύσταση 22-08 της ICCAT τροπ</w:t>
      </w:r>
      <w:r w:rsidRPr="004B104E">
        <w:t>οποιεί τη σύσταση 21-08 για τη θέσπιση πολυετούς σχεδίου αποκατάστασης του ερυθρού τόνου στον Ανατολικό Ατλαντικό και 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55</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παράγραφος 1 – σημε</w:t>
      </w:r>
      <w:r w:rsidRPr="004B104E">
        <w:t>ίο 1 ιθ (νέο)</w:t>
      </w:r>
      <w:r w:rsidRPr="004B104E">
        <w:rPr>
          <w:rStyle w:val="HideTWBExt"/>
        </w:rPr>
        <w:t>&lt;/Article&gt;</w:t>
      </w:r>
    </w:p>
    <w:p w:rsidR="00714966" w:rsidRPr="004B104E" w:rsidRDefault="00AB08CD" w:rsidP="00714966">
      <w:pPr>
        <w:keepNext/>
      </w:pPr>
      <w:r w:rsidRPr="004B104E">
        <w:rPr>
          <w:rStyle w:val="HideTWBExt"/>
        </w:rPr>
        <w:lastRenderedPageBreak/>
        <w:t>&lt;DocAmend2&gt;</w:t>
      </w:r>
      <w:r w:rsidRPr="004B104E">
        <w:t>Κανονισμός (ΕΕ) ΧΧ/2023</w:t>
      </w:r>
      <w:r w:rsidRPr="004B104E">
        <w:rPr>
          <w:rStyle w:val="HideTWBExt"/>
        </w:rPr>
        <w:t>&lt;/DocAmend2&gt;</w:t>
      </w:r>
    </w:p>
    <w:p w:rsidR="00714966" w:rsidRPr="004B104E" w:rsidRDefault="00AB08CD" w:rsidP="00714966">
      <w:pPr>
        <w:keepNext/>
      </w:pPr>
      <w:r w:rsidRPr="004B104E">
        <w:rPr>
          <w:rStyle w:val="HideTWBExt"/>
        </w:rPr>
        <w:t>&lt;Article2&gt;</w:t>
      </w:r>
      <w:r w:rsidRPr="004B104E">
        <w:t>Άρθρο 42</w:t>
      </w:r>
      <w:r w:rsidRPr="004B104E">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1ιθ)</w:t>
            </w:r>
            <w:r w:rsidRPr="004B104E">
              <w:rPr>
                <w:b/>
                <w:i/>
              </w:rPr>
              <w:tab/>
              <w:t>το άρθρο 42 τροποποιείται ως εξής: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w:t>
            </w:r>
            <w:r w:rsidRPr="004B104E">
              <w:rPr>
                <w:b/>
                <w:i/>
              </w:rPr>
              <w:tab/>
              <w:t>το άρθρο 42 θα γίνει άρθρο 43·</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β)</w:t>
            </w:r>
            <w:r w:rsidRPr="004B104E">
              <w:rPr>
                <w:b/>
                <w:i/>
              </w:rPr>
              <w:tab/>
              <w:t xml:space="preserve">η παράγραφος 1 αντικαθίσταται από το </w:t>
            </w:r>
            <w:r w:rsidRPr="004B104E">
              <w:rPr>
                <w:b/>
                <w:i/>
              </w:rPr>
              <w:t>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Μετά τη λήξη των δραστηριοτήτων μεταβίβασης, οι πλοίαρχοι των σκαφών αλίευσης ή των ρυμουλκών ή οι αντιπρόσωποί τους ή ο φορέας εκμετάλλευσης του ιχθυοτροφείου ή της διάταξης παγίδευσης συμπληρώνουν και διαβιβάζουν στην αρμόδια αρχή</w:t>
            </w:r>
            <w:r w:rsidRPr="004B104E">
              <w:rPr>
                <w:b/>
                <w:i/>
              </w:rPr>
              <w:t xml:space="preserve"> του κράτους μέλους, στον περιφερειακό παρατηρητή της ICCAT, όπου η παρουσία του είναι υποχρεωτική και, κατά περίπτωση, στον πλοίαρχο του ρυμουλκού ή του ιχθυοτροφείου που παραλαμβάνει τους ιχθύες, τη δήλωση μεταβίβασης της ICCAT σύμφωνα με τον μορφότυπο π</w:t>
            </w:r>
            <w:r w:rsidRPr="004B104E">
              <w:rPr>
                <w:b/>
                <w:i/>
              </w:rPr>
              <w:t>ου ορίζεται στο παράρτημα VI.»·</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γ)</w:t>
            </w:r>
            <w:r w:rsidRPr="004B104E">
              <w:rPr>
                <w:b/>
                <w:i/>
              </w:rPr>
              <w:tab/>
              <w:t>η παράγραφος 3 αντικαθίσταται από 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w:t>
            </w:r>
            <w:r w:rsidRPr="004B104E">
              <w:rPr>
                <w:b/>
                <w:i/>
              </w:rPr>
              <w:tab/>
              <w:t>Η πρωτότυπη δήλωση μεταβίβαση της ICCAT συνοδεύει τη μεταβίβαση ιχθύων έως το ιχθυοτροφείο προορισμού όπου θα εγκλωβιστούν:</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w:t>
            </w:r>
            <w:r w:rsidRPr="004B104E">
              <w:rPr>
                <w:b/>
                <w:i/>
              </w:rPr>
              <w:tab/>
              <w:t xml:space="preserve">κατά την πρώτη μεταβίβαση, ο </w:t>
            </w:r>
            <w:r w:rsidRPr="004B104E">
              <w:rPr>
                <w:b/>
                <w:i/>
              </w:rPr>
              <w:t>πλοίαρχος του αλιευτικού σκάφους ή του ρυμουλκού ή ο αντιπρόσωπός του ή ο αντιπρόσωπος του ιχθυοτροφείου ή της διάταξης παγίδευσης, από τα οποία προέρχεται η δραστηριότητα μεταβίβασης, δημιουργεί διπλότυπο του πρωτοτύπου της δήλωσης μεταβίβασης, όταν ένα μ</w:t>
            </w:r>
            <w:r w:rsidRPr="004B104E">
              <w:rPr>
                <w:b/>
                <w:i/>
              </w:rPr>
              <w:t>όνο αλίευμα μεταβιβάζεται από το δίχτυ γρι-γρι ή τη διάταξη παγίδευσης σε περισσότερους από έναν κλωβούς μεταφοράς·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β)</w:t>
            </w:r>
            <w:r w:rsidRPr="004B104E">
              <w:rPr>
                <w:b/>
                <w:i/>
              </w:rPr>
              <w:tab/>
              <w:t xml:space="preserve">σε περίπτωση περαιτέρω μεταβίβασης, ο πλοίαρχος του </w:t>
            </w:r>
            <w:r w:rsidRPr="004B104E">
              <w:rPr>
                <w:b/>
                <w:i/>
              </w:rPr>
              <w:lastRenderedPageBreak/>
              <w:t xml:space="preserve">παραδίδοντος ρυμουλκού σκάφους επικαιροποιεί τη δήλωση μεταβίβασης, συμπληρώνοντας </w:t>
            </w:r>
            <w:r w:rsidRPr="004B104E">
              <w:rPr>
                <w:b/>
                <w:i/>
              </w:rPr>
              <w:t>το μέρος 3 (περαιτέρω μεταβιβάσεις), και παρέχει την επικαιροποιημένη δήλωση μεταβίβασης στο παραλαμβάνον ρυμουλκό σκάφος.»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Αντίγραφο της δήλωσης μεταβίβασης φυλάσσεται επί του παραδίδοντος σκάφους αλίευσης ή του ρυμουλκού ή από τη διάταξη παγίδευσης ή τ</w:t>
            </w:r>
            <w:r w:rsidRPr="004B104E">
              <w:rPr>
                <w:b/>
                <w:i/>
              </w:rPr>
              <w:t>ο ιχθυοτροφείο-δότη και είναι προσβάσιμο ανά πάσα στιγμή για λόγους ελέγχου κατά τη διάρκεια της αλιευτικής εξόρμησης.»·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δ)</w:t>
            </w:r>
            <w:r w:rsidRPr="004B104E">
              <w:rPr>
                <w:b/>
                <w:i/>
              </w:rPr>
              <w:tab/>
              <w:t>η παράγραφος 5 αντικαθίσταται από 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«5.</w:t>
            </w:r>
            <w:r w:rsidRPr="004B104E">
              <w:rPr>
                <w:b/>
                <w:i/>
              </w:rPr>
              <w:tab/>
              <w:t xml:space="preserve">Οι πληροφορίες σχετικά με τους νεκρούς ιχθύες κατά τη διάρκεια της </w:t>
            </w:r>
            <w:r w:rsidRPr="004B104E">
              <w:rPr>
                <w:b/>
                <w:i/>
              </w:rPr>
              <w:t>δραστηριότητας μεταβίβασης ή κατά τη μεταφορά ιχθύων στο ιχθυοτροφείο προορισμού καταγράφονται σύμφωνα με τις διαδικασίες που ορίζονται στο παράρτημα XIII.»</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 xml:space="preserve">Η σύσταση 22-08 της ICCAT </w:t>
      </w:r>
      <w:r w:rsidRPr="004B104E">
        <w:t>τροποποιεί τη σύσταση 21-08 για τη θέσπιση πολυετούς σχεδίου αποκατάστασης του ερυθρού τόνου στον Ανατολικό Ατλαντικό και 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56</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 xml:space="preserve">Άρθρο 2 – παράγραφος 1 – </w:t>
      </w:r>
      <w:r w:rsidRPr="004B104E">
        <w:t>σημείο 1 κ (νέο)</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ΧΧ/2023</w:t>
      </w:r>
      <w:r w:rsidRPr="004B104E">
        <w:rPr>
          <w:rStyle w:val="HideTWBExt"/>
        </w:rPr>
        <w:t>&lt;/DocAmend2&gt;</w:t>
      </w:r>
    </w:p>
    <w:p w:rsidR="00714966" w:rsidRPr="004B104E" w:rsidRDefault="00AB08CD" w:rsidP="00714966">
      <w:pPr>
        <w:pStyle w:val="NormalBold"/>
        <w:rPr>
          <w:b w:val="0"/>
        </w:rPr>
      </w:pPr>
      <w:r w:rsidRPr="004B104E">
        <w:rPr>
          <w:rStyle w:val="HideTWBExt"/>
        </w:rPr>
        <w:t>&lt;Article2&gt;</w:t>
      </w:r>
      <w:r w:rsidRPr="004B104E">
        <w:rPr>
          <w:b w:val="0"/>
        </w:rPr>
        <w:t>Άρθρο 43</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1κ)</w:t>
            </w:r>
            <w:r w:rsidRPr="004B104E">
              <w:rPr>
                <w:b/>
                <w:i/>
              </w:rPr>
              <w:tab/>
              <w:t>το άρθρο 43 τροποποιείται ως εξής: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w:t>
            </w:r>
            <w:r w:rsidRPr="004B104E">
              <w:rPr>
                <w:b/>
                <w:i/>
              </w:rPr>
              <w:tab/>
              <w:t>το άρθρο 43 θα γίνει άρθρο 42</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β)</w:t>
            </w:r>
            <w:r w:rsidRPr="004B104E">
              <w:rPr>
                <w:b/>
                <w:i/>
              </w:rPr>
              <w:tab/>
              <w:t xml:space="preserve">η παράγραφος 1 αντικαθίσταται από το </w:t>
            </w:r>
            <w:r w:rsidRPr="004B104E">
              <w:rPr>
                <w:b/>
                <w:i/>
              </w:rPr>
              <w:t>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 xml:space="preserve">Ο πλοίαρχος του σκάφους αλίευσης ή του ρυμουλκού ή ο φορέας εκμετάλλευσης του ιχθυοτροφείου ή της διάταξης παγίδευσης από τα οποία προέρχεται η μεταβίβαση διασφαλίζει ότι η μεταβίβαση παρακολουθείται με βιντεοκάμερα υποβρυχίως, </w:t>
            </w:r>
            <w:r w:rsidRPr="004B104E">
              <w:rPr>
                <w:b/>
                <w:i/>
              </w:rPr>
              <w:t>προκειμένου να προσδιοριστεί ο αριθμός των ερυθρών τόνων που μεταβιβάζονται, με εξαίρεση τις μεταβιβάσεις κλωβών μεταξύ δύο ρυμουλκών σκαφών που δεν περιλαμβάνουν μετακίνηση ζώντος τόνου μεταξύ των εν λόγω κλωβών. Η βιντεοσκόπηση πραγματοποιείται σύμφωνα μ</w:t>
            </w:r>
            <w:r w:rsidRPr="004B104E">
              <w:rPr>
                <w:b/>
                <w:i/>
              </w:rPr>
              <w:t>ε τις ελάχιστες προδιαγραφές και τις διαδικασίες που ορίζονται στο παράρτημα XI. Κάθε αρμόδια αρχή του κράτους μέλους του φορέα εκμετάλλευσης-δότη λαμβάνει τα αναγκαία μέτρα για να διασφαλίσει ότι ο φορέας εκμετάλλευσης-δότης παρέχει χωρίς καθυστέρηση ακρι</w:t>
            </w:r>
            <w:r w:rsidRPr="004B104E">
              <w:rPr>
                <w:b/>
                <w:i/>
              </w:rPr>
              <w:t>βή αντίγραφα της βιντεοσκόπησης: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w:t>
            </w:r>
            <w:r w:rsidRPr="004B104E">
              <w:rPr>
                <w:b/>
                <w:i/>
              </w:rPr>
              <w:tab/>
              <w:t>για την πρώτη δραστηριότητα μεταβίβασης και την ενδεχόμενη οικειοθελή μεταβίβαση στον περιφερειακό παρατηρητή της ICCAT και στο παραλαμβάνον ρυμουλκό σκάφος και, στο τέλος του αλιευτικού ταξιδιού, στην αρμόδια αρχή του</w:t>
            </w:r>
            <w:r w:rsidRPr="004B104E">
              <w:rPr>
                <w:b/>
                <w:i/>
              </w:rPr>
              <w:t xml:space="preserve"> κράτους μέλους σημαίας ή διάταξης παγίδευσης του φορέα εκμετάλλευσης-δότη·</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β)</w:t>
            </w:r>
            <w:r w:rsidRPr="004B104E">
              <w:rPr>
                <w:b/>
                <w:i/>
              </w:rPr>
              <w:tab/>
              <w:t>για περαιτέρω μεταβιβάσεις, στον εθνικό παρατηρητή που βρίσκεται επί του παραδίδοντος ρυμουλκού σκάφους, στον πλοίαρχο του παραλαμβάνοντος ρυμουλκού σκάφους και, στο τέλος του</w:t>
            </w:r>
            <w:r w:rsidRPr="004B104E">
              <w:rPr>
                <w:b/>
                <w:i/>
              </w:rPr>
              <w:t xml:space="preserve"> ταξιδιού ρυμούλκησης, στην αρμόδια αρχή του κράτους μέλους σημαίας του παραδίδοντος ρυμουλκού·</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γ)</w:t>
            </w:r>
            <w:r w:rsidRPr="004B104E">
              <w:rPr>
                <w:b/>
                <w:i/>
              </w:rPr>
              <w:tab/>
              <w:t xml:space="preserve">για μεταβιβάσεις μεταξύ δύο διαφορετικών ιχθυοτροφείων, στον περιφερειακό παρατηρητή της ICCAT, στο παραλαμβάνον ρυμουλκό σκάφος και στην αρμόδια αρχή του </w:t>
            </w:r>
            <w:r w:rsidRPr="004B104E">
              <w:rPr>
                <w:b/>
                <w:i/>
              </w:rPr>
              <w:t>κράτους μέλους του ιχθυοτροφείου-δότη· και</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δ)</w:t>
            </w:r>
            <w:r w:rsidRPr="004B104E">
              <w:rPr>
                <w:b/>
                <w:i/>
              </w:rPr>
              <w:tab/>
              <w:t xml:space="preserve">εάν κατά τη διάρκεια της </w:t>
            </w:r>
            <w:r w:rsidRPr="004B104E">
              <w:rPr>
                <w:b/>
                <w:i/>
              </w:rPr>
              <w:lastRenderedPageBreak/>
              <w:t>δραστηριότητας μεταβίβασης παρίσταται εθνική αρχή ή αρχή επιθεώρησης της ICCAT, ο επιθεωρητής επίσης λαμβάνει αντίγραφο της σχετικής βιντεοσκόπησης.»·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γ)</w:t>
            </w:r>
            <w:r w:rsidRPr="004B104E">
              <w:rPr>
                <w:b/>
                <w:i/>
              </w:rPr>
              <w:tab/>
              <w:t xml:space="preserve">προστίθεται η ακόλουθη </w:t>
            </w:r>
            <w:r w:rsidRPr="004B104E">
              <w:rPr>
                <w:b/>
                <w:i/>
              </w:rPr>
              <w:t>παράγραφος: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«1α.</w:t>
            </w:r>
            <w:r w:rsidRPr="004B104E">
              <w:rPr>
                <w:b/>
                <w:i/>
              </w:rPr>
              <w:tab/>
              <w:t>Το σχετικό βίντεο συνοδεύει τους ιχθύες έως το ιχθυοτροφείο προορισμού. Διατηρείται αντίγραφο επί του παραδιδόμενου σκάφους, από τη διάταξη παγίδευσης ή το ιχθυοτροφείο, το οποίο παραμένει προσβάσιμο για λόγους ελέγχου οποιαδήποτε στιγμή</w:t>
            </w:r>
            <w:r w:rsidRPr="004B104E">
              <w:rPr>
                <w:b/>
                <w:i/>
              </w:rPr>
              <w:t xml:space="preserve"> κατά τη διάρκεια της αλιευτικής εκστρατείας.»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δ)</w:t>
            </w:r>
            <w:r w:rsidRPr="004B104E">
              <w:rPr>
                <w:b/>
                <w:i/>
              </w:rPr>
              <w:tab/>
              <w:t>προστίθεται το ακόλουθο εδάφιο: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w:t>
            </w:r>
            <w:r w:rsidRPr="004B104E">
              <w:rPr>
                <w:b/>
                <w:i/>
              </w:rPr>
              <w:tab/>
              <w:t xml:space="preserve">Ο πλοίαρχος του σκάφους αλίευσης ή του ρυμουλκού ή ο αντιπρόσωπός του ή ο αντιπρόσωπος του ιχθυοτροφείου ή της διάταξης παγίδευσης, από τα οποία προέρχεται η </w:t>
            </w:r>
            <w:r w:rsidRPr="004B104E">
              <w:rPr>
                <w:b/>
                <w:i/>
              </w:rPr>
              <w:t>δραστηριότητα μεταβίβασης, και οι αρμόδιες αρχές του κράτους μέλους διατηρούν τα βίντεο που σχετίζονται με τις μεταβιβάσεις για τουλάχιστον 3 έτη και για όσο διάστημα είναι αναγκαίο για λόγους ελέγχου και επιβολής της νομοθεσίας.»</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w:t>
      </w:r>
      <w:r w:rsidRPr="004B104E">
        <w:rPr>
          <w:rStyle w:val="HideTWBExt"/>
          <w:noProof w:val="0"/>
        </w:rPr>
        <w:t>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Η σύσταση 22-08 της ICCAT τροποποιεί τη σύσταση 21-08 για τη θέσπιση πολυετούς σχεδίου αποκατάστασης του ερυθρού τόνου στον Ανατολικό Ατλαντικό και 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57</w:t>
      </w:r>
      <w:r w:rsidRPr="004B104E">
        <w:rPr>
          <w:rStyle w:val="HideTWBExt"/>
        </w:rPr>
        <w:t>&lt;/NumAm&gt;</w:t>
      </w:r>
    </w:p>
    <w:p w:rsidR="00714966" w:rsidRPr="004B104E" w:rsidRDefault="00AB08CD" w:rsidP="00714966">
      <w:pPr>
        <w:pStyle w:val="NormalBold12b"/>
        <w:keepNext/>
      </w:pPr>
      <w:r w:rsidRPr="004B104E">
        <w:rPr>
          <w:rStyle w:val="HideTWBExt"/>
        </w:rPr>
        <w:t>&lt;DocA</w:t>
      </w:r>
      <w:r w:rsidRPr="004B104E">
        <w:rPr>
          <w:rStyle w:val="HideTWBExt"/>
        </w:rPr>
        <w:t>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παράγραφος 1 – σημείο 1 κα (νέο)</w:t>
      </w:r>
      <w:r w:rsidRPr="004B104E">
        <w:rPr>
          <w:rStyle w:val="HideTWBExt"/>
        </w:rPr>
        <w:t>&lt;/Article&gt;</w:t>
      </w:r>
    </w:p>
    <w:p w:rsidR="00714966" w:rsidRPr="004B104E" w:rsidRDefault="00AB08CD" w:rsidP="00714966">
      <w:pPr>
        <w:keepNext/>
      </w:pPr>
      <w:r w:rsidRPr="004B104E">
        <w:rPr>
          <w:rStyle w:val="HideTWBExt"/>
        </w:rPr>
        <w:lastRenderedPageBreak/>
        <w:t>&lt;DocAmend2&gt;</w:t>
      </w:r>
      <w:r w:rsidRPr="004B104E">
        <w:t>Κανονισμός (ΕΕ) ΧΧ/2023</w:t>
      </w:r>
      <w:r w:rsidRPr="004B104E">
        <w:rPr>
          <w:rStyle w:val="HideTWBExt"/>
        </w:rPr>
        <w:t>&lt;/DocAmend2&gt;</w:t>
      </w:r>
    </w:p>
    <w:p w:rsidR="00714966" w:rsidRPr="004B104E" w:rsidRDefault="00AB08CD" w:rsidP="00714966">
      <w:pPr>
        <w:keepNext/>
      </w:pPr>
      <w:r w:rsidRPr="004B104E">
        <w:rPr>
          <w:rStyle w:val="HideTWBExt"/>
        </w:rPr>
        <w:t>&lt;Article2&gt;</w:t>
      </w:r>
      <w:r w:rsidRPr="004B104E">
        <w:t>Άρθρο 43 α (νέο)</w:t>
      </w:r>
      <w:r w:rsidRPr="004B104E">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1κα)</w:t>
            </w:r>
            <w:r w:rsidRPr="004B104E">
              <w:rPr>
                <w:b/>
                <w:i/>
              </w:rPr>
              <w:tab/>
              <w:t>προστίθεται το ακόλουθο άρθρο: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«Άρθρο</w:t>
            </w:r>
            <w:r w:rsidRPr="004B104E">
              <w:rPr>
                <w:b/>
                <w:i/>
              </w:rPr>
              <w:t xml:space="preserve"> 43a</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Οικειοθελείς μεταβιβάσεις και μεταβιβάσεις ελέγχου</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Όταν το βίντεο που αναφέρεται στο άρθρο 42 δεν πληροί τις ελάχιστες προδιαγραφές που προβλέπονται στο παράρτημα Χ, και ιδίως εάν η ποιότητα και η ευκρίνειά του δεν επαρκούν για τον προσδιορισμό</w:t>
            </w:r>
            <w:r w:rsidRPr="004B104E">
              <w:rPr>
                <w:b/>
                <w:i/>
              </w:rPr>
              <w:t xml:space="preserve"> του αριθμού των ιχθύων που μεταβιβάζονται, ο πλοίαρχος του σκάφους αλίευσης ή του ρυμουλκού ή ο αντιπρόσωπός του ή ο αντιπρόσωπος του ιχθυοτροφείου ή της διάταξης παγίδευσης, από τα οποία προέρχεται η δραστηριότητα μεταβίβασης, μπορεί να πραγματοποιεί οικ</w:t>
            </w:r>
            <w:r w:rsidRPr="004B104E">
              <w:rPr>
                <w:b/>
                <w:i/>
              </w:rPr>
              <w:t>ειοθελείς μεταβιβάσεις.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w:t>
            </w:r>
            <w:r w:rsidRPr="004B104E">
              <w:rPr>
                <w:b/>
                <w:i/>
              </w:rPr>
              <w:tab/>
              <w:t>Σε περίπτωση που δεν έχουν πραγματοποιηθεί οικειοθελείς μεταβιβάσεις ή εάν οι οικειοθελείς μεταβιβάσεις εξακολουθούν να μην επιτρέπουν τον προσδιορισμό του αριθμού των ιχθύων που μεταβιβάζονται, η αρμόδια αρχή του κράτους μέλου</w:t>
            </w:r>
            <w:r w:rsidRPr="004B104E">
              <w:rPr>
                <w:b/>
                <w:i/>
              </w:rPr>
              <w:t>ς του σκάφους, της διάταξης παγίδευσης ή του ιχθυοτροφείου από τα οποία προέρχεται η δραστηριότητα μεταβίβασης διατάσσει μεταβίβαση ελέγχου, η οποία επαναλαμβάνεται έως ότου η ποιότητα της βιντεοσκόπησης να επιτρέπει την εκτίμηση του αριθμού των ερυθρών τό</w:t>
            </w:r>
            <w:r w:rsidRPr="004B104E">
              <w:rPr>
                <w:b/>
                <w:i/>
              </w:rPr>
              <w:t>νων που μεταβιβάζονται.</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w:t>
            </w:r>
            <w:r w:rsidRPr="004B104E">
              <w:rPr>
                <w:b/>
                <w:i/>
              </w:rPr>
              <w:tab/>
              <w:t xml:space="preserve">Η οικειοθελής μεταβίβαση και/ή μεταβίβαση ελέγχου πραγματοποιείται σε άλλο κλωβό, ο οποίος πρέπει να είναι κενός. Ο αριθμός των ιχθύων που λαμβάνεται από την έγκυρη οικειοθελή μεταβίβαση ή τη μεταβίβαση ελέγχου χρησιμοποιείται </w:t>
            </w:r>
            <w:r w:rsidRPr="004B104E">
              <w:rPr>
                <w:b/>
                <w:i/>
              </w:rPr>
              <w:t xml:space="preserve">για τη συμπλήρωση του ημερολογίου, της δήλωσης μεταβίβασης της ICCAT και των σχετικών τμημάτων </w:t>
            </w:r>
            <w:r w:rsidRPr="004B104E">
              <w:rPr>
                <w:b/>
                <w:i/>
              </w:rPr>
              <w:lastRenderedPageBreak/>
              <w:t>του eBCD.</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4.</w:t>
            </w:r>
            <w:r w:rsidRPr="004B104E">
              <w:rPr>
                <w:b/>
                <w:i/>
              </w:rPr>
              <w:tab/>
              <w:t>Ο διαχωρισμός του κλωβού μεταφοράς από το σκάφος γρι-γρι, τη διάταξη παγίδευσης ή τον κλωβό εκτροφής δεν πραγματοποιείται προτού εκτελέσει τα καθή</w:t>
            </w:r>
            <w:r w:rsidRPr="004B104E">
              <w:rPr>
                <w:b/>
                <w:i/>
              </w:rPr>
              <w:t>κοντά του ο περιφερειακός παρατηρητής της ICCAT που βρίσκεται επί του σκάφους γρι-γρι ή που παρίσταται στο ιχθυοτροφείο ή στη διάταξη παγίδευσης.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5.</w:t>
            </w:r>
            <w:r w:rsidRPr="004B104E">
              <w:rPr>
                <w:b/>
                <w:i/>
              </w:rPr>
              <w:tab/>
              <w:t>Σε περίπτωση που η ποιότητα του βίντεο της οικειοθελούς μεταβίβασης εξακολουθεί να μην επιτρέπει τον προσ</w:t>
            </w:r>
            <w:r w:rsidRPr="004B104E">
              <w:rPr>
                <w:b/>
                <w:i/>
              </w:rPr>
              <w:t>διορισμό του αριθμού των ιχθύων που μεταβιβάζονται, η αρμόδια αρχή του κράτους μέλους του πλοιάρχου του σκάφους αλίευσης ή του ρυμουλκού ή του αντιπροσώπου του ή του αντιπροσώπου του ιχθυοτροφείου ή της διάταξης παγίδευσης μπορεί να επιτρέψει τον διαχωρισμ</w:t>
            </w:r>
            <w:r w:rsidRPr="004B104E">
              <w:rPr>
                <w:b/>
                <w:i/>
              </w:rPr>
              <w:t>ό του σκάφους γρι-γρι, της διάταξης παγίδευσης ή του ιχθυοτροφείου από τον κλωβό ή τους κλωβούς μεταφοράς. Στην περίπτωση αυτή, η αρμόδια αρχή του κράτους μέλους του πλοιάρχου του σκάφους αλίευσης ή του ρυμουλκού ή του αντιπροσώπου του ή του αντιπροσώπου τ</w:t>
            </w:r>
            <w:r w:rsidRPr="004B104E">
              <w:rPr>
                <w:b/>
                <w:i/>
              </w:rPr>
              <w:t>ου ιχθυοτροφείου ή της διάταξης παγίδευσης διατάσσει τη σφράγιση των ανοιγμάτων των σχετικών κλωβών μεταφοράς, σύμφωνα με τη διαδικασία που ορίζεται στο παράρτημα XIX, και απαιτεί τη διενέργεια μεταβιβάσεων ελέγχου σε καθορισμένο χρόνο και τόπο παρουσία τη</w:t>
            </w:r>
            <w:r w:rsidRPr="004B104E">
              <w:rPr>
                <w:b/>
                <w:i/>
              </w:rPr>
              <w:t>ς αρμόδιας αρχής σημαίας, διάταξης παγίδευσης ή ιχθυοτροφείου.</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6.</w:t>
            </w:r>
            <w:r w:rsidRPr="004B104E">
              <w:rPr>
                <w:b/>
                <w:i/>
              </w:rPr>
              <w:tab/>
              <w:t>Σε περίπτωση που οι αρμόδιες αρχές του κράτους μέλους σημαίας, διάταξης παγίδευσης ή ιχθυοτροφείου δεν είναι παρούσες κατά τη μεταβίβαση ελέγχου, η μεταβίβαση ελέγχου πραγματοποιείται παρο</w:t>
            </w:r>
            <w:r w:rsidRPr="004B104E">
              <w:rPr>
                <w:b/>
                <w:i/>
              </w:rPr>
              <w:t xml:space="preserve">υσία του περιφερειακού παρατηρητή της ICCAT. Στην περίπτωση αυτή, την ευθύνη για την τοποθέτηση του περιφερειακού παρατηρητή φέρει ο φορέας </w:t>
            </w:r>
            <w:r w:rsidRPr="004B104E">
              <w:rPr>
                <w:b/>
                <w:i/>
              </w:rPr>
              <w:lastRenderedPageBreak/>
              <w:t>εκμετάλλευσης του ιχθυοτροφείου στον οποίο ανήκει ο μεταφερόμενος ερυθρός τόνος, ο οποίος εξασφαλίζει την τοποθέτηση</w:t>
            </w:r>
            <w:r w:rsidRPr="004B104E">
              <w:rPr>
                <w:b/>
                <w:i/>
              </w:rPr>
              <w:t xml:space="preserve"> του περιφερειακού παρατηρητή με σκοπό την επαλήθευση της μεταβίβασης ελέγχου.»</w:t>
            </w:r>
          </w:p>
        </w:tc>
      </w:tr>
    </w:tbl>
    <w:p w:rsidR="00714966" w:rsidRPr="004B104E" w:rsidRDefault="00AB08CD" w:rsidP="00714966">
      <w:pPr>
        <w:pStyle w:val="Olang"/>
      </w:pPr>
      <w:r w:rsidRPr="004B104E">
        <w:lastRenderedPageBreak/>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 xml:space="preserve">Η σύσταση 22-08 της ICCAT τροποποιεί τη σύσταση 21-08 για τη θέσπιση πολυετούς σχεδίου αποκατάστασης του </w:t>
      </w:r>
      <w:r w:rsidRPr="004B104E">
        <w:t>ερυθρού τόνου στον Ανατολικό Ατλαντικό και 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58</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παράγραφος 1 – σημείο 1 κβ (νέο)</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ΧΧ/2023</w:t>
      </w:r>
      <w:r w:rsidRPr="004B104E">
        <w:rPr>
          <w:rStyle w:val="HideTWBExt"/>
        </w:rPr>
        <w:t>&lt;/DocAmend2&gt;</w:t>
      </w:r>
    </w:p>
    <w:p w:rsidR="00714966" w:rsidRPr="004B104E" w:rsidRDefault="00AB08CD" w:rsidP="00714966">
      <w:pPr>
        <w:pStyle w:val="NormalBold"/>
        <w:rPr>
          <w:b w:val="0"/>
        </w:rPr>
      </w:pPr>
      <w:r w:rsidRPr="004B104E">
        <w:rPr>
          <w:rStyle w:val="HideTWBExt"/>
        </w:rPr>
        <w:t>&lt;Article2&gt;</w:t>
      </w:r>
      <w:r w:rsidRPr="004B104E">
        <w:rPr>
          <w:b w:val="0"/>
        </w:rPr>
        <w:t>Άρθρο 44</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1κβ)</w:t>
            </w:r>
            <w:r w:rsidRPr="004B104E">
              <w:rPr>
                <w:b/>
                <w:i/>
              </w:rPr>
              <w:tab/>
              <w:t>το άρθρο 44 τροποποιείται ως εξής: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w:t>
            </w:r>
            <w:r w:rsidRPr="004B104E">
              <w:rPr>
                <w:b/>
                <w:i/>
              </w:rPr>
              <w:tab/>
              <w:t>ο τίτλος αντικαθίσταται από 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«Έρευνα από την αρμόδια αρχή του κράτους μέλους».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β)</w:t>
            </w:r>
            <w:r w:rsidRPr="004B104E">
              <w:rPr>
                <w:b/>
                <w:i/>
              </w:rPr>
              <w:tab/>
              <w:t>η παράγραφος 1 διαγράφεται·</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γ)</w:t>
            </w:r>
            <w:r w:rsidRPr="004B104E">
              <w:rPr>
                <w:b/>
                <w:i/>
              </w:rPr>
              <w:tab/>
              <w:t xml:space="preserve">η </w:t>
            </w:r>
            <w:r w:rsidRPr="004B104E">
              <w:rPr>
                <w:b/>
                <w:i/>
              </w:rPr>
              <w:t>παράγραφος 2 αντικαθίσταται από 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w:t>
            </w:r>
            <w:r w:rsidRPr="004B104E">
              <w:rPr>
                <w:b/>
                <w:i/>
              </w:rPr>
              <w:tab/>
              <w:t>Το αρμόδιο κράτος μέλος διερευνά όλες τις περιπτώσεις στις οποίες: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w:t>
            </w:r>
            <w:r w:rsidRPr="004B104E">
              <w:rPr>
                <w:b/>
                <w:i/>
              </w:rPr>
              <w:tab/>
              <w:t xml:space="preserve">υπάρχει διαφορά άνω του 10 % μεταξύ του αριθμού των ιχθύων που αναφέρονται στη δήλωση μεταβίβασης της ICCAT από τον πλοίαρχο </w:t>
            </w:r>
            <w:r w:rsidRPr="004B104E">
              <w:rPr>
                <w:b/>
                <w:i/>
              </w:rPr>
              <w:t xml:space="preserve">του σκάφους αλίευσης ή του ρυμουλκού ή τον φορέα εκμετάλλευσης της διάταξης παγίδευσης ή του ιχθυοτροφείου και του αριθμού ιχθύων που εκτιμάται από τον περιφερειακό παρατηρητή της ICCAT ή από τον εθνικό παρατηρητή του ΣΜΣ, </w:t>
            </w:r>
            <w:r w:rsidRPr="004B104E">
              <w:rPr>
                <w:b/>
                <w:i/>
              </w:rPr>
              <w:lastRenderedPageBreak/>
              <w:t>κατά περίπτωση·</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β)</w:t>
            </w:r>
            <w:r w:rsidRPr="004B104E">
              <w:rPr>
                <w:b/>
                <w:i/>
              </w:rPr>
              <w:tab/>
              <w:t>ο περιφερεια</w:t>
            </w:r>
            <w:r w:rsidRPr="004B104E">
              <w:rPr>
                <w:b/>
                <w:i/>
              </w:rPr>
              <w:t>κός παρατηρητής της ICCAT δεν έχει υπογράψει τη δήλωση μεταβίβασης·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 xml:space="preserve">το περιθώριο σφάλματος της τάξης του 10 % που αναφέρεται στο στοιχείο α) εκφράζεται ως ποσοστό των στοιχείων που παρέχει ο πλοίαρχος του σκάφους αλίευσης ή του ρυμουλκού ή ο φορέας </w:t>
            </w:r>
            <w:r w:rsidRPr="004B104E">
              <w:rPr>
                <w:b/>
                <w:i/>
              </w:rPr>
              <w:t>εκμετάλλευσης της διάταξης παγίδευσης ή του ιχθυοτροφείου·</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κατά την έναρξη έρευνας, η αρμόδια αρχή του κράτους μέλους ενημερώνει σχετικά με την έρευνα το κράτος μέλος σημαίας ή την αρμόδια αρχή του ΣΜΣ των σχετικών ρυμουλκών και εξασφαλίζει ότι δεν επιτρ</w:t>
            </w:r>
            <w:r w:rsidRPr="004B104E">
              <w:rPr>
                <w:b/>
                <w:i/>
              </w:rPr>
              <w:t>έπεται καμία μεταβίβαση από ή προς τον συγκεκριμένο κλωβό μεταφοράς, μέχρι να ολοκληρωθεί η έρευνα·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κατά περίπτωση, η έρευνα περιλαμβάνει ανάλυση όλων των σχετικών βιντεοσκοπήσεων. Η έρευνα ολοκληρώνεται πριν από τον χρόνο εγκλωβισμού στο ιχθυοτροφείο κα</w:t>
            </w:r>
            <w:r w:rsidRPr="004B104E">
              <w:rPr>
                <w:b/>
                <w:i/>
              </w:rPr>
              <w:t>ι, σε κάθε περίπτωση, εντός 96 ωρών από την έναρξή της, εκτός αν συντρέχει λόγος ανωτέρας βίας. Έως ότου ολοκληρωθεί η έρευνα, δεν επιτρέπεται ο εγκλωβισμός και δεν επικυρώνεται το σχετικό τμήμα του BCD.»·</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δ)</w:t>
            </w:r>
            <w:r w:rsidRPr="004B104E">
              <w:rPr>
                <w:b/>
                <w:i/>
              </w:rPr>
              <w:tab/>
              <w:t>οι παράγραφοι 3, 4 και 5 διαγράφονται·</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ε)</w:t>
            </w:r>
            <w:r w:rsidRPr="004B104E">
              <w:rPr>
                <w:b/>
                <w:i/>
              </w:rPr>
              <w:tab/>
            </w:r>
            <w:r w:rsidRPr="004B104E">
              <w:rPr>
                <w:b/>
                <w:i/>
              </w:rPr>
              <w:t>προστίθεται η ακόλουθη παράγραφος: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«3α.</w:t>
            </w:r>
            <w:r w:rsidRPr="004B104E">
              <w:rPr>
                <w:b/>
                <w:i/>
              </w:rPr>
              <w:tab/>
              <w:t>Για όλες τις δραστηριότητες μεταβίβασης για τις οποίες απαιτείται βιντεοσκόπηση, διαφορά μεγαλύτερη του 10 % μεταξύ του αριθμού των ερυθρών τόνων που καταγράφεται στη δήλωση μεταβίβασης από τον πλοίαρχο του αλιευτι</w:t>
            </w:r>
            <w:r w:rsidRPr="004B104E">
              <w:rPr>
                <w:b/>
                <w:i/>
              </w:rPr>
              <w:t xml:space="preserve">κού σκάφους ή τον αντιπρόσωπό του ή από τον αντιπρόσωπο του ιχθυοτροφείου ή της διάταξης παγίδευσης, και του αριθμού που προσδιορίζεται από την αρμόδια αρχή </w:t>
            </w:r>
            <w:r w:rsidRPr="004B104E">
              <w:rPr>
                <w:b/>
                <w:i/>
              </w:rPr>
              <w:lastRenderedPageBreak/>
              <w:t>ΣΜΣ του πλοιάρχου του αλιευτικού σκάφους ή του αντιπροσώπου του ή του αντιπροσώπου του ιχθυοτροφείο</w:t>
            </w:r>
            <w:r w:rsidRPr="004B104E">
              <w:rPr>
                <w:b/>
                <w:i/>
              </w:rPr>
              <w:t>υ ή της διάταξης παγίδευσης μετά από έρευνα, συνιστά δυνητική μη συμμόρφωση (PNC) του σχετικού αλιευτικού σκάφους, της διάταξης παγίδευσης ή του ιχθυοτροφείου.»</w:t>
            </w:r>
          </w:p>
        </w:tc>
      </w:tr>
    </w:tbl>
    <w:p w:rsidR="00714966" w:rsidRPr="004B104E" w:rsidRDefault="00AB08CD" w:rsidP="00714966">
      <w:pPr>
        <w:pStyle w:val="Olang"/>
      </w:pPr>
      <w:r w:rsidRPr="004B104E">
        <w:lastRenderedPageBreak/>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 xml:space="preserve">Η σύσταση 22-08 της ICCAT </w:t>
      </w:r>
      <w:r w:rsidRPr="004B104E">
        <w:t>τροποποιεί τη σύσταση 21-08 για τη θέσπιση πολυετούς σχεδίου αποκατάστασης του ερυθρού τόνου στον Ανατολικό Ατλαντικό και 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59</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 xml:space="preserve">Άρθρο 2 – παράγραφος 1 – </w:t>
      </w:r>
      <w:r w:rsidRPr="004B104E">
        <w:t>σημείο 1 κγ (νέο)</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ΧΧ/2023</w:t>
      </w:r>
      <w:r w:rsidRPr="004B104E">
        <w:rPr>
          <w:rStyle w:val="HideTWBExt"/>
        </w:rPr>
        <w:t>&lt;/DocAmend2&gt;</w:t>
      </w:r>
    </w:p>
    <w:p w:rsidR="00714966" w:rsidRPr="004B104E" w:rsidRDefault="00AB08CD" w:rsidP="00714966">
      <w:pPr>
        <w:keepNext/>
      </w:pPr>
      <w:r w:rsidRPr="004B104E">
        <w:rPr>
          <w:rStyle w:val="HideTWBExt"/>
        </w:rPr>
        <w:t>&lt;Article2&gt;</w:t>
      </w:r>
      <w:r w:rsidRPr="004B104E">
        <w:t>Άρθρο 45 α (νέο)</w:t>
      </w:r>
      <w:r w:rsidRPr="004B104E">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1κγ)</w:t>
            </w:r>
            <w:r w:rsidRPr="004B104E">
              <w:rPr>
                <w:b/>
                <w:i/>
              </w:rPr>
              <w:tab/>
              <w:t>Παρεμβάλλεται το ακόλουθο άρθρο: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«Άρθρο 45a</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 xml:space="preserve">Τροποποιήσεις στις δηλώσεις μεταβίβασης της ICCAT και στα </w:t>
            </w:r>
            <w:r w:rsidRPr="004B104E">
              <w:rPr>
                <w:b/>
                <w:i/>
              </w:rPr>
              <w:t>eBCD μετά από επιθεωρήσεις εν πλω ή έρευνες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Εάν, μετά από επιθεώρηση εν πλω ή έρευνα, διαπιστωθεί ότι ο αριθμός των ιχθύων διαφέρει κατά ποσοστό μεγαλύτερο του 10 % από τον αριθμό που δηλώνεται στη δήλωση μεταβίβασης και στο eBCD, το eBCD τροποποιείται α</w:t>
            </w:r>
            <w:r w:rsidRPr="004B104E">
              <w:rPr>
                <w:b/>
                <w:i/>
              </w:rPr>
              <w:t>πό την αρμόδια αρχή του ΣΜΣ του φορέα εκμετάλλευσης-δότη ώστε να αντικατοπτρίζει το αποτέλεσμα της έρευνας.»</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lastRenderedPageBreak/>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 xml:space="preserve">Η σύσταση 22-08 της ICCAT τροποποιεί τη σύσταση 21-08 για τη θέσπιση πολυετούς </w:t>
      </w:r>
      <w:r w:rsidRPr="004B104E">
        <w:t>σχεδίου αποκατάστασης του ερυθρού τόνου στον Ανατολικό Ατλαντικό και 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60</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παράγραφος 1 – σημείο 1 κδ (νέο)</w:t>
      </w:r>
      <w:r w:rsidRPr="004B104E">
        <w:rPr>
          <w:rStyle w:val="HideTWBExt"/>
        </w:rPr>
        <w:t>&lt;/Article&gt;</w:t>
      </w:r>
    </w:p>
    <w:p w:rsidR="00714966" w:rsidRPr="004B104E" w:rsidRDefault="00AB08CD" w:rsidP="00714966">
      <w:pPr>
        <w:keepNext/>
      </w:pPr>
      <w:r w:rsidRPr="004B104E">
        <w:rPr>
          <w:rStyle w:val="HideTWBExt"/>
        </w:rPr>
        <w:t>&lt;DocAmend2&gt;</w:t>
      </w:r>
      <w:r w:rsidRPr="004B104E">
        <w:t xml:space="preserve">Κανονισμός </w:t>
      </w:r>
      <w:r w:rsidRPr="004B104E">
        <w:t>(ΕΕ) ΧΧ/2023</w:t>
      </w:r>
      <w:r w:rsidRPr="004B104E">
        <w:rPr>
          <w:rStyle w:val="HideTWBExt"/>
        </w:rPr>
        <w:t>&lt;/DocAmend2&gt;</w:t>
      </w:r>
    </w:p>
    <w:p w:rsidR="00714966" w:rsidRPr="004B104E" w:rsidRDefault="00AB08CD" w:rsidP="00714966">
      <w:pPr>
        <w:keepNext/>
      </w:pPr>
      <w:r w:rsidRPr="004B104E">
        <w:rPr>
          <w:rStyle w:val="HideTWBExt"/>
        </w:rPr>
        <w:t>&lt;Article2&gt;</w:t>
      </w:r>
      <w:r w:rsidRPr="004B104E">
        <w:t>Άρθρο 45 β (νέο)</w:t>
      </w:r>
      <w:r w:rsidRPr="004B104E">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1κδ)</w:t>
            </w:r>
            <w:r w:rsidRPr="004B104E">
              <w:rPr>
                <w:b/>
                <w:i/>
              </w:rPr>
              <w:tab/>
              <w:t>προστίθεται το ακόλουθο άρθρο: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«Άρθρο 45β</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Γενικές διατάξεις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 xml:space="preserve">Κάθε κράτος μέλος εκτροφής ορίζει μία μόνο αρμόδια αρχή ως υπεύθυνη για τον συντονισμό </w:t>
            </w:r>
            <w:r w:rsidRPr="004B104E">
              <w:rPr>
                <w:b/>
                <w:i/>
              </w:rPr>
              <w:t>της συλλογής και της επαλήθευσης των πληροφοριών σχετικά με τις δραστηριότητες εγκλωβισμού των κρατών μελών, για τον έλεγχο των δραστηριοτήτων εκτροφής που διεξάγονται υπό τη δικαιοδοσία του, καθώς και για την υποβολή εκθέσεων και τη συνεργασία με τις αρμό</w:t>
            </w:r>
            <w:r w:rsidRPr="004B104E">
              <w:rPr>
                <w:b/>
                <w:i/>
              </w:rPr>
              <w:t>διες αρχές των κρατών μελών και των ΣΜΣ, των οποίων τα σκάφη σημαίας ή οι διατάξεις παγίδευσης αλίευσαν τον εγκλωβισμένο τόνο.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w:t>
            </w:r>
            <w:r w:rsidRPr="004B104E">
              <w:rPr>
                <w:b/>
                <w:i/>
              </w:rPr>
              <w:tab/>
              <w:t>Όλες οι δραστηριότητες αλιείας και εκτροφής ερυθρού τόνου υπόκεινται στον έλεγχο που περιγράφεται στο σχέδιο παρακολούθησης,</w:t>
            </w:r>
            <w:r w:rsidRPr="004B104E">
              <w:rPr>
                <w:b/>
                <w:i/>
              </w:rPr>
              <w:t xml:space="preserve"> ελέγχου και επιθεώρησης που υποβάλλεται δυνάμει του άρθρου 15.</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w:t>
            </w:r>
            <w:r w:rsidRPr="004B104E">
              <w:rPr>
                <w:b/>
                <w:i/>
              </w:rPr>
              <w:tab/>
              <w:t xml:space="preserve">Τα κράτη μέλη που συμμετέχουν σε δραστηριότητες σχετικές με τον εγκλωβισμό ανταλλάσσουν πληροφορίες και συνεργάζονται για να διασφαλίσουν ότι ο αριθμός και το βάρος του ερυθρού τόνου που </w:t>
            </w:r>
            <w:r w:rsidRPr="004B104E">
              <w:rPr>
                <w:b/>
                <w:i/>
              </w:rPr>
              <w:t xml:space="preserve">προορίζεται για εγκλωβισμό είναι ακριβή, συνάδουν με τις ποσότητες </w:t>
            </w:r>
            <w:r w:rsidRPr="004B104E">
              <w:rPr>
                <w:b/>
                <w:i/>
              </w:rPr>
              <w:lastRenderedPageBreak/>
              <w:t>αλιεύματος που αναφέρονται από το σκάφος γρι-γρι ή τη διάταξη παγίδευσης και δηλώνονται στα σχετικά τμήματα του eBCD.</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4.</w:t>
            </w:r>
            <w:r w:rsidRPr="004B104E">
              <w:rPr>
                <w:b/>
                <w:i/>
              </w:rPr>
              <w:tab/>
              <w:t>Τα κράτη μέλη εκτροφής διασφαλίζουν ότι οι φορείς εκμετάλλευσης ιχ</w:t>
            </w:r>
            <w:r w:rsidRPr="004B104E">
              <w:rPr>
                <w:b/>
                <w:i/>
              </w:rPr>
              <w:t xml:space="preserve">θυοτροφείου διατηρούν ανά πάσα στιγμή ακριβές σχεδιάγραμμα των ιχθυοτροφείων τους, το οποίο αναγράφει τον μοναδικό αριθμό όλων των κλωβών και τις επιμέρους θέσεις τους στο ιχθυοτροφείο. Το επικαιροποιημένο σχεδιάγραμμα είναι διαθέσιμο ανά πάσα στιγμή στην </w:t>
            </w:r>
            <w:r w:rsidRPr="004B104E">
              <w:rPr>
                <w:b/>
                <w:i/>
              </w:rPr>
              <w:t>αρμόδια αρχή του κράτους μέλους εκτροφής για λόγους ελέγχου και στον περιφερειακό παρατηρητή της ICCAT που τοποθετείται στο ιχθυοτροφείο. Για οποιαδήποτε τροποποίηση του σχεδιαγράμματος απαιτείται η πρότερη ενημέρωση της αρμόδιας αρχής του κράτους μέλους ε</w:t>
            </w:r>
            <w:r w:rsidRPr="004B104E">
              <w:rPr>
                <w:b/>
                <w:i/>
              </w:rPr>
              <w:t>κτροφής. Το σχεδιάγραμμα του ιχθυοτροφείου προσαρμόζεται όποτε τροποποιείται ο αριθμός και/ή η κατανομή των κλωβών εκτροφής.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5.</w:t>
            </w:r>
            <w:r w:rsidRPr="004B104E">
              <w:rPr>
                <w:b/>
                <w:i/>
              </w:rPr>
              <w:tab/>
              <w:t>Η αρμόδια αρχή του κράτους μέλους εκτροφής και ο φορέας εκμετάλλευσης του ιχθυοτροφείου διατηρούν όλες τις πληροφορίες, τα έγγ</w:t>
            </w:r>
            <w:r w:rsidRPr="004B104E">
              <w:rPr>
                <w:b/>
                <w:i/>
              </w:rPr>
              <w:t>ραφα και το υλικό που σχετίζονται με τις δραστηριότητες εγκλωβισμού που διεξάγονται στα ιχθυοτροφεία υπό τη δικαιοδοσία τους για τουλάχιστον 3 έτη και για όσο διάστημα είναι αναγκαίο για λόγους επιβολής της νομοθεσίας.»</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Η σύσταση 22-08 της ICCAT τροποποιεί τη σύσταση 21-08 για τη θέσπιση πολυετούς σχεδίου αποκατάστασης του ερυθρού τόνου στον Ανατολικό Ατλαντικό και 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lastRenderedPageBreak/>
        <w:t>&lt;Amend&gt;</w:t>
      </w:r>
      <w:r w:rsidRPr="004B104E">
        <w:t>Τροπολογία</w:t>
      </w:r>
      <w:r w:rsidRPr="004B104E">
        <w:tab/>
      </w:r>
      <w:r w:rsidRPr="004B104E">
        <w:tab/>
      </w:r>
      <w:r w:rsidRPr="004B104E">
        <w:rPr>
          <w:rStyle w:val="HideTWBExt"/>
        </w:rPr>
        <w:t>&lt;NumAm&gt;</w:t>
      </w:r>
      <w:r w:rsidRPr="004B104E">
        <w:t>61</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παράγραφος 1 – σημείο 1 κε (νέο)</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ΧΧ/2023</w:t>
      </w:r>
      <w:r w:rsidRPr="004B104E">
        <w:rPr>
          <w:rStyle w:val="HideTWBExt"/>
        </w:rPr>
        <w:t>&lt;/DocAmend2&gt;</w:t>
      </w:r>
    </w:p>
    <w:p w:rsidR="00714966" w:rsidRPr="004B104E" w:rsidRDefault="00AB08CD" w:rsidP="00714966">
      <w:pPr>
        <w:pStyle w:val="NormalBold"/>
        <w:rPr>
          <w:b w:val="0"/>
        </w:rPr>
      </w:pPr>
      <w:r w:rsidRPr="004B104E">
        <w:rPr>
          <w:rStyle w:val="HideTWBExt"/>
        </w:rPr>
        <w:t>&lt;Article2&gt;</w:t>
      </w:r>
      <w:r w:rsidRPr="004B104E">
        <w:rPr>
          <w:b w:val="0"/>
        </w:rPr>
        <w:t>Άρθρο 45 γ (νέο)</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1κε)</w:t>
            </w:r>
            <w:r w:rsidRPr="004B104E">
              <w:rPr>
                <w:b/>
                <w:i/>
              </w:rPr>
              <w:tab/>
              <w:t>προστίθεται το ακόλουθο άρθρο: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«Άρθρο 45γ</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Μοναδικός αναγνωριστικός αριθμός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Πριν από την έναρξη της αλιευτικής εξόρμησης για τον ερυθρό τόνο, η αρμόδια αρχή του ΣΜΣ εκτροφής αποδίδει έναν μοναδικό και αναγνωρίσιμο αριθμό σε κάθε κλωβό που συνδέεται με τα ιχθυοτροφεία που βρίσκονται υπό τη δι</w:t>
            </w:r>
            <w:r w:rsidRPr="004B104E">
              <w:rPr>
                <w:b/>
                <w:i/>
              </w:rPr>
              <w:t>καιοδοσία της, συμπεριλαμβανομένων των κλωβών που χρησιμοποιούνται για τη μεταφορά των ιχθύων στο ιχθυοτροφείο.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w:t>
            </w:r>
            <w:r w:rsidRPr="004B104E">
              <w:rPr>
                <w:b/>
                <w:i/>
              </w:rPr>
              <w:tab/>
              <w:t>Οι αριθμοί κλωβών χορηγούνται με βάση ένα σύστημα μοναδικής αρίθμησης που περιλαμβάνει τουλάχιστον έναν τριψήφιο αλφαβητικό κωδικό που αντι</w:t>
            </w:r>
            <w:r w:rsidRPr="004B104E">
              <w:rPr>
                <w:b/>
                <w:i/>
              </w:rPr>
              <w:t>στοιχεί στο κράτος μέλος εκτροφής, ακολουθούμενο από τρεις αριθμούς. Οι μοναδικοί αριθμοί κλωβών είναι μόνιμοι και δεν είναι μεταβιβάσιμοι μεταξύ κλωβών.</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w:t>
            </w:r>
            <w:r w:rsidRPr="004B104E">
              <w:rPr>
                <w:b/>
                <w:i/>
              </w:rPr>
              <w:tab/>
              <w:t>Οι μοναδικοί αριθμοί κλωβών σφραγίζονται ή αναγράφονται με βαφή στις δύο αντίθετες πλευρές του δα</w:t>
            </w:r>
            <w:r w:rsidRPr="004B104E">
              <w:rPr>
                <w:b/>
                <w:i/>
              </w:rPr>
              <w:t>κτυλίου του κλωβού και πάνω από την ίσαλο γραμμή, σε απόχρωση αντίθετη με το φόντο στο οποίο είναι βαμμένοι ή σφραγισμένοι, και πρέπει να είναι ευδιάκριτοι και ευανάγνωστοι ανά πάσα στιγμή για λόγους ελέγχου. Τα γράμματα και οι αριθμοί έχουν ύψος τουλάχιστ</w:t>
            </w:r>
            <w:r w:rsidRPr="004B104E">
              <w:rPr>
                <w:b/>
                <w:i/>
              </w:rPr>
              <w:t>ον 20 εκατοστά και πάχος γραμμής τουλάχιστον 4 εκατοστά.</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4.</w:t>
            </w:r>
            <w:r w:rsidRPr="004B104E">
              <w:rPr>
                <w:b/>
                <w:i/>
              </w:rPr>
              <w:tab/>
              <w:t xml:space="preserve">Επιτρέπονται εναλλακτικές μέθοδοι για τη σήμανση του μοναδικού αριθμού στον κλωβό, υπό την προϋπόθεση ότι εγγυώνται την ίδια </w:t>
            </w:r>
            <w:r w:rsidRPr="004B104E">
              <w:rPr>
                <w:b/>
                <w:i/>
              </w:rPr>
              <w:lastRenderedPageBreak/>
              <w:t>ορατότητα, αναγνωσιμότητα και το απαραβίαστο.»</w:t>
            </w:r>
          </w:p>
        </w:tc>
      </w:tr>
    </w:tbl>
    <w:p w:rsidR="00714966" w:rsidRPr="004B104E" w:rsidRDefault="00AB08CD" w:rsidP="00714966">
      <w:pPr>
        <w:pStyle w:val="Olang"/>
      </w:pPr>
      <w:r w:rsidRPr="004B104E">
        <w:lastRenderedPageBreak/>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Η σύσταση 22-08 της ICCAT τροποποιεί τη σύσταση 21-08 για τη θέσπιση πολυετούς σχεδίου αποκατάστασης του ερυθρού τόνου στον Ανατολικό Ατλαντικό και 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62</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παράγραφος 1 – σημείο 1 κστ (νέο)</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ΧΧ/2023</w:t>
      </w:r>
      <w:r w:rsidRPr="004B104E">
        <w:rPr>
          <w:rStyle w:val="HideTWBExt"/>
        </w:rPr>
        <w:t>&lt;/DocAmend2&gt;</w:t>
      </w:r>
    </w:p>
    <w:p w:rsidR="00714966" w:rsidRPr="004B104E" w:rsidRDefault="00AB08CD" w:rsidP="00714966">
      <w:pPr>
        <w:keepNext/>
      </w:pPr>
      <w:r w:rsidRPr="004B104E">
        <w:rPr>
          <w:rStyle w:val="HideTWBExt"/>
        </w:rPr>
        <w:t>&lt;Article2&gt;</w:t>
      </w:r>
      <w:r w:rsidRPr="004B104E">
        <w:t>Άρθρο 45 δ (νέο)</w:t>
      </w:r>
      <w:r w:rsidRPr="004B104E">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1κστ)</w:t>
            </w:r>
            <w:r w:rsidRPr="004B104E">
              <w:rPr>
                <w:b/>
                <w:i/>
              </w:rPr>
              <w:tab/>
              <w:t>προστίθεται το ακόλουθο άρθρο: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«Άρθρο 45δ</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Χορήγηση άδειας εγκλωβισμού</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Κάθε εργασία εγκλωβισμού υπόκειται στη διαδικασία των παραγράφων 2 έως 4.</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w:t>
            </w:r>
            <w:r w:rsidRPr="004B104E">
              <w:rPr>
                <w:b/>
                <w:i/>
              </w:rPr>
              <w:tab/>
              <w:t xml:space="preserve">Ο φορέας εκμετάλλευσης ιχθυοτροφείου ζητεί άδεια εγκλωβισμού που εκδίδεται από την αρμόδια αρχή του κράτους μέλους εκτροφής, η </w:t>
            </w:r>
            <w:r w:rsidRPr="004B104E">
              <w:rPr>
                <w:b/>
                <w:i/>
              </w:rPr>
              <w:t>οποία περιλαμβάνει τις ακόλουθες πληροφορίες: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w:t>
            </w:r>
            <w:r w:rsidRPr="004B104E">
              <w:rPr>
                <w:b/>
                <w:i/>
              </w:rPr>
              <w:tab/>
              <w:t>τον αριθμό και το βάρος των ιχθύων που πρόκειται να εγκλωβιστούν, όπως αναφέρεται στη δήλωση μεταβίβασης·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β)</w:t>
            </w:r>
            <w:r w:rsidRPr="004B104E">
              <w:rPr>
                <w:b/>
                <w:i/>
              </w:rPr>
              <w:tab/>
              <w:t>τις σχετικές δηλώσεις μεταβίβασης·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γ)</w:t>
            </w:r>
            <w:r w:rsidRPr="004B104E">
              <w:rPr>
                <w:b/>
                <w:i/>
              </w:rPr>
              <w:tab/>
              <w:t>τα σχετικά στοιχεία αναφοράς στο eBCD, όπως επιβεβαιών</w:t>
            </w:r>
            <w:r w:rsidRPr="004B104E">
              <w:rPr>
                <w:b/>
                <w:i/>
              </w:rPr>
              <w:t>ονται και επικυρώνονται από το κράτος μέλος της σημαίας ή της διάταξης παγίδευσης ή την αρμόδια αρχή του ΣΜΣ·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δ)</w:t>
            </w:r>
            <w:r w:rsidRPr="004B104E">
              <w:rPr>
                <w:b/>
                <w:i/>
              </w:rPr>
              <w:tab/>
              <w:t xml:space="preserve">όλες τις εκθέσεις σχετικά με τους ιχθύες που πεθαίνουν κατά τη διάρκεια της μεταφοράς, οι οποίες καταγράφονται </w:t>
            </w:r>
            <w:r w:rsidRPr="004B104E">
              <w:rPr>
                <w:b/>
                <w:i/>
              </w:rPr>
              <w:lastRenderedPageBreak/>
              <w:t>δεόντως σύμφωνα με το παράρτημ</w:t>
            </w:r>
            <w:r w:rsidRPr="004B104E">
              <w:rPr>
                <w:b/>
                <w:i/>
              </w:rPr>
              <w:t>α XIII.</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w:t>
            </w:r>
            <w:r w:rsidRPr="004B104E">
              <w:rPr>
                <w:b/>
                <w:i/>
              </w:rPr>
              <w:tab/>
              <w:t xml:space="preserve">Η αρμόδια αρχή του κράτους μέλους εκτροφής κοινοποιεί τις πληροφορίες της παραγράφου 2 στο οικείο κράτος μέλος σημαίας ή διάταξης παγίδευσης ή στις αρμόδιες αρχές του ΣΜΣ και ζητεί επιβεβαίωση σχετικά με τη δυνατότητα έγκρισης των εργασιών </w:t>
            </w:r>
            <w:r w:rsidRPr="004B104E">
              <w:rPr>
                <w:b/>
                <w:i/>
              </w:rPr>
              <w:t>εγκλωβισμού.</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4.</w:t>
            </w:r>
            <w:r w:rsidRPr="004B104E">
              <w:rPr>
                <w:b/>
                <w:i/>
              </w:rPr>
              <w:tab/>
              <w:t xml:space="preserve">Εντός 3 εργάσιμων ημερών, το κράτος μέλος σημαίας ή διάταξης παγίδευσης ή οι αρμόδιες αρχές του ΣΜΣ ενημερώνουν το κράτος μέλος εκτροφής ή την αρμόδια αρχή του ΣΜΣ ότι οι σχετικές εργασίες εγκλωβισμού μπορούν να εγκριθούν ή πρέπει να </w:t>
            </w:r>
            <w:r w:rsidRPr="004B104E">
              <w:rPr>
                <w:b/>
                <w:i/>
              </w:rPr>
              <w:t>απορριφθούν. Σε περίπτωση απόρριψης, η αρμόδια αρχή του κράτους μέλους σημαίας ή διάταξης παγίδευσης προσδιορίζει τον λόγο ή τους λόγους της απόρριψης και η απόρριψη περιλαμβάνει την επακόλουθη διαταγή απελευθέρωσης.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5.</w:t>
            </w:r>
            <w:r w:rsidRPr="004B104E">
              <w:rPr>
                <w:b/>
                <w:i/>
              </w:rPr>
              <w:tab/>
              <w:t>Το κράτος μέλος εκτροφής εκδίδει τ</w:t>
            </w:r>
            <w:r w:rsidRPr="004B104E">
              <w:rPr>
                <w:b/>
                <w:i/>
              </w:rPr>
              <w:t>ην άδεια εγκλωβισμού αμέσως μετά την παραλαβή της επιβεβαίωσης από το ενδιαφερόμενο κράτος μέλος σημαίας ή διάταξης παγίδευσης ή την ενδιαφερόμενη αρμόδια αρχή του ΣΜΣ. Οι εργασίες εγκλωβισμού δεν εγκρίνονται από την αρμόδια αρχή του κράτους μέλους εκτροφή</w:t>
            </w:r>
            <w:r w:rsidRPr="004B104E">
              <w:rPr>
                <w:b/>
                <w:i/>
              </w:rPr>
              <w:t>ς ελλείψει της εν λόγω επιβεβαίωσης.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6.</w:t>
            </w:r>
            <w:r w:rsidRPr="004B104E">
              <w:rPr>
                <w:b/>
                <w:i/>
              </w:rPr>
              <w:tab/>
              <w:t>Δεν εγκρίνεται ο εγκλωβισμός εάν το πλήρες σύνολο των εγγράφων που απαιτούνται στην παράγραφο 2 του παρόντος άρθρου δεν συνοδεύει τους ιχθύες που υπόκεινται στην άδεια εγκλωβισμού.</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7.</w:t>
            </w:r>
            <w:r w:rsidRPr="004B104E">
              <w:rPr>
                <w:b/>
                <w:i/>
              </w:rPr>
              <w:tab/>
              <w:t>Εν αναμονή των αποτελεσμάτων</w:t>
            </w:r>
            <w:r w:rsidRPr="004B104E">
              <w:rPr>
                <w:b/>
                <w:i/>
              </w:rPr>
              <w:t xml:space="preserve"> της έρευνας που αναφέρεται στο άρθρο 43, η οποία διενεργείται από το κράτος μέλος της σημαίας ή της διάταξης παγίδευσης ή την αρμόδια αρχή του ΣΜΣ, δεν εγκρίνεται η εργασία εγκλωβισμού και δεν επικυρώνονται τα σχετικά τμήματα του eBCD που αφορούν τα αλιεύ</w:t>
            </w:r>
            <w:r w:rsidRPr="004B104E">
              <w:rPr>
                <w:b/>
                <w:i/>
              </w:rPr>
              <w:t xml:space="preserve">ματα και το εμπόριο ζωντανών </w:t>
            </w:r>
            <w:r w:rsidRPr="004B104E">
              <w:rPr>
                <w:b/>
                <w:i/>
              </w:rPr>
              <w:lastRenderedPageBreak/>
              <w:t>ιχθύων.</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8.</w:t>
            </w:r>
            <w:r w:rsidRPr="004B104E">
              <w:rPr>
                <w:b/>
                <w:i/>
              </w:rPr>
              <w:tab/>
              <w:t>Εάν εκδοθεί η άδεια εγκλωβισμού από το κράτος μέλος εκτροφής ή την αρμόδια αρχή του ΣΜΣ εντός 1 μηνός από την αίτηση για άδεια εγκλωβισμού από τον φορέα εκμετάλλευσης του ιχθυοτροφείου, η αρμόδια αρχή του κράτους μ</w:t>
            </w:r>
            <w:r w:rsidRPr="004B104E">
              <w:rPr>
                <w:b/>
                <w:i/>
              </w:rPr>
              <w:t xml:space="preserve">έλους εκτροφής διατάσσει και προβαίνει στην απελευθέρωση όλων των ιχθύων που περιέχονται στον σχετικό κλωβό μεταφοράς, σύμφωνα με το παράρτημα XII. Η αρμόδια αρχή του κράτους μέλους εκτροφής ενημερώνει ανάλογα και χωρίς καθυστέρηση το ενδιαφερόμενο κράτος </w:t>
            </w:r>
            <w:r w:rsidRPr="004B104E">
              <w:rPr>
                <w:b/>
                <w:i/>
              </w:rPr>
              <w:t>μέλος σημαίας ή διάταξης παγίδευσης ή την ενδιαφερόμενη αρμόδια αρχή του ΣΜΣ, καθώς και τη γραμματεία της ICCAT σχετικά με την απελευθέρωση.»</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Η σύσταση 22-08 της ICCAT τροποποιεί τη σύστασ</w:t>
      </w:r>
      <w:r w:rsidRPr="004B104E">
        <w:t>η 21-08 για τη θέσπιση πολυετούς σχεδίου αποκατάστασης του ερυθρού τόνου στον Ανατολικό Ατλαντικό και 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63</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εδάφιο 1 – σημείο 2</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ΧΧ/2023</w:t>
      </w:r>
      <w:r w:rsidRPr="004B104E">
        <w:rPr>
          <w:rStyle w:val="HideTWBExt"/>
        </w:rPr>
        <w:t>&lt;/DocAmend2&gt;</w:t>
      </w:r>
    </w:p>
    <w:p w:rsidR="00714966" w:rsidRPr="004B104E" w:rsidRDefault="00AB08CD" w:rsidP="00714966">
      <w:r w:rsidRPr="004B104E">
        <w:rPr>
          <w:rStyle w:val="HideTWBExt"/>
        </w:rPr>
        <w:t>&lt;Article2&gt;</w:t>
      </w:r>
      <w:r w:rsidRPr="004B104E">
        <w:t>Άρθρο 46</w:t>
      </w:r>
      <w:r w:rsidRPr="004B104E">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Κείμενο που προτείνει η Επιτροπή</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hideMark/>
          </w:tcPr>
          <w:p w:rsidR="00714966" w:rsidRPr="004B104E" w:rsidRDefault="00AB08CD">
            <w:pPr>
              <w:pStyle w:val="Normal6"/>
            </w:pPr>
            <w:r w:rsidRPr="004B104E">
              <w:rPr>
                <w:b/>
                <w:i/>
              </w:rPr>
              <w:t>2)</w:t>
            </w:r>
            <w:r w:rsidRPr="004B104E">
              <w:rPr>
                <w:b/>
                <w:i/>
              </w:rPr>
              <w:tab/>
              <w:t>στο άρθρο 46, στην παράγραφο (...) προστίθενται τα ακόλουθα στοιχεία α) και β):</w:t>
            </w:r>
          </w:p>
        </w:tc>
        <w:tc>
          <w:tcPr>
            <w:tcW w:w="4876" w:type="dxa"/>
            <w:hideMark/>
          </w:tcPr>
          <w:p w:rsidR="00714966" w:rsidRPr="004B104E" w:rsidRDefault="00AB08CD">
            <w:pPr>
              <w:pStyle w:val="Normal6"/>
              <w:rPr>
                <w:szCs w:val="24"/>
              </w:rPr>
            </w:pPr>
            <w:r w:rsidRPr="004B104E">
              <w:rPr>
                <w:b/>
                <w:i/>
              </w:rPr>
              <w:t>διαγράφεται</w:t>
            </w:r>
          </w:p>
        </w:tc>
      </w:tr>
      <w:tr w:rsidR="00B82744" w:rsidRPr="004B104E" w:rsidTr="00714966">
        <w:trPr>
          <w:jc w:val="center"/>
        </w:trPr>
        <w:tc>
          <w:tcPr>
            <w:tcW w:w="4876" w:type="dxa"/>
            <w:hideMark/>
          </w:tcPr>
          <w:p w:rsidR="00714966" w:rsidRPr="004B104E" w:rsidRDefault="00AB08CD">
            <w:pPr>
              <w:pStyle w:val="Normal6"/>
            </w:pPr>
            <w:r w:rsidRPr="004B104E">
              <w:rPr>
                <w:b/>
                <w:i/>
              </w:rPr>
              <w:t>«α)</w:t>
            </w:r>
            <w:r w:rsidRPr="004B104E">
              <w:rPr>
                <w:b/>
                <w:i/>
              </w:rPr>
              <w:tab/>
              <w:t xml:space="preserve">τα κράτη μέλη δεν διαθέτουν </w:t>
            </w:r>
            <w:r w:rsidRPr="004B104E">
              <w:rPr>
                <w:b/>
                <w:i/>
              </w:rPr>
              <w:t>ερυθρό τόνο σε ιχθυοτροφείο στο οποίο δεν έχει δοθεί άδεια από το κράτος μέλος ή το ΣΜΣ ή το οποίο δεν περιλαμβάνεται στο μητρώο εγκαταστάσεων εκτροφής της ICCAT.</w:t>
            </w:r>
          </w:p>
        </w:tc>
        <w:tc>
          <w:tcPr>
            <w:tcW w:w="4876" w:type="dxa"/>
          </w:tcPr>
          <w:p w:rsidR="00714966" w:rsidRPr="004B104E" w:rsidRDefault="00714966">
            <w:pPr>
              <w:pStyle w:val="Normal6"/>
              <w:rPr>
                <w:szCs w:val="24"/>
              </w:rPr>
            </w:pPr>
          </w:p>
        </w:tc>
      </w:tr>
      <w:tr w:rsidR="00B82744" w:rsidRPr="004B104E" w:rsidTr="00714966">
        <w:trPr>
          <w:jc w:val="center"/>
        </w:trPr>
        <w:tc>
          <w:tcPr>
            <w:tcW w:w="4876" w:type="dxa"/>
            <w:hideMark/>
          </w:tcPr>
          <w:p w:rsidR="00714966" w:rsidRPr="004B104E" w:rsidRDefault="00AB08CD">
            <w:pPr>
              <w:pStyle w:val="Normal6"/>
            </w:pPr>
            <w:r w:rsidRPr="004B104E">
              <w:rPr>
                <w:b/>
                <w:i/>
              </w:rPr>
              <w:lastRenderedPageBreak/>
              <w:t>β)</w:t>
            </w:r>
            <w:r w:rsidRPr="004B104E">
              <w:rPr>
                <w:b/>
                <w:i/>
              </w:rPr>
              <w:tab/>
              <w:t xml:space="preserve">τα κράτη μέλη εκτροφής διασφαλίζουν ότι τα αλιεύματα ερυθρού τόνου τοποθετούνται σε </w:t>
            </w:r>
            <w:r w:rsidRPr="004B104E">
              <w:rPr>
                <w:b/>
                <w:i/>
              </w:rPr>
              <w:t>χωριστούς κλωβούς ή σειρές κλωβών και κατανέμονται με βάση το κράτος μέλος σημαίας ή το ΣΜΣ προέλευσης. Κατά παρέκκλιση, εάν ο ερυθρός τόνος αλιεύεται στο πλαίσιο κοινής αλιευτικής δραστηριότητας (ΚΑΔ) μεταξύ διαφόρων κρατών μελών, τα κράτη μέλη εκτροφής ε</w:t>
            </w:r>
            <w:r w:rsidRPr="004B104E">
              <w:rPr>
                <w:b/>
                <w:i/>
              </w:rPr>
              <w:t>ξασφαλίζουν ότι ο ερυθρός τόνος τοποθετείται σε χωριστούς κλωβούς ή σειρές κλωβών και κατανέμεται βάσει κοινών αλιευτικών δραστηριοτήτων.»</w:t>
            </w:r>
          </w:p>
        </w:tc>
        <w:tc>
          <w:tcPr>
            <w:tcW w:w="4876" w:type="dxa"/>
          </w:tcPr>
          <w:p w:rsidR="00714966" w:rsidRPr="004B104E" w:rsidRDefault="00714966">
            <w:pPr>
              <w:pStyle w:val="Normal6"/>
              <w:rPr>
                <w:szCs w:val="24"/>
              </w:rPr>
            </w:pP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Διάταξη που περιλαμβάνεται ήδη στον κανονισμό (E</w:t>
      </w:r>
      <w:r w:rsidRPr="004B104E">
        <w:t>E) XX/2022.</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64</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παράγραφος 1 – σημείο 2 α (νέο)</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ΧΧ/2023</w:t>
      </w:r>
      <w:r w:rsidRPr="004B104E">
        <w:rPr>
          <w:rStyle w:val="HideTWBExt"/>
        </w:rPr>
        <w:t>&lt;/DocAmend2&gt;</w:t>
      </w:r>
    </w:p>
    <w:p w:rsidR="00714966" w:rsidRPr="004B104E" w:rsidRDefault="00AB08CD" w:rsidP="00714966">
      <w:r w:rsidRPr="004B104E">
        <w:rPr>
          <w:rStyle w:val="HideTWBExt"/>
        </w:rPr>
        <w:t>&lt;Article2&gt;</w:t>
      </w:r>
      <w:r w:rsidRPr="004B104E">
        <w:t>Άρθρο 46</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2α)</w:t>
            </w:r>
            <w:r w:rsidRPr="004B104E">
              <w:rPr>
                <w:b/>
                <w:i/>
              </w:rPr>
              <w:tab/>
              <w:t>το άρθρο 46 αντικαθίσταται από 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«Άρθρο 46</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Άρνηση χορήγησης άδειας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 xml:space="preserve">Η αρμόδια αρχή του κράτους μέλους που είναι υπεύθυνο για το σκάφος αλίευσης ή τη διάταξη παγίδευσης αρνείται την έγκριση του εγκλωβισμού αν κρίνει </w:t>
            </w:r>
            <w:r w:rsidRPr="004B104E">
              <w:rPr>
                <w:b/>
                <w:i/>
              </w:rPr>
              <w:t>ότι:</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w:t>
            </w:r>
            <w:r w:rsidRPr="004B104E">
              <w:rPr>
                <w:b/>
                <w:i/>
              </w:rPr>
              <w:tab/>
              <w:t>το σκάφος αλίευσης ή η διάταξη παγίδευσης που αλίευσε τους ιχθύες, δεν διέθετε επαρκή ποσόστωση για να καλύψει τους ερυθρούς τόνους προς εγκλωβισμό·</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β)</w:t>
            </w:r>
            <w:r w:rsidRPr="004B104E">
              <w:rPr>
                <w:b/>
                <w:i/>
              </w:rPr>
              <w:tab/>
              <w:t xml:space="preserve">η ποσότητα των ιχθύων προς εγκλωβισμό δεν έχει αναφερθεί σωστά </w:t>
            </w:r>
            <w:r w:rsidRPr="004B104E">
              <w:rPr>
                <w:b/>
                <w:i/>
              </w:rPr>
              <w:lastRenderedPageBreak/>
              <w:t>από το σκάφος αλίευσης ή τη δ</w:t>
            </w:r>
            <w:r w:rsidRPr="004B104E">
              <w:rPr>
                <w:b/>
                <w:i/>
              </w:rPr>
              <w:t>ιάταξη παγίδευσης· ή</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γ)</w:t>
            </w:r>
            <w:r w:rsidRPr="004B104E">
              <w:rPr>
                <w:b/>
                <w:i/>
              </w:rPr>
              <w:tab/>
              <w:t>το σκάφος αλίευσης ή η διάταξη παγίδευσης που δηλώνεται ότι αλίευσε τους ιχθύες δεν διαθέτει έγκυρη άδεια αλιείας ερυθρού τόνου, που έχει εκδοθεί σύμφωνα με το άρθρο 26.</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Εάν το κράτος μέλος που είναι αρμόδιο για το σκάφος αλίευσ</w:t>
            </w:r>
            <w:r w:rsidRPr="004B104E">
              <w:rPr>
                <w:b/>
                <w:i/>
              </w:rPr>
              <w:t>ης ή τη διάταξη παγίδευσης αρνείται να εγκρίνει τον εγκλωβισμό, τότε:</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w:t>
            </w:r>
            <w:r w:rsidRPr="004B104E">
              <w:rPr>
                <w:b/>
                <w:i/>
              </w:rPr>
              <w:tab/>
              <w:t>ενημερώνει την αρμόδια αρχή του κράτους μέλους ή του ΣΜΣ που είναι υπεύθυνη για το ιχθυοτροφείο· και</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β)</w:t>
            </w:r>
            <w:r w:rsidRPr="004B104E">
              <w:rPr>
                <w:b/>
                <w:i/>
              </w:rPr>
              <w:tab/>
              <w:t>ζητεί από την αρμόδια αρχή να προχωρήσει σε κατάσχεση των αλιευμάτων και σε</w:t>
            </w:r>
            <w:r w:rsidRPr="004B104E">
              <w:rPr>
                <w:b/>
                <w:i/>
              </w:rPr>
              <w:t xml:space="preserve"> απελευθέρωση των ιχθύων στη θάλασσα.</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 xml:space="preserve">Η σύσταση 22-08 της ICCAT τροποποιεί τη σύσταση 21-08 για τη θέσπιση πολυετούς σχεδίου αποκατάστασης του ερυθρού τόνου στον Ανατολικό Ατλαντικό και </w:t>
      </w:r>
      <w:r w:rsidRPr="004B104E">
        <w:t>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65</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εδάφιο 1 – σημείο 2 β (νέο)</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ΧΧ/2023</w:t>
      </w:r>
      <w:r w:rsidRPr="004B104E">
        <w:rPr>
          <w:rStyle w:val="HideTWBExt"/>
        </w:rPr>
        <w:t>&lt;/DocAmend2&gt;</w:t>
      </w:r>
    </w:p>
    <w:p w:rsidR="00714966" w:rsidRPr="004B104E" w:rsidRDefault="00AB08CD" w:rsidP="00714966">
      <w:r w:rsidRPr="004B104E">
        <w:rPr>
          <w:rStyle w:val="HideTWBExt"/>
        </w:rPr>
        <w:t>&lt;Article2&gt;</w:t>
      </w:r>
      <w:r w:rsidRPr="004B104E">
        <w:t>Άρθρο 46 β (νέο)</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w:t>
            </w:r>
            <w:r w:rsidRPr="004B104E">
              <w:t>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2β)</w:t>
            </w:r>
            <w:r w:rsidRPr="004B104E">
              <w:rPr>
                <w:b/>
                <w:i/>
              </w:rPr>
              <w:tab/>
              <w:t>προστίθεται το ακόλουθο άρθρο: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b/>
                <w:i/>
              </w:rPr>
            </w:pPr>
            <w:r w:rsidRPr="004B104E">
              <w:rPr>
                <w:b/>
                <w:i/>
              </w:rPr>
              <w:t>«Άρθρο 46β</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b/>
                <w:i/>
              </w:rPr>
            </w:pPr>
            <w:r w:rsidRPr="004B104E">
              <w:rPr>
                <w:b/>
                <w:i/>
              </w:rPr>
              <w:t>Εργασίες εγκλωβισμού</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 xml:space="preserve">Κατά την άφιξη του ρυμουλκού σκάφους σε κοντινή απόσταση από το ιχθυοτροφείο, η αρμόδια αρχή του κράτους μέλους εκτροφής εξασφαλίζει ότι το σχετικό ρυμουλκό σκάφος </w:t>
            </w:r>
            <w:r w:rsidRPr="004B104E">
              <w:rPr>
                <w:b/>
                <w:i/>
              </w:rPr>
              <w:t xml:space="preserve">διατηρεί απόσταση τουλάχιστον 1 ναυτικού μιλίου </w:t>
            </w:r>
            <w:r w:rsidRPr="004B104E">
              <w:rPr>
                <w:b/>
                <w:i/>
              </w:rPr>
              <w:lastRenderedPageBreak/>
              <w:t>από οποιαδήποτε εγκατάσταση του ιχθυοτροφείου έως ότου παραστεί η αρμόδια αρχή του κράτους μέλους εκτροφής· το στίγμα και η δραστηριότητα των σχετικών ρυμουλκών σκαφών παρακολουθούνται ανά πάσα στιγμή.</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w:t>
            </w:r>
            <w:r w:rsidRPr="004B104E">
              <w:rPr>
                <w:b/>
                <w:i/>
              </w:rPr>
              <w:tab/>
              <w:t>Ο</w:t>
            </w:r>
            <w:r w:rsidRPr="004B104E">
              <w:rPr>
                <w:b/>
                <w:i/>
              </w:rPr>
              <w:t>ι αρμόδιες αρχές των κρατών μελών δεν χορηγούν άδεια για την έναρξη των εργασιών εγκλωβισμού χωρίς την παρουσία της αρμόδιας αρχής του κράτους μέλους εκτροφής και του περιφερειακού παρατηρητή της ICCAT και πριν από την ολοκλήρωση και την επικύρωση των τμημ</w:t>
            </w:r>
            <w:r w:rsidRPr="004B104E">
              <w:rPr>
                <w:b/>
                <w:i/>
              </w:rPr>
              <w:t>άτων του eBCD που αφορούν τα αλιεύματα και το εμπόριο ζωντανών ιχθύων από τα κράτη μέλη της σημαίας ή της διάταξης παγίδευσης ή τις αρμόδιες αρχές του ΣΜΣ.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w:t>
            </w:r>
            <w:r w:rsidRPr="004B104E">
              <w:rPr>
                <w:b/>
                <w:i/>
              </w:rPr>
              <w:tab/>
              <w:t>Απαγορεύεται η αγκυροβόληση κλωβών μεταφοράς ως κλωβών εκτροφής χωρίς να περιλαμβάνει μετακίνησ</w:t>
            </w:r>
            <w:r w:rsidRPr="004B104E">
              <w:rPr>
                <w:b/>
                <w:i/>
              </w:rPr>
              <w:t>η ιχθύων ώστε να είναι δυνατή η βιντεοσκόπηση με στερεοσκοπική κάμερα.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4.</w:t>
            </w:r>
            <w:r w:rsidRPr="004B104E">
              <w:rPr>
                <w:b/>
                <w:i/>
              </w:rPr>
              <w:tab/>
              <w:t xml:space="preserve">Μετά τη μεταβίβαση του ερυθρού τόνου από τον κλωβό ρυμούλκησης στον κλωβό εκτροφής, η αρχή ελέγχου του κράτους μέλους εκτροφής διασφαλίζει ότι οι κλωβοί εκτροφής που περιέχουν </w:t>
            </w:r>
            <w:r w:rsidRPr="004B104E">
              <w:rPr>
                <w:b/>
                <w:i/>
              </w:rPr>
              <w:t>ερυθρό τόνο σφραγίζονται ανά πάσα στιγμή. Η αποσφράγιση θα είναι δυνατή μόνο παρουσία της αρμόδιας αρχής του κράτους μέλους εκτροφής και μετά την χορήγηση άδειάς της. Η αρχή ελέγχου του κράτους μέλους εκτροφής καταρτίζει πρωτόκολλα για τη σφράγιση των κλωβ</w:t>
            </w:r>
            <w:r w:rsidRPr="004B104E">
              <w:rPr>
                <w:b/>
                <w:i/>
              </w:rPr>
              <w:t>ών εκτροφής, διασφαλίζοντας τη χρήση επίσημων σφραγίδων ασφαλείας και την τοποθέτηση των σφραγίδων αυτών κατά τρόπο ώστε να αποτρέπεται το άνοιγμα των κλωβών χωρίς παραβίαση των σφραγίδων.</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5.</w:t>
            </w:r>
            <w:r w:rsidRPr="004B104E">
              <w:rPr>
                <w:b/>
                <w:i/>
              </w:rPr>
              <w:tab/>
              <w:t>Τα κράτη μέλη ιχθυοτροφείου διασφαλίζουν ότι τα αλιεύματα ερυθ</w:t>
            </w:r>
            <w:r w:rsidRPr="004B104E">
              <w:rPr>
                <w:b/>
                <w:i/>
              </w:rPr>
              <w:t xml:space="preserve">ρού τόνου τοποθετούνται σε χωριστούς κλωβούς ή σε σειρές κλωβών και </w:t>
            </w:r>
            <w:r w:rsidRPr="004B104E">
              <w:rPr>
                <w:b/>
                <w:i/>
              </w:rPr>
              <w:lastRenderedPageBreak/>
              <w:t>κατανέμονται με βάση το κράτος μέλος σημαίας ή το ΣΜΣ προέλευσης και το έτος αλίευσης. Κατά παρέκκλιση, εάν ο ερυθρός τόνος έχει αλιευθεί στο πλαίσιο κοινής αλιευτικής δραστηριότητας, τα σ</w:t>
            </w:r>
            <w:r w:rsidRPr="004B104E">
              <w:rPr>
                <w:b/>
                <w:i/>
              </w:rPr>
              <w:t>χετικά αλιεύματα τοποθετούνται σε χωριστούς κλωβούς ή σειρές κλωβών και κατανέμονται με βάση τις κοινές αλιευτικές δραστηριότητες και το έτος αλίευσης.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6.</w:t>
            </w:r>
            <w:r w:rsidRPr="004B104E">
              <w:rPr>
                <w:b/>
                <w:i/>
              </w:rPr>
              <w:tab/>
              <w:t xml:space="preserve">Οι ιχθύες εγκλωβίζονται πριν από τις 22 Αυγούστου κάθε έτους, εκτός αν οι αρμόδιες αρχές του </w:t>
            </w:r>
            <w:r w:rsidRPr="004B104E">
              <w:rPr>
                <w:b/>
                <w:i/>
              </w:rPr>
              <w:t>κράτους μέλους ή του ΣΜΣ που είναι αρμόδιο για το ιχθυοτροφείο επικαλεστούν βάσιμους λόγους, περιλαμβανομένης της ανωτέρας βίας, οι οποίοι συνοδεύουν την έκθεση εγκλωβισμού κατά την υποβολή της. Σε κάθε περίπτωση, οι ιχθύες δεν εγκλωβίζονται μετά τις 7 Σεπ</w:t>
            </w:r>
            <w:r w:rsidRPr="004B104E">
              <w:rPr>
                <w:b/>
                <w:i/>
              </w:rPr>
              <w:t>τεμβρίου εκάστου έτους. Οι ανωτέρω προθεσμίες δεν τηρούνται στην περίπτωση μεταβιβάσεων μεταξύ ιχθυοτροφείων.»</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Η σύσταση 22-08 της ICCAT τροποποιεί τη σύσταση 21-08 για τη θέσπιση πολυετού</w:t>
      </w:r>
      <w:r w:rsidRPr="004B104E">
        <w:t>ς σχεδίου αποκατάστασης του ερυθρού τόνου στον Ανατολικό Ατλαντικό και 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66</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παράγραφος 1 – σημείο 2 γ (νέο)</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w:t>
      </w:r>
      <w:r w:rsidRPr="004B104E">
        <w:t>Ε) ΧΧ/2023</w:t>
      </w:r>
      <w:r w:rsidRPr="004B104E">
        <w:rPr>
          <w:rStyle w:val="HideTWBExt"/>
        </w:rPr>
        <w:t>&lt;/DocAmend2&gt;</w:t>
      </w:r>
    </w:p>
    <w:p w:rsidR="00714966" w:rsidRPr="004B104E" w:rsidRDefault="00AB08CD" w:rsidP="00714966">
      <w:r w:rsidRPr="004B104E">
        <w:rPr>
          <w:rStyle w:val="HideTWBExt"/>
        </w:rPr>
        <w:t>&lt;Article2&gt;</w:t>
      </w:r>
      <w:r w:rsidRPr="004B104E">
        <w:t>Άρθρο 47</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2γ)</w:t>
            </w:r>
            <w:r w:rsidRPr="004B104E">
              <w:rPr>
                <w:b/>
                <w:i/>
              </w:rPr>
              <w:tab/>
              <w:t>Στο άρθρο 47, οι παράγραφοι 2 και 3 διαγράφονται.</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lastRenderedPageBreak/>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 xml:space="preserve">Η σύσταση 22-08 της ICCAT τροποποιεί τη σύσταση </w:t>
      </w:r>
      <w:r w:rsidRPr="004B104E">
        <w:t>21-08 για τη θέσπιση πολυετούς σχεδίου αποκατάστασης του ερυθρού τόνου στον Ανατολικό Ατλαντικό και 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67</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rPr>
          <w:rStyle w:val="HideTWBExt"/>
          <w:b w:val="0"/>
        </w:rPr>
      </w:pPr>
      <w:r w:rsidRPr="004B104E">
        <w:rPr>
          <w:rStyle w:val="HideTWBExt"/>
        </w:rPr>
        <w:t>&lt;Article&gt;</w:t>
      </w:r>
      <w:r w:rsidRPr="004B104E">
        <w:t>Άρθρο 2 – παράγραφος 1 – σημείο 2 δ (νέο)</w:t>
      </w:r>
      <w:r w:rsidRPr="004B104E">
        <w:rPr>
          <w:rStyle w:val="HideTWBExt"/>
        </w:rPr>
        <w:t>&lt;/Arti</w:t>
      </w:r>
      <w:r w:rsidRPr="004B104E">
        <w:rPr>
          <w:rStyle w:val="HideTWBExt"/>
        </w:rPr>
        <w:t>cle&gt;</w:t>
      </w:r>
    </w:p>
    <w:p w:rsidR="00714966" w:rsidRPr="004B104E" w:rsidRDefault="00AB08CD" w:rsidP="00714966">
      <w:pPr>
        <w:keepNext/>
      </w:pPr>
      <w:r w:rsidRPr="004B104E">
        <w:rPr>
          <w:rStyle w:val="HideTWBExt"/>
        </w:rPr>
        <w:t>&lt;DocAmend2&gt;</w:t>
      </w:r>
      <w:r w:rsidRPr="004B104E">
        <w:t>Κανονισμός (ΕΕ) ΧΧ/2023</w:t>
      </w:r>
      <w:r w:rsidRPr="004B104E">
        <w:rPr>
          <w:rStyle w:val="HideTWBExt"/>
        </w:rPr>
        <w:t>&lt;/DocAmend2&gt;</w:t>
      </w:r>
    </w:p>
    <w:p w:rsidR="00714966" w:rsidRPr="004B104E" w:rsidRDefault="00AB08CD" w:rsidP="00714966">
      <w:r w:rsidRPr="004B104E">
        <w:rPr>
          <w:rStyle w:val="HideTWBExt"/>
        </w:rPr>
        <w:t>&lt;Article2&gt;</w:t>
      </w:r>
      <w:r w:rsidRPr="004B104E">
        <w:t>Άρθρο 48</w:t>
      </w:r>
      <w:r w:rsidRPr="004B104E">
        <w:rPr>
          <w:rStyle w:val="HideTWBExt"/>
        </w:rPr>
        <w:t>&lt;/Article2&gt;</w:t>
      </w:r>
    </w:p>
    <w:p w:rsidR="00714966" w:rsidRPr="004B104E" w:rsidRDefault="00714966" w:rsidP="00714966">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2δ)</w:t>
            </w:r>
            <w:r w:rsidRPr="004B104E">
              <w:rPr>
                <w:b/>
                <w:i/>
              </w:rPr>
              <w:tab/>
              <w:t>Το άρθρο 48 διαγράφεται.</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 xml:space="preserve">Η σύσταση 22-08 της ICCAT τροποποιεί τη </w:t>
      </w:r>
      <w:r w:rsidRPr="004B104E">
        <w:t>σύσταση 21-08 για τη θέσπιση πολυετούς σχεδίου αποκατάστασης του ερυθρού τόνου στον Ανατολικό Ατλαντικό και 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68</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παράγραφος 1 – στοιχείο 2 ε (</w:t>
      </w:r>
      <w:r w:rsidRPr="004B104E">
        <w:t>νέο)</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ΧΧ/2023</w:t>
      </w:r>
      <w:r w:rsidRPr="004B104E">
        <w:rPr>
          <w:rStyle w:val="HideTWBExt"/>
        </w:rPr>
        <w:t>&lt;/DocAmend2&gt;</w:t>
      </w:r>
    </w:p>
    <w:p w:rsidR="00714966" w:rsidRPr="004B104E" w:rsidRDefault="00AB08CD" w:rsidP="00714966">
      <w:r w:rsidRPr="004B104E">
        <w:rPr>
          <w:rStyle w:val="HideTWBExt"/>
        </w:rPr>
        <w:t>&lt;Article2&gt;</w:t>
      </w:r>
      <w:r w:rsidRPr="004B104E">
        <w:t>Άρθρο 49</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2ε)</w:t>
            </w:r>
            <w:r w:rsidRPr="004B104E">
              <w:rPr>
                <w:b/>
                <w:i/>
              </w:rPr>
              <w:tab/>
              <w:t>το άρθρο 49 αντικαθίσταται από 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«Άρθρο 49</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Καταγραφή των εργασιών εγκλωβισμού με κάμερες ελέγχου και δήλωση</w:t>
            </w:r>
            <w:r w:rsidRPr="004B104E">
              <w:rPr>
                <w:b/>
                <w:i/>
              </w:rPr>
              <w:t xml:space="preserve"> εγκλωβισμού</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Τα κράτη μέλη που είναι αρμόδια για τα ιχθυοτροφεία διασφαλίζουν ότι οι εργασίες εγκλωβισμού παρακολουθούνται από τις ελεγκτικές αρχές τους με τη χρήση τόσο συμβατικών όσο και στερεοσκοπικών καμερών. Πρέπει να πραγματοποιούνται βιντεοσκοπ</w:t>
            </w:r>
            <w:r w:rsidRPr="004B104E">
              <w:rPr>
                <w:b/>
                <w:i/>
              </w:rPr>
              <w:t xml:space="preserve">ήσεις για </w:t>
            </w:r>
            <w:r w:rsidRPr="004B104E">
              <w:rPr>
                <w:b/>
                <w:i/>
              </w:rPr>
              <w:lastRenderedPageBreak/>
              <w:t>κάθε εργασία εγκλωβισμού, σύμφωνα με τις διαδικασίες που ορίζονται στο παράρτημα X.</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w:t>
            </w:r>
            <w:r w:rsidRPr="004B104E">
              <w:rPr>
                <w:b/>
                <w:i/>
              </w:rPr>
              <w:tab/>
              <w:t>Εάν η ποιότητα του βίντεο από την κάμερα ελέγχου που χρησιμοποιείται για τον προσδιορισμό του αριθμού και/ή του βάρους του εγκλωβισμένου ερυθρού τόνου δεν πλ</w:t>
            </w:r>
            <w:r w:rsidRPr="004B104E">
              <w:rPr>
                <w:b/>
                <w:i/>
              </w:rPr>
              <w:t xml:space="preserve">ηροί τις ελάχιστες προδιαγραφές του παραρτήματος Χ, η αρμόδια αρχή του κράτους μέλους του ιχθυοτροφείου διατάσσει εγκλωβισμό ελέγχου έως ότου καταστεί δυνατός ο προσδιορισμός του αριθμού και/ή του βάρους. Η επανάληψη των εργασιών εγκλωβισμού δεν υπόκειται </w:t>
            </w:r>
            <w:r w:rsidRPr="004B104E">
              <w:rPr>
                <w:b/>
                <w:i/>
              </w:rPr>
              <w:t>σε χορήγηση νέας άδειας εγκλωβισμού.</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w:t>
            </w:r>
            <w:r w:rsidRPr="004B104E">
              <w:rPr>
                <w:b/>
                <w:i/>
              </w:rPr>
              <w:tab/>
              <w:t>Στην περίπτωση του εγκλωβισμού ελέγχου, η αρμόδια αρχή του κράτους μέλους του ιχθυοτροφείου διασφαλίζει ότι ο κλωβός εκτροφής-δότης είναι σφραγισμένος και δεν μπορεί να παραβιαστεί πριν από τις νέες εργασίες εγκλωβ</w:t>
            </w:r>
            <w:r w:rsidRPr="004B104E">
              <w:rPr>
                <w:b/>
                <w:i/>
              </w:rPr>
              <w:t>ισμού. Οι κλωβοί υποδοχής που χρησιμοποιούνται στον εγκλωβισμό ελέγχου είναι κενοί.</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4.</w:t>
            </w:r>
            <w:r w:rsidRPr="004B104E">
              <w:rPr>
                <w:b/>
                <w:i/>
              </w:rPr>
              <w:tab/>
              <w:t>Κατά την ολοκλήρωση των εργασιών εγκλωβισμού, η αρμόδια αρχή του κράτους μέλους εκτροφής διασφαλίζει ότι ο περιφερειακός παρατηρητής της ICCAT έχει άμεση πρόσβαση σε ό</w:t>
            </w:r>
            <w:r w:rsidRPr="004B104E">
              <w:rPr>
                <w:b/>
                <w:i/>
              </w:rPr>
              <w:t>λα τα βίντεο που έχουν ληφθεί με στερεοσκοπική και συμβατική κάμερα και ότι του επιτρέπεται να δημιουργήσει αντίγραφο εάν προτίθεται να ολοκληρώσει την ανάλυση του υλικού σε άλλη χρονική στιγμή ή τόπο.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5.</w:t>
            </w:r>
            <w:r w:rsidRPr="004B104E">
              <w:rPr>
                <w:b/>
                <w:i/>
              </w:rPr>
              <w:tab/>
              <w:t>Τα κράτη μέλη που είναι αρμόδια για τα ιχθυοτροφε</w:t>
            </w:r>
            <w:r w:rsidRPr="004B104E">
              <w:rPr>
                <w:b/>
                <w:i/>
              </w:rPr>
              <w:t>ία εξασφαλίζουν ότι, για κάθε εργασία εγκλωβισμού, ο φορέας εκμετάλλευσης του ιχθυοτροφείου υποβάλλει δήλωση εγκλωβισμού εντός μίας εβδομάδας από την εκτέλεση της πραγματικής εργασίας εγκλωβισμού, χρησιμοποιώντας το έντυπο του παραρτήματος XIV.»</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lastRenderedPageBreak/>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Η σύσταση 22-08 της ICCAT τροποποιεί τη σύσταση 21-08 για τη θέσπιση πολυετούς σχεδίου αποκατάστασης του ερυθρού τόνου στον Ανατολικό Ατλαντικό και 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69</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παράγραφος 1 – σημείο 2 στ (νέο)</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ΧΧ/2023</w:t>
      </w:r>
      <w:r w:rsidRPr="004B104E">
        <w:rPr>
          <w:rStyle w:val="HideTWBExt"/>
        </w:rPr>
        <w:t>&lt;/DocAmend2&gt;</w:t>
      </w:r>
    </w:p>
    <w:p w:rsidR="00714966" w:rsidRPr="004B104E" w:rsidRDefault="00AB08CD" w:rsidP="00714966">
      <w:r w:rsidRPr="004B104E">
        <w:rPr>
          <w:rStyle w:val="HideTWBExt"/>
        </w:rPr>
        <w:t>&lt;Article2&gt;</w:t>
      </w:r>
      <w:r w:rsidRPr="004B104E">
        <w:t>Άρθρο 50</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2στ)</w:t>
            </w:r>
            <w:r w:rsidRPr="004B104E">
              <w:rPr>
                <w:b/>
                <w:i/>
              </w:rPr>
              <w:tab/>
              <w:t xml:space="preserve">το άρθρο 50 </w:t>
            </w:r>
            <w:r w:rsidRPr="004B104E">
              <w:rPr>
                <w:b/>
                <w:i/>
              </w:rPr>
              <w:t>αντικαθίσταται από 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«Άρθρο 50</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Έναρξη και διεξαγωγή των ερευνών</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 xml:space="preserve">Όταν, για μία μόνο αλιευτική δραστηριότητα, ο αριθμός των ερυθρών τόνων που εγκλωβίζονται, όπως κοινοποιείται από την αρμόδια αρχή του κράτους μέλους εκτροφής </w:t>
            </w:r>
            <w:r w:rsidRPr="004B104E">
              <w:rPr>
                <w:b/>
                <w:i/>
              </w:rPr>
              <w:t>σύμφωνα με το άρθρο 50 παράγραφος 2, διαφέρει κατά περισσότερο από 10 % από τον αριθμό ερυθρών τόνων που αναφέρονται στη δήλωση μεταβίβασης ή στο eBCD να έχουν αλιευθεί ή μεταβιβαστεί, η αρμόδια αρχή του κράτους μέλους σημαίας ή διάταξης παγίδευσης αρχίζει</w:t>
            </w:r>
            <w:r w:rsidRPr="004B104E">
              <w:rPr>
                <w:b/>
                <w:i/>
              </w:rPr>
              <w:t xml:space="preserve"> έρευνα για να προσδιορίσει το ακριβές βάρος του αλιεύματος, το οποίο αφαιρείται από την εθνική ποσόστωση ερυθρού τόνου. Προς υποστήριξη της έρευνας αυτής, η αρμόδια αρχή του κράτους μέλους σημαίας ή διάταξης παγίδευσης ζητεί όλες τις συμπληρωματικές πληρο</w:t>
            </w:r>
            <w:r w:rsidRPr="004B104E">
              <w:rPr>
                <w:b/>
                <w:i/>
              </w:rPr>
              <w:t>φορίες και τα αποτελέσματα της ανάλυσης του σχετικού βιντεοσκοπημένου υλικού που διενεργήθηκε από την αρμόδια αρχή του κράτους μέλους σημαίας και εκτροφής, που αφορούν στις σχετικές εργασίες μεταφοράς και εγκλωβισμού. Όλες οι αρμόδιες αρχές, συμπεριλαμβανο</w:t>
            </w:r>
            <w:r w:rsidRPr="004B104E">
              <w:rPr>
                <w:b/>
                <w:i/>
              </w:rPr>
              <w:t xml:space="preserve">μένων εκείνων των οποίων τα σκάφη έχουν συμμετάσχει στη μεταφορά των ιχθύων, </w:t>
            </w:r>
            <w:r w:rsidRPr="004B104E">
              <w:rPr>
                <w:b/>
                <w:i/>
              </w:rPr>
              <w:lastRenderedPageBreak/>
              <w:t>βρίσκονται σε στενή συνεργασία, μεταξύ άλλων μέσω της ανταλλαγής όλων των πληροφοριών και εγγράφων που έχουν στη διάθεσή τους. Η αρμόδια αρχή του κράτους μέλους σημαίας ή διάταξης</w:t>
            </w:r>
            <w:r w:rsidRPr="004B104E">
              <w:rPr>
                <w:b/>
                <w:i/>
              </w:rPr>
              <w:t xml:space="preserve"> παγίδευσης ολοκληρώνει την έρευνα εντός ενός μηνός από την κοινοποίηση των αποτελεσμάτων εγκλωβισμού από την αρμόδια αρχή του κράτους μέλους εκτροφής. [Παράγραφος 177] Η διαφορά άνω του 10 % μεταξύ του αριθμού των ερυθρών τόνων που αναφέρθηκαν ότι αλιεύθη</w:t>
            </w:r>
            <w:r w:rsidRPr="004B104E">
              <w:rPr>
                <w:b/>
                <w:i/>
              </w:rPr>
              <w:t>καν από το σχετικό σκάφος ή τη διάταξη παγίδευσης και του αριθμού που προσδιορίζεται από την αρμόδια αρχή του κράτους μέλους σημαίας ή διάταξης παγίδευσης ως αποτέλεσμα της έρευνας συνιστά δυνητική μη συμμόρφωση του σχετικού σκάφους ή της διάταξης παγίδευσ</w:t>
            </w:r>
            <w:r w:rsidRPr="004B104E">
              <w:rPr>
                <w:b/>
                <w:i/>
              </w:rPr>
              <w:t>ης.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w:t>
            </w:r>
            <w:r w:rsidRPr="004B104E">
              <w:rPr>
                <w:b/>
                <w:i/>
              </w:rPr>
              <w:tab/>
              <w:t>Το περιθώριο σφάλματος της τάξης του 10 % που αναφέρεται στην παράγραφο 1 εκφράζεται ως ποσοστό των αριθμητικών στοιχείων που δηλώνονται από τον πλοίαρχο του αλιευτικού σκάφους ή τον αντιπρόσωπο της διάταξης παγίδευσης και εφαρμόζεται σε επίπεδο μ</w:t>
            </w:r>
            <w:r w:rsidRPr="004B104E">
              <w:rPr>
                <w:b/>
                <w:i/>
              </w:rPr>
              <w:t>εμονωμένης δραστηριότητας εγκλωβισμού.</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w:t>
            </w:r>
            <w:r w:rsidRPr="004B104E">
              <w:rPr>
                <w:b/>
                <w:i/>
              </w:rPr>
              <w:tab/>
              <w:t>Το κράτος μέλος σημαίας ή διάταξης παγίδευσης προσδιορίζει το βάρος του ερυθρού τόνου που πρέπει να αφαιρεθεί από την εθνική του ποσόστωση, λαμβάνοντας υπόψη τις ποσότητες εγκλωβισμού, οι οποίες υπολογίζονται σύμ</w:t>
            </w:r>
            <w:r w:rsidRPr="004B104E">
              <w:rPr>
                <w:b/>
                <w:i/>
              </w:rPr>
              <w:t>φωνα με τις διατάξεις του παραρτήματος XI, γεγονός που εξασφαλίζει ότι το βάρος κατά τον εγκλωβισμό υπολογίζεται με βάση τη σχέση βάρους-μήκους για τους άγριους ιχθύες και τους θανάτους που έχουν αναφερθεί, σύμφωνα με το παράρτημα XIII.</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4.</w:t>
            </w:r>
            <w:r w:rsidRPr="004B104E">
              <w:rPr>
                <w:b/>
                <w:i/>
              </w:rPr>
              <w:tab/>
              <w:t>Ωστόσο, για τι</w:t>
            </w:r>
            <w:r w:rsidRPr="004B104E">
              <w:rPr>
                <w:b/>
                <w:i/>
              </w:rPr>
              <w:t xml:space="preserve">ς περιπτώσεις όπου η έρευνα που αναφέρεται στην παράγραφο 1 καταλήγει στο συμπέρασμα ότι έλειπαν ερυθροί τόνοι κατά την έννοια </w:t>
            </w:r>
            <w:r w:rsidRPr="004B104E">
              <w:rPr>
                <w:b/>
                <w:i/>
              </w:rPr>
              <w:lastRenderedPageBreak/>
              <w:t>της παραγράφου 2 του παραρτήματος XIII, το βάρος των απολεσθέντων ιχθύων αφαιρείται από την εθνική ποσόστωση σύμφωνα με το παράρτ</w:t>
            </w:r>
            <w:r w:rsidRPr="004B104E">
              <w:rPr>
                <w:b/>
                <w:i/>
              </w:rPr>
              <w:t>ημα XIII, με εφαρμογή του μέσου ατομικού βάρους κατά τον εγκλωβισμό, όπως κοινοποιείται από την αρμόδια αρχή του κράτους μέλους εκτροφής, στον αριθμό ερυθρών τόνων που αλιεύτηκαν, όπως προσδιορίζεται από την αρμόδια αρχή του κράτους μέλους σημαίας ή διάταξ</w:t>
            </w:r>
            <w:r w:rsidRPr="004B104E">
              <w:rPr>
                <w:b/>
                <w:i/>
              </w:rPr>
              <w:t>ης παγίδευσης, ο οποίος προκύπτει από την ανάλυση του βίντεο της πρώτης μεταβίβασης στο πλαίσιο της έρευνας.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5.</w:t>
            </w:r>
            <w:r w:rsidRPr="004B104E">
              <w:rPr>
                <w:b/>
                <w:i/>
              </w:rPr>
              <w:tab/>
              <w:t>Κατά παρέκκλιση από την παράγραφο 4, μετά από διαβούλευση με το κράτος μέλος που εμπλέκεται στη μεταφορά ιχθύων έως το ιχθυοτροφείο προορισμού</w:t>
            </w:r>
            <w:r w:rsidRPr="004B104E">
              <w:rPr>
                <w:b/>
                <w:i/>
              </w:rPr>
              <w:t>, το κράτος μέλος σημαίας ή διάταξης παγίδευσης μπορεί να αποφασίσει να μην αφαιρέσει από την εθνική ποσόστωση τους ιχθύες που προσδιορίζονται στην έρευνα ως απολεσθέντες, όταν οι απώλειες έχουν τεκμηριωθεί δεόντως ως συνέπεια «ανωτέρας βίας» από τον φορέα</w:t>
            </w:r>
            <w:r w:rsidRPr="004B104E">
              <w:rPr>
                <w:b/>
                <w:i/>
              </w:rPr>
              <w:t xml:space="preserve"> εκμετάλλευσης (δηλαδή με φωτογραφίες του κλωβού που υπέστη ζημία, μετεωρολογικές εκθέσεις), οι σχετικές πληροφορίες έχουν κοινοποιηθεί στην αρμόδια αρχή του οικείου κράτους μέλους αμέσως μετά το συμβάν και οι απώλειες δεν οδήγησαν σε γνωστοποιημένους θανά</w:t>
            </w:r>
            <w:r w:rsidRPr="004B104E">
              <w:rPr>
                <w:b/>
                <w:i/>
              </w:rPr>
              <w:t>τους ιχθύων.»</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Η σύσταση 22-08 της ICCAT τροποποιεί τη σύσταση 21-08 για τη θέσπιση πολυετούς σχεδίου αποκατάστασης του ερυθρού τόνου στον Ανατολικό Ατλαντικό και 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70</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παράγραφος 1 – σημείο 2 ζ (νέο)</w:t>
      </w:r>
      <w:r w:rsidRPr="004B104E">
        <w:rPr>
          <w:rStyle w:val="HideTWBExt"/>
        </w:rPr>
        <w:t>&lt;/Article&gt;</w:t>
      </w:r>
    </w:p>
    <w:p w:rsidR="00714966" w:rsidRPr="004B104E" w:rsidRDefault="00AB08CD" w:rsidP="00714966">
      <w:pPr>
        <w:keepNext/>
      </w:pPr>
      <w:r w:rsidRPr="004B104E">
        <w:rPr>
          <w:rStyle w:val="HideTWBExt"/>
        </w:rPr>
        <w:lastRenderedPageBreak/>
        <w:t>&lt;DocAmend2&gt;</w:t>
      </w:r>
      <w:r w:rsidRPr="004B104E">
        <w:t>Κανονισμός (ΕΕ) ΧΧ/2023</w:t>
      </w:r>
      <w:r w:rsidRPr="004B104E">
        <w:rPr>
          <w:rStyle w:val="HideTWBExt"/>
        </w:rPr>
        <w:t>&lt;/DocAmend2&gt;</w:t>
      </w:r>
    </w:p>
    <w:p w:rsidR="00714966" w:rsidRPr="004B104E" w:rsidRDefault="00AB08CD" w:rsidP="00714966">
      <w:pPr>
        <w:pStyle w:val="NormalBold"/>
        <w:rPr>
          <w:b w:val="0"/>
        </w:rPr>
      </w:pPr>
      <w:r w:rsidRPr="004B104E">
        <w:rPr>
          <w:rStyle w:val="HideTWBExt"/>
        </w:rPr>
        <w:t>&lt;Article2&gt;</w:t>
      </w:r>
      <w:r w:rsidRPr="004B104E">
        <w:rPr>
          <w:b w:val="0"/>
        </w:rPr>
        <w:t>Άρθρο 51</w:t>
      </w:r>
      <w:r w:rsidRPr="004B104E">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2ζ)</w:t>
            </w:r>
            <w:r w:rsidRPr="004B104E">
              <w:rPr>
                <w:b/>
                <w:i/>
              </w:rPr>
              <w:tab/>
              <w:t xml:space="preserve">το </w:t>
            </w:r>
            <w:r w:rsidRPr="004B104E">
              <w:rPr>
                <w:b/>
                <w:i/>
              </w:rPr>
              <w:t>άρθρο 51 τροποποιείται ως εξής: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w:t>
            </w:r>
            <w:r w:rsidRPr="004B104E">
              <w:rPr>
                <w:b/>
                <w:i/>
              </w:rPr>
              <w:tab/>
              <w:t>ο τίτλος αντικαθίσταται από 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«Άρθρο 51</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Μέτρα και προγράμματα για να εκτιμηθεί ο αριθμός και το βάρος του ερυθρού τόνου που πρόκειται να εγκλωβισθεί»·</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β)</w:t>
            </w:r>
            <w:r w:rsidRPr="004B104E">
              <w:rPr>
                <w:b/>
                <w:i/>
              </w:rPr>
              <w:tab/>
              <w:t>η παράγραφος 1 αντικαθίσταται από το ακό</w:t>
            </w:r>
            <w:r w:rsidRPr="004B104E">
              <w:rPr>
                <w:b/>
                <w:i/>
              </w:rPr>
              <w:t>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 xml:space="preserve">Η αρμόδια αρχή του κράτους μέλους εκτροφής προσδιορίζει τον αριθμό και το βάρος του ερυθρού τόνου που εγκλωβίζεται, μέσω ανάλυσης του βίντεο για κάθε εργασία εγκλωβισμού, το οποίο παρέχει ο φορέας εκμετάλλευσης του ιχθυοτροφείου. Για </w:t>
            </w:r>
            <w:r w:rsidRPr="004B104E">
              <w:rPr>
                <w:b/>
                <w:i/>
              </w:rPr>
              <w:t>τη διενέργεια της ανάλυσης αυτής, οι αρχές ακολουθούν τις διαδικασίες που ορίζονται στο παράρτημα XIV. Όταν υπάρχει διαφορά άνω του 10 % μεταξύ του αριθμού και/ή του βάρους που προσδιορίζεται από την αρμόδια αρχή του ΣΜΣ για το ιχθυοτροφείο και των αντίστο</w:t>
            </w:r>
            <w:r w:rsidRPr="004B104E">
              <w:rPr>
                <w:b/>
                <w:i/>
              </w:rPr>
              <w:t>ιχων αριθμητικών στοιχείων που αναφέρονται στη δήλωση εγκλωβισμού, η αρμόδια αρχή του κράτους μέλους ιχθυοτροφείου κινεί έρευνα για να εντοπίσει τους λόγους της απόκλισης και να προβεί σε ενδεχόμενη προσαρμογή του αριθμού και/ή του βάρους των ιχθύων που έχ</w:t>
            </w:r>
            <w:r w:rsidRPr="004B104E">
              <w:rPr>
                <w:b/>
                <w:i/>
              </w:rPr>
              <w:t>ουν εγκλωβιστεί. Το προαναφερθέν περιθώριο σφάλματος της τάξης του 10 % εκφράζεται ως ποσοστό των στοιχείων που παρέχει ο φορέας εκμετάλλευσης του ιχθυοτροφείου. Μετά την ολοκλήρωση των εργασιών εγκλωβισμού ή, στην περίπτωση κοινής αλιευτικής δραστηριότητα</w:t>
            </w:r>
            <w:r w:rsidRPr="004B104E">
              <w:rPr>
                <w:b/>
                <w:i/>
              </w:rPr>
              <w:t xml:space="preserve">ς ή διατάξεων παγίδευσης του ίδιου κράτους μέλους της ΕΕ, της τελευταίας εργασίας εγκλωβισμού που συνδέεται με την εν λόγω κοινή αλιευτική </w:t>
            </w:r>
            <w:r w:rsidRPr="004B104E">
              <w:rPr>
                <w:b/>
                <w:i/>
              </w:rPr>
              <w:lastRenderedPageBreak/>
              <w:t xml:space="preserve">δραστηριότητα ή τις εν λόγω διατάξεις παγίδευσης, τα κράτη μέλη που είναι αρμόδια για το ιχθυοτροφείο κοινοποιούν τα </w:t>
            </w:r>
            <w:r w:rsidRPr="004B104E">
              <w:rPr>
                <w:b/>
                <w:i/>
              </w:rPr>
              <w:t>αποτελέσματα του προγράμματος αυτού στο κράτος μέλος ή στο ΣΜΣ που είναι αρμόδιο για τα σκάφη αλίευσης ή τη διάταξη παγίδευσης σύμφωνα με το σημείο 2 στοιχεία α) και β) του παραρτήματος XI.»·</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γ)</w:t>
            </w:r>
            <w:r w:rsidRPr="004B104E">
              <w:rPr>
                <w:b/>
                <w:i/>
              </w:rPr>
              <w:tab/>
              <w:t>προστίθενται οι ακόλουθες παράγραφοι:</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«3α.</w:t>
            </w:r>
            <w:r w:rsidRPr="004B104E">
              <w:rPr>
                <w:b/>
                <w:i/>
              </w:rPr>
              <w:tab/>
              <w:t>Κάθε κράτος μέ</w:t>
            </w:r>
            <w:r w:rsidRPr="004B104E">
              <w:rPr>
                <w:b/>
                <w:i/>
              </w:rPr>
              <w:t xml:space="preserve">λος που είναι αρμόδιο για ιχθυοτροφεία υποβάλλει στην Επιτροπή τις διαδικασίες και τα αποτελέσματα που σχετίζονται με το πρόγραμμα στερεοσκοπικής κάμερας (ή με εναλλακτικές μεθόδους) έως τις 30 Σεπτεμβρίου, προκειμένου να διαβιβαστούν στην SCRS έως τις 31 </w:t>
            </w:r>
            <w:r w:rsidRPr="004B104E">
              <w:rPr>
                <w:b/>
                <w:i/>
              </w:rPr>
              <w:t>Οκτωβρίου κάθε έτους.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3β.</w:t>
            </w:r>
            <w:r w:rsidRPr="004B104E">
              <w:rPr>
                <w:b/>
                <w:i/>
              </w:rPr>
              <w:tab/>
              <w:t>Όλοι οι ερυθροί τόνοι που πεθαίνουν κατά τη διάρκεια των εργασιών εγκλωβισμού δηλώνονται από τον φορέα εκμετάλλευσης του ιχθυοτροφείου, σύμφωνα με τις διαδικασίες που ορίζονται στο παράρτημα XIII.»</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w:t>
      </w:r>
      <w:r w:rsidRPr="004B104E">
        <w:rPr>
          <w:rStyle w:val="HideTWBExt"/>
          <w:noProof w:val="0"/>
        </w:rPr>
        <w:t>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Η σύσταση 22-08 της ICCAT τροποποιεί τη σύσταση 21-08 για τη θέσπιση πολυετούς σχεδίου αποκατάστασης του ερυθρού τόνου στον Ανατολικό Ατλαντικό και 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71</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εδάφιο 1 – σημείο 2 η (νέο)</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ΧΧ/2023</w:t>
      </w:r>
      <w:r w:rsidRPr="004B104E">
        <w:rPr>
          <w:rStyle w:val="HideTWBExt"/>
        </w:rPr>
        <w:t>&lt;/DocAmend2&gt;</w:t>
      </w:r>
    </w:p>
    <w:p w:rsidR="00714966" w:rsidRPr="004B104E" w:rsidRDefault="00AB08CD" w:rsidP="00714966">
      <w:r w:rsidRPr="004B104E">
        <w:rPr>
          <w:rStyle w:val="HideTWBExt"/>
        </w:rPr>
        <w:t>&lt;Article2&gt;</w:t>
      </w:r>
      <w:r w:rsidRPr="004B104E">
        <w:t>Άρθρο 52</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2η)</w:t>
            </w:r>
            <w:r w:rsidRPr="004B104E">
              <w:rPr>
                <w:b/>
                <w:i/>
              </w:rPr>
              <w:tab/>
              <w:t xml:space="preserve">το άρθρο 52 αντικαθίσταται από </w:t>
            </w:r>
            <w:r w:rsidRPr="004B104E">
              <w:rPr>
                <w:b/>
                <w:i/>
              </w:rPr>
              <w:lastRenderedPageBreak/>
              <w:t>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«Άρθρο 52</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Απελευθερώσεις που σχετίζονται με εργασίες εγκλωβισμού</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Ο προσδιορισμός των ιχθύων που πρόκειται να απελευθερωθούν πραγματοποιείται σύμφωνα με τις διατάξεις του παραρτήματος XI παράγραφος 4. Εάν το βάρος του ερυθρού τόνου που εγκλωβίζεται υπερ</w:t>
            </w:r>
            <w:r w:rsidRPr="004B104E">
              <w:rPr>
                <w:b/>
                <w:i/>
              </w:rPr>
              <w:t>βαίνει αυτό που είχε δηλωθεί ως βάρος που έχει αλιευθεί και/ή μεταβιβασθεί, η αρμόδια αρχή του ΣΜΣ σημαίας ή διάταξης παγίδευσης εκδίδει εντολή απελευθέρωσης και την κοινοποιεί χωρίς καθυστέρηση στη σχετική αρμόδια αρχή του ΣΜΣ εκτροφής. Η εντολή απελευθέρ</w:t>
            </w:r>
            <w:r w:rsidRPr="004B104E">
              <w:rPr>
                <w:b/>
                <w:i/>
              </w:rPr>
              <w:t>ωσης ακολουθεί τις διατάξεις του παραρτήματος IX παράγραφος 4, λαμβάνοντας υπόψη την πιθανή αποζημίωση σε επίπεδο κοινής αλιευτικής δραστηριότητας ή διάταξης παγίδευσης, σύμφωνα με το παράρτημα IX παράγραφος 5. Η επιχείρηση απελευθέρωσης διεξάγεται σύμφωνα</w:t>
            </w:r>
            <w:r w:rsidRPr="004B104E">
              <w:rPr>
                <w:b/>
                <w:i/>
              </w:rPr>
              <w:t xml:space="preserve"> με το πρωτόκολλο που ορίζεται στο παράρτημα XII.»</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 xml:space="preserve">Η σύσταση 22-08 της ICCAT τροποποιεί τη σύσταση 21-08 για τη θέσπιση πολυετούς σχεδίου αποκατάστασης του ερυθρού τόνου στον Ανατολικό </w:t>
      </w:r>
      <w:r w:rsidRPr="004B104E">
        <w:t>Ατλαντικό και 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72</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rPr>
          <w:rStyle w:val="HideTWBExt"/>
          <w:b w:val="0"/>
        </w:rPr>
      </w:pPr>
      <w:r w:rsidRPr="004B104E">
        <w:rPr>
          <w:rStyle w:val="HideTWBExt"/>
        </w:rPr>
        <w:t>&lt;Article&gt;</w:t>
      </w:r>
      <w:r w:rsidRPr="004B104E">
        <w:t>Άρθρο 2 – εδάφιο 1 – σημείο 2 θ (νέο)</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ΧΧ/2023</w:t>
      </w:r>
      <w:r w:rsidRPr="004B104E">
        <w:rPr>
          <w:rStyle w:val="HideTWBExt"/>
        </w:rPr>
        <w:t>&lt;/DocAmend2&gt;</w:t>
      </w:r>
    </w:p>
    <w:p w:rsidR="00714966" w:rsidRPr="004B104E" w:rsidRDefault="00AB08CD" w:rsidP="00714966">
      <w:r w:rsidRPr="004B104E">
        <w:rPr>
          <w:rStyle w:val="HideTWBExt"/>
        </w:rPr>
        <w:t>&lt;Article2&gt;</w:t>
      </w:r>
      <w:r w:rsidRPr="004B104E">
        <w:t>Άρθρο 53</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w:t>
            </w:r>
            <w:r w:rsidRPr="004B104E">
              <w:t xml:space="preserve">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2θ)</w:t>
            </w:r>
            <w:r w:rsidRPr="004B104E">
              <w:rPr>
                <w:b/>
                <w:i/>
              </w:rPr>
              <w:tab/>
              <w:t>το άρθρο 53 διαγράφεται.</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lastRenderedPageBreak/>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 xml:space="preserve">Η σύσταση 22-08 της ICCAT τροποποιεί τη σύσταση 21-08 για τη θέσπιση πολυετούς σχεδίου αποκατάστασης του ερυθρού τόνου στον Ανατολικό </w:t>
      </w:r>
      <w:r w:rsidRPr="004B104E">
        <w:t>Ατλαντικό και 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73</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rPr>
          <w:rStyle w:val="HideTWBExt"/>
          <w:b w:val="0"/>
        </w:rPr>
      </w:pPr>
      <w:r w:rsidRPr="004B104E">
        <w:rPr>
          <w:rStyle w:val="HideTWBExt"/>
        </w:rPr>
        <w:t>&lt;Article&gt;</w:t>
      </w:r>
      <w:r w:rsidRPr="004B104E">
        <w:t>Άρθρο 2 – εδάφιο 1 – σημείο 2 ι (νέο)</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ΧΧ/2023</w:t>
      </w:r>
      <w:r w:rsidRPr="004B104E">
        <w:rPr>
          <w:rStyle w:val="HideTWBExt"/>
        </w:rPr>
        <w:t>&lt;/DocAmend2&gt;</w:t>
      </w:r>
    </w:p>
    <w:p w:rsidR="00714966" w:rsidRPr="004B104E" w:rsidRDefault="00AB08CD" w:rsidP="00714966">
      <w:r w:rsidRPr="004B104E">
        <w:rPr>
          <w:rStyle w:val="HideTWBExt"/>
        </w:rPr>
        <w:t>&lt;Article2&gt;</w:t>
      </w:r>
      <w:r w:rsidRPr="004B104E">
        <w:t>Άρθρο 54</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w:t>
            </w:r>
            <w:r w:rsidRPr="004B104E">
              <w:t xml:space="preserve">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2ι)</w:t>
            </w:r>
            <w:r w:rsidRPr="004B104E">
              <w:rPr>
                <w:b/>
                <w:i/>
              </w:rPr>
              <w:tab/>
              <w:t>το άρθρο 54 διαγράφεται.</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 xml:space="preserve">Η σύσταση 22-08 της ICCAT τροποποιεί τη σύσταση 21-08 για τη θέσπιση πολυετούς σχεδίου αποκατάστασης του ερυθρού τόνου στον Ανατολικό </w:t>
      </w:r>
      <w:r w:rsidRPr="004B104E">
        <w:t>Ατλαντικό και 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74</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rPr>
          <w:rStyle w:val="HideTWBExt"/>
          <w:b w:val="0"/>
        </w:rPr>
      </w:pPr>
      <w:r w:rsidRPr="004B104E">
        <w:rPr>
          <w:rStyle w:val="HideTWBExt"/>
        </w:rPr>
        <w:t>&lt;Article&gt;</w:t>
      </w:r>
      <w:r w:rsidRPr="004B104E">
        <w:t>Άρθρο 2 – παράγραφος 1 – σημείο 2 ια (νέο)</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ΧΧ/2023</w:t>
      </w:r>
      <w:r w:rsidRPr="004B104E">
        <w:rPr>
          <w:rStyle w:val="HideTWBExt"/>
        </w:rPr>
        <w:t>&lt;/DocAmend2&gt;</w:t>
      </w:r>
    </w:p>
    <w:p w:rsidR="00714966" w:rsidRPr="004B104E" w:rsidRDefault="00AB08CD" w:rsidP="00714966">
      <w:r w:rsidRPr="004B104E">
        <w:rPr>
          <w:rStyle w:val="HideTWBExt"/>
        </w:rPr>
        <w:t>&lt;Article2&gt;</w:t>
      </w:r>
      <w:r w:rsidRPr="004B104E">
        <w:t>Άρθρο 55</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2ια)</w:t>
            </w:r>
            <w:r w:rsidRPr="004B104E">
              <w:rPr>
                <w:b/>
                <w:i/>
              </w:rPr>
              <w:tab/>
              <w:t>το άρθρο 55 διαγράφεται.</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 xml:space="preserve">Η σύσταση 22-08 της ICCAT τροποποιεί τη σύσταση 21-08 για τη θέσπιση πολυετούς σχεδίου αποκατάστασης του ερυθρού τόνου στον </w:t>
      </w:r>
      <w:r w:rsidRPr="004B104E">
        <w:t>Ανατολικό Ατλαντικό και 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75</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παράγραφος 1 – σημείο 2 ιβ (νέο)</w:t>
      </w:r>
      <w:r w:rsidRPr="004B104E">
        <w:rPr>
          <w:rStyle w:val="HideTWBExt"/>
        </w:rPr>
        <w:t>&lt;/Article&gt;</w:t>
      </w:r>
    </w:p>
    <w:p w:rsidR="00714966" w:rsidRPr="004B104E" w:rsidRDefault="00AB08CD" w:rsidP="00714966">
      <w:pPr>
        <w:keepNext/>
      </w:pPr>
      <w:r w:rsidRPr="004B104E">
        <w:rPr>
          <w:rStyle w:val="HideTWBExt"/>
        </w:rPr>
        <w:lastRenderedPageBreak/>
        <w:t>&lt;DocAmend2&gt;</w:t>
      </w:r>
      <w:r w:rsidRPr="004B104E">
        <w:t>Κανονισμός (ΕΕ) ΧΧ/2023</w:t>
      </w:r>
      <w:r w:rsidRPr="004B104E">
        <w:rPr>
          <w:rStyle w:val="HideTWBExt"/>
        </w:rPr>
        <w:t>&lt;/DocAmend2&gt;</w:t>
      </w:r>
    </w:p>
    <w:p w:rsidR="00714966" w:rsidRPr="004B104E" w:rsidRDefault="00AB08CD" w:rsidP="00714966">
      <w:r w:rsidRPr="004B104E">
        <w:rPr>
          <w:rStyle w:val="HideTWBExt"/>
        </w:rPr>
        <w:t>&lt;Article2&gt;</w:t>
      </w:r>
      <w:r w:rsidRPr="004B104E">
        <w:t xml:space="preserve">Τμήμα 7α </w:t>
      </w:r>
      <w:r w:rsidRPr="004B104E">
        <w:t>(νέο)</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2ιβ)</w:t>
            </w:r>
            <w:r w:rsidRPr="004B104E">
              <w:rPr>
                <w:b/>
                <w:i/>
              </w:rPr>
              <w:tab/>
              <w:t>προστίθεται το ακόλουθο τμήμα: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«ΤΜΗΜΑ 7α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ΕΞΑΛΙΕΥΣΗ</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Άρθρο 56α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Δραστηριότητες εξαλίευσης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 xml:space="preserve">Τα σκάφη μεταποίησης που προτίθενται να δραστηριοποιηθούν σε ιχθυοτροφεία ή διατάξεις παγίδευσης </w:t>
            </w:r>
            <w:r w:rsidRPr="004B104E">
              <w:rPr>
                <w:b/>
                <w:i/>
              </w:rPr>
              <w:t>αποστέλλουν εκ των προτέρων γνωστοποίηση στο κράτος μέλος εκτροφής ή διάταξης παγίδευσης τουλάχιστον 48 ώρες πριν από την άφιξη του σκάφους στην περιοχή του ιχθυοτροφείου ή της διάταξης παγίδευσης. Η γνωστοποίηση περιλαμβάνει τουλάχιστον την ημερομηνία και</w:t>
            </w:r>
            <w:r w:rsidRPr="004B104E">
              <w:rPr>
                <w:b/>
                <w:i/>
              </w:rPr>
              <w:t xml:space="preserve"> την εκτιμώμενη ώρα άφιξης και πληροφορίες σχετικά με το εάν υπάρχει ήδη ερυθρός τόνος επί του σκάφους μεταποίησης και, εάν ναι, παρέχει λεπτομέρειες σχετικά με το φορτίο, συμπεριλαμβανομένων των ποσοτήτων σε βάρος μεταποιημένων και ζωντανών αλιευμάτων, κα</w:t>
            </w:r>
            <w:r w:rsidRPr="004B104E">
              <w:rPr>
                <w:b/>
                <w:i/>
              </w:rPr>
              <w:t>θώς και λεπτομέρειες σχετικά με την προέλευση του ερυθρού τόνου που βρίσκεται επί του σκάφους (ιχθυοτροφείο/διάταξη παγίδευσης και ΣΜΣ).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w:t>
            </w:r>
            <w:r w:rsidRPr="004B104E">
              <w:rPr>
                <w:b/>
                <w:i/>
              </w:rPr>
              <w:tab/>
              <w:t xml:space="preserve">Κάθε εργασία εξαλίευσης σε ιχθυοτροφεία ή διατάξεις παγίδευσης υπόκειται σε χορήγηση άδειας από το κράτος μέλος </w:t>
            </w:r>
            <w:r w:rsidRPr="004B104E">
              <w:rPr>
                <w:b/>
                <w:i/>
              </w:rPr>
              <w:t>εκτροφής ή διάταξης παγίδευσης. Για τον σκοπό αυτό, ο φορέας εκμετάλλευσης του ιχθυοτροφείου ή της διάταξης παγίδευσης που προτίθεται να εξαλιεύσει ερυθρό τόνο υποβάλλει αίτηση στο οικείο κράτος μέλος, η οποία περιλαμβάνει τουλάχιστον τις ακόλουθες πληροφο</w:t>
            </w:r>
            <w:r w:rsidRPr="004B104E">
              <w:rPr>
                <w:b/>
                <w:i/>
              </w:rPr>
              <w:t xml:space="preserve">ρίες: — ημερομηνία ή περίοδο εξαλίευσης· — εκτιμώμενες ποσότητες προς εξαλίευση </w:t>
            </w:r>
            <w:r w:rsidRPr="004B104E">
              <w:rPr>
                <w:b/>
                <w:i/>
              </w:rPr>
              <w:lastRenderedPageBreak/>
              <w:t>σε αριθμό ιχθύων και kg· — αριθμό eBCD που σχετίζεται με τον προς εξαλίευση ερυθρό τόνο· — λεπτομέρειες σχετικά με τα βοηθητικά σκάφη που συμμετέχουν στις εργασίες· — προορισμό</w:t>
            </w:r>
            <w:r w:rsidRPr="004B104E">
              <w:rPr>
                <w:b/>
                <w:i/>
              </w:rPr>
              <w:t>ς του τόνου που εξαλιεύθηκε (σκάφος μεταποίησης , εξαγωγή, τοπική αγορά κ.λπ.).</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w:t>
            </w:r>
            <w:r w:rsidRPr="004B104E">
              <w:rPr>
                <w:b/>
                <w:i/>
              </w:rPr>
              <w:tab/>
              <w:t xml:space="preserve">Με εξαίρεση τους ιχθύες ερυθρού τόνου που βρίσκονται κοντά στον θάνατο, δεν επιτρέπεται καμία εργασία εξαλίευσης προτού προσδιοριστούν τα αποτελέσματα της απορρόφησης των </w:t>
            </w:r>
            <w:r w:rsidRPr="004B104E">
              <w:rPr>
                <w:b/>
                <w:i/>
              </w:rPr>
              <w:t>ποσοστώσεων σύμφωνα με το άρθρο 51 και διενεργηθούν οι σχετικές απελευθερώσεις.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4.</w:t>
            </w:r>
            <w:r w:rsidRPr="004B104E">
              <w:rPr>
                <w:b/>
                <w:i/>
              </w:rPr>
              <w:tab/>
              <w:t>Οι εργασίες εξαλίευσης δεν πραγματοποιούνται χωρίς την παρουσία παρατηρητή του ΣΜΣ στην περίπτωση των διατάξεων παγίδευσης ή περιφερειακού παρατηρητή της ICCAT σε περίπτωσ</w:t>
            </w:r>
            <w:r w:rsidRPr="004B104E">
              <w:rPr>
                <w:b/>
                <w:i/>
              </w:rPr>
              <w:t>η εξαλίευσης σε ιχθυοτροφείο. Όσον αφορά τους ιχθύες που παραδίδονται σε σκάφος μεταποίησης, ο περιφερειακός παρατηρητής του ΣΜΣ ή της ICCAT μπορεί να εκτελεί τα σχετικά του καθήκοντα από το σκάφος μεταποίησης.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5.</w:t>
            </w:r>
            <w:r w:rsidRPr="004B104E">
              <w:rPr>
                <w:b/>
                <w:i/>
              </w:rPr>
              <w:tab/>
              <w:t>Τα κράτη μέλη εκτροφής ή διάταξης παγίδε</w:t>
            </w:r>
            <w:r w:rsidRPr="004B104E">
              <w:rPr>
                <w:b/>
                <w:i/>
              </w:rPr>
              <w:t>υσης επαληθεύουν και διασταυρώνουν τα αποτελέσματα όλων των εργασιών εξαλίευσης που πραγματοποιούνται σε ιχθυοτροφεία και διατάξεις παγίδευσης υπό την εποπτεία τους, χρησιμοποιώντας όλες τις σχετικές πληροφορίες που έχουν στην κατοχή τους. Τα κράτη μέλη εκ</w:t>
            </w:r>
            <w:r w:rsidRPr="004B104E">
              <w:rPr>
                <w:b/>
                <w:i/>
              </w:rPr>
              <w:t>τροφής ή διάταξης παγίδευσης επιθεωρούν όλες τις εργασίες εξαλίευσης ερυθρού τόνου που προορίζονται για τα σκάφη μεταποίησης και ένα ποσοστό των υπόλοιπων εργασιών εξαλίευσης βάσει ανάλυσης κινδύνου.</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714966">
            <w:pPr>
              <w:pStyle w:val="Normal6"/>
              <w:rPr>
                <w:szCs w:val="24"/>
              </w:rPr>
            </w:pP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6.</w:t>
            </w:r>
            <w:r w:rsidRPr="004B104E">
              <w:rPr>
                <w:b/>
                <w:i/>
              </w:rPr>
              <w:tab/>
              <w:t>Όταν προορισμός του ερυθρού τόνου είναι το σκάφο</w:t>
            </w:r>
            <w:r w:rsidRPr="004B104E">
              <w:rPr>
                <w:b/>
                <w:i/>
              </w:rPr>
              <w:t xml:space="preserve">ς μεταποίησης, ο πλοίαρχος ή ο αντιπρόσωπος του </w:t>
            </w:r>
            <w:r w:rsidRPr="004B104E">
              <w:rPr>
                <w:b/>
                <w:i/>
              </w:rPr>
              <w:lastRenderedPageBreak/>
              <w:t>σκάφους μεταποίησης συμπληρώνει δήλωση μεταποίησης. Όταν ο ερυθρός τόνος που έχει εξαλιευθεί πρόκειται να εκφορτωθεί απευθείας στον λιμένα, ο φορέας εκμετάλλευσης του ιχθυοτροφείου ή της διάταξης παγίδευσης σ</w:t>
            </w:r>
            <w:r w:rsidRPr="004B104E">
              <w:rPr>
                <w:b/>
                <w:i/>
              </w:rPr>
              <w:t>υμπληρώνει δήλωση εξαλίευσης.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7.</w:t>
            </w:r>
            <w:r w:rsidRPr="004B104E">
              <w:rPr>
                <w:b/>
                <w:i/>
              </w:rPr>
              <w:tab/>
              <w:t xml:space="preserve">Οι δηλώσεις επεξεργασίας και εξαλίευσης επικυρώνονται από τον περιφερειακό παρατηρητή της ICCAT ή τον παρατηρητή του ΣΜΣ που παρίσταται στις εργασίες εξαλίευσης. Οι δηλώσεις επεξεργασίας και εξαλίευσης αποστέλλονται με </w:t>
            </w:r>
            <w:r w:rsidRPr="004B104E">
              <w:rPr>
                <w:b/>
                <w:i/>
              </w:rPr>
              <w:t>ηλεκτρονικό ταχυδρομείο στις αρμόδιες αρχές του κράτους μέλους εκτροφής εντός 48 ωρών από τις εργασίες εξαλίευσης, με χρήση του υποδείγματος που παρατίθεται στο παράρτημα XVβ.»</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 xml:space="preserve">Η σύσταση </w:t>
      </w:r>
      <w:r w:rsidRPr="004B104E">
        <w:t>22-08 της ICCAT τροποποιεί τη σύσταση 21-08 για τη θέσπιση πολυετούς σχεδίου αποκατάστασης του ερυθρού τόνου στον Ανατολικό Ατλαντικό και 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76</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w:t>
      </w:r>
      <w:r w:rsidRPr="004B104E">
        <w:t xml:space="preserve"> παράγραφος 1 – σημείο 2 ιγ (νέο)</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ΧΧ/2023</w:t>
      </w:r>
      <w:r w:rsidRPr="004B104E">
        <w:rPr>
          <w:rStyle w:val="HideTWBExt"/>
        </w:rPr>
        <w:t>&lt;/DocAmend2&gt;</w:t>
      </w:r>
    </w:p>
    <w:p w:rsidR="00714966" w:rsidRPr="004B104E" w:rsidRDefault="00AB08CD" w:rsidP="00714966">
      <w:r w:rsidRPr="004B104E">
        <w:rPr>
          <w:rStyle w:val="HideTWBExt"/>
        </w:rPr>
        <w:t>&lt;Article2&gt;</w:t>
      </w:r>
      <w:r w:rsidRPr="004B104E">
        <w:t>Τμήμα 7α (νέο)</w:t>
      </w:r>
      <w:r w:rsidRPr="004B104E">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2ιγ)</w:t>
            </w:r>
            <w:r w:rsidRPr="004B104E">
              <w:rPr>
                <w:b/>
                <w:i/>
              </w:rPr>
              <w:tab/>
              <w:t>προστίθεται το ακόλουθο τμήμα: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«ΤΜΗΜΑ 7β</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 xml:space="preserve">ΔΡΑΣΤΗΡΙOΤΗΤΕΣ ΕΛEΓΧΟΥ ΣΤΑ ΙΧΘΥΟΤΡΟΦΕΙΑ ΜΕΤΑ ΤΟΝ </w:t>
            </w:r>
            <w:r w:rsidRPr="004B104E">
              <w:rPr>
                <w:b/>
                <w:i/>
              </w:rPr>
              <w:t>ΕΓΚΛΩΒΙΣΜΟ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Άρθρο 56β</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Μεταβιβάσεις εντός ιχθυοτροφείου</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 xml:space="preserve">Η μεταβίβαση εντός ιχθυοτροφείου δεν πραγματοποιείται </w:t>
            </w:r>
            <w:r w:rsidRPr="004B104E">
              <w:rPr>
                <w:b/>
                <w:i/>
              </w:rPr>
              <w:lastRenderedPageBreak/>
              <w:t>χωρίς τη χορήγηση άδειας και την παρουσία της αρμόδιας αρχής του ΣΜΣ εκτροφής. Κάθε μεταβίβαση καταγράφεται από κάμερες ελέγχου για την επι</w:t>
            </w:r>
            <w:r w:rsidRPr="004B104E">
              <w:rPr>
                <w:b/>
                <w:i/>
              </w:rPr>
              <w:t>βεβαίωση του αριθμού των ιχθύων ερυθρού τόνου που μεταβιβάστηκαν. Το βίντεο συμμορφώνεται με τις ελάχιστες προδιαγραφές, όπως ορίζονται στο παράρτημα X. Η αρμόδια αρχή του ΣΜΣ εκτροφής παρακολουθεί και ελέγχει τις εν λόγω μεταβιβάσεις, μεταξύ άλλων διασφαλ</w:t>
            </w:r>
            <w:r w:rsidRPr="004B104E">
              <w:rPr>
                <w:b/>
                <w:i/>
              </w:rPr>
              <w:t>ίζοντας ότι κάθε μεταβίβαση εντός ιχθυοτροφείου καταγράφεται στο σύστημα eBCD.</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w:t>
            </w:r>
            <w:r w:rsidRPr="004B104E">
              <w:rPr>
                <w:b/>
                <w:i/>
              </w:rPr>
              <w:tab/>
              <w:t xml:space="preserve">Κατά παρέκκλιση από τον ορισμό του εγκλωβισμού στο άρθρο 5 σημείο 31), η μετακίνηση ερυθρού τόνου μεταξύ δύο διαφορετικών τοποθεσιών εντός του ίδιου ιχθυοτροφείου </w:t>
            </w:r>
            <w:r w:rsidRPr="004B104E">
              <w:rPr>
                <w:b/>
                <w:i/>
              </w:rPr>
              <w:t>(μεταβίβαση εντός ιχθυοτροφείου) με τη χρήση κλωβού μεταφοράς δεν θεωρείται εγκλωβισμός για τους σκοπούς των απαιτήσεων που ορίζονται στο τμήμα 7.</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w:t>
            </w:r>
            <w:r w:rsidRPr="004B104E">
              <w:rPr>
                <w:b/>
                <w:i/>
              </w:rPr>
              <w:tab/>
              <w:t>Κατά τη διάρκεια μεταβιβάσεων εντός του ιχθυοτροφείου, η αρμόδια αρχή του κράτους μέλους εκτροφής μπορεί</w:t>
            </w:r>
            <w:r w:rsidRPr="004B104E">
              <w:rPr>
                <w:b/>
                <w:i/>
              </w:rPr>
              <w:t xml:space="preserve"> να εγκρίνει την ανακατάταξη των ιχθύων ίδιας σημαίας προέλευσης και ίδιας κοινής αλιευτικής δραστηριότητας, υπό την προϋπόθεση ότι διατηρούνται η ιχνηλασιμότητα και η δυνατότητα εφαρμογής των ποσοστών ανάπτυξης της SCRS.</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4.</w:t>
            </w:r>
            <w:r w:rsidRPr="004B104E">
              <w:rPr>
                <w:b/>
                <w:i/>
              </w:rPr>
              <w:tab/>
              <w:t>Η αρμόδια αρχή του κράτους μέ</w:t>
            </w:r>
            <w:r w:rsidRPr="004B104E">
              <w:rPr>
                <w:b/>
                <w:i/>
              </w:rPr>
              <w:t>λους εκτροφής και ο φορέας εκμετάλλευσης του ιχθυοτροφείου διατηρούν τα βίντεο από τις μεταβιβάσεις εντός ιχθυοτροφείου που διεξήχθησαν σε ιχθυοτροφεία υπό τη δικαιοδοσία τους για τουλάχιστον 3 έτη και για όσο διάστημα είναι αναγκαίο για λόγους επιβολής τη</w:t>
            </w:r>
            <w:r w:rsidRPr="004B104E">
              <w:rPr>
                <w:b/>
                <w:i/>
              </w:rPr>
              <w:t>ς νομοθεσίας.»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Άρθρο 56γ</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Μεταφορά</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 xml:space="preserve">Πριν από την έναρξη των επόμενων περιόδων αλιείας με γρι-γρι και </w:t>
            </w:r>
            <w:r w:rsidRPr="004B104E">
              <w:rPr>
                <w:b/>
                <w:i/>
              </w:rPr>
              <w:lastRenderedPageBreak/>
              <w:t>με διατάξεις παγίδευσης, η αρμόδια αρχή του κράτους μέλους εκτροφής αξιολογεί ενδελεχώς τον ζωντανό ερυθρό τόνο που μεταφέρεται στα ιχθυοτροφεία που</w:t>
            </w:r>
            <w:r w:rsidRPr="004B104E">
              <w:rPr>
                <w:b/>
                <w:i/>
              </w:rPr>
              <w:t xml:space="preserve"> υπάγονται στη δικαιοδοσία της. Για τον σκοπό αυτό, ο ζωντανός ερυθρός τόνος μεταβιβάζεται σε κενό κλωβό και παρακολουθείται με κάμερα ελέγχου, προκειμένου να προσδιοριστεί ο αριθμός και το βάρος των ιχθύων που μεταβιβάζονται.</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w:t>
            </w:r>
            <w:r w:rsidRPr="004B104E">
              <w:rPr>
                <w:b/>
                <w:i/>
              </w:rPr>
              <w:tab/>
              <w:t>Κατά παρέκκλιση, η μεταφ</w:t>
            </w:r>
            <w:r w:rsidRPr="004B104E">
              <w:rPr>
                <w:b/>
                <w:i/>
              </w:rPr>
              <w:t>ορά ερυθρού τόνου από έτη και κλωβούς όπου δεν πραγματοποιήθηκε εξαλίευση ελέγχεται ετησίως με την εφαρμογή της διαδικασίας τυχαίου ελέγχου που αναφέρεται στο άρθρο 56ε.</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w:t>
            </w:r>
            <w:r w:rsidRPr="004B104E">
              <w:rPr>
                <w:b/>
                <w:i/>
              </w:rPr>
              <w:tab/>
              <w:t xml:space="preserve">Ο ζωντανός ερυθρός τόνος που αποτελεί αντικείμενο μεταφοράς σύμφωνα με την </w:t>
            </w:r>
            <w:r w:rsidRPr="004B104E">
              <w:rPr>
                <w:b/>
                <w:i/>
              </w:rPr>
              <w:t>παράγραφο 1 τοποθετείται σε ξεχωριστούς κλωβούς ή σειρές κλωβών στο ιχθυοτροφείο με βάση το έτος αλίευσης και την κοινή αλιευτική δραστηριότητα ή το ΣΜΣ διάταξης παγίδευσης κοινής προέλευσης.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4.</w:t>
            </w:r>
            <w:r w:rsidRPr="004B104E">
              <w:rPr>
                <w:b/>
                <w:i/>
              </w:rPr>
              <w:tab/>
              <w:t xml:space="preserve">Η αρμόδια αρχή του κράτους μέλους εκτροφής διασφαλίζει ότι </w:t>
            </w:r>
            <w:r w:rsidRPr="004B104E">
              <w:rPr>
                <w:b/>
                <w:i/>
              </w:rPr>
              <w:t xml:space="preserve">το βίντεο από την κάμερα ελέγχου για τις μεταβιβάσεις αξιολόγησης της μεταφοράς συμμορφώνεται με τις σχετικές απαιτήσεις του παραρτήματος X και ότι ο προσδιορισμός του αριθμού και του βάρους των μεταφερόμενων ιχθύων συνάδει με το παράρτημα XI σημείο 1 του </w:t>
            </w:r>
            <w:r w:rsidRPr="004B104E">
              <w:rPr>
                <w:b/>
                <w:i/>
              </w:rPr>
              <w:t>παρόντος κανονισμού.</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5.</w:t>
            </w:r>
            <w:r w:rsidRPr="004B104E">
              <w:rPr>
                <w:b/>
                <w:i/>
              </w:rPr>
              <w:tab/>
              <w:t>Έως ότου η SCRS αναπτύξει αλγόριθμο για τη μετατροπή του μήκους σε βάρος για τους ιχθύες που υπόκεινται σε πάχυνση και/ή εκτροφή, ο προσδιορισμός του βάρους των μεταφερόμενων ιχθύων εκτιμάται με τη χρήση των πλέον επικαιροποιημένω</w:t>
            </w:r>
            <w:r w:rsidRPr="004B104E">
              <w:rPr>
                <w:b/>
                <w:i/>
              </w:rPr>
              <w:t>ν πινάκων ποσοστών ανάπτυξης που καταρτίζει η SCRS.</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6.</w:t>
            </w:r>
            <w:r w:rsidRPr="004B104E">
              <w:rPr>
                <w:b/>
                <w:i/>
              </w:rPr>
              <w:tab/>
              <w:t xml:space="preserve">Η διαφορά ως προς τον αριθμό των ιχθύων ερυθρού τόνου μεταξύ του αριθμού που προκύπτει από την </w:t>
            </w:r>
            <w:r w:rsidRPr="004B104E">
              <w:rPr>
                <w:b/>
                <w:i/>
              </w:rPr>
              <w:lastRenderedPageBreak/>
              <w:t>αξιολόγηση μεταφοράς και του αναμενόμενου αριθμού μετά την εξαλίευση διερευνάται δεόντως από την αρμόδια</w:t>
            </w:r>
            <w:r w:rsidRPr="004B104E">
              <w:rPr>
                <w:b/>
                <w:i/>
              </w:rPr>
              <w:t xml:space="preserve"> αρχή του κράτους μέλους εκτροφής και καταγράφεται στο σύστημα eBCD. Σε περίπτωση υπεραριθμίας, η αρμόδια αρχή του κράτους μέλους εκτροφής διατάσσει την απελευθέρωση του αντίστοιχου αριθμού ιχθύων. Η επιχείρηση απελευθέρωσης διεξάγεται σύμφωνα με το παράρτ</w:t>
            </w:r>
            <w:r w:rsidRPr="004B104E">
              <w:rPr>
                <w:b/>
                <w:i/>
              </w:rPr>
              <w:t>ημα XII. Δεν επιτρέπεται αποζημίωση για διαφορές που προκύπτουν μεταξύ των διαφορετικών κλωβών στο ιχθυοτροφείο. Η αρμόδια αρχή του κράτους μέλους μπορεί να επιτρέψει περιθώριο σφάλματος έως 5 % μεταξύ του αριθμού των ιχθύων που προκύπτουν από την αξιολόγη</w:t>
            </w:r>
            <w:r w:rsidRPr="004B104E">
              <w:rPr>
                <w:b/>
                <w:i/>
              </w:rPr>
              <w:t>ση μεταφοράς και του αναμενόμενου αριθμού στον κλωβό.</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7.</w:t>
            </w:r>
            <w:r w:rsidRPr="004B104E">
              <w:rPr>
                <w:b/>
                <w:i/>
              </w:rPr>
              <w:tab/>
              <w:t xml:space="preserve">Η αρμόδια αρχή του κράτους μέλους εκτροφής διατηρεί τα βίντεο και όλα τα σχετικά έγγραφα από τις αξιολογήσεις μεταφοράς που πραγματοποιήθηκαν σε ιχθυοτροφεία υπό τη δικαιοδοσία της για τουλάχιστον </w:t>
            </w:r>
            <w:r w:rsidRPr="004B104E">
              <w:rPr>
                <w:b/>
                <w:i/>
              </w:rPr>
              <w:t>3 έτη και για όσο διάστημα είναι αναγκαίο για λόγους επιβολής της νομοθεσίας.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Άρθρο 56δ</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Δήλωση μεταφοράς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Τα κράτη μέλη εκτροφής συμπληρώνουν και επισυνάπτουν στο αναθεωρημένο σχέδιο διαχείρισης της εκτροφής ετήσια δήλωση μεταφοράς προς την Επιτροπ</w:t>
            </w:r>
            <w:r w:rsidRPr="004B104E">
              <w:rPr>
                <w:b/>
                <w:i/>
              </w:rPr>
              <w:t>ή εντός 10 ημερών από τη λήξη της επιχείρησης αξιολόγησης σύμφωνα με τον μορφότυπο που παρατίθεται στο παράρτημα XXI. Η Επιτροπή διαβιβάζει τις πληροφορίες αυτές στη γραμματεία της IATTC εντός 15 ημερών από τη λήξη της επιχείρησης αξιολόγησης.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w:t>
            </w:r>
            <w:r w:rsidRPr="004B104E">
              <w:rPr>
                <w:b/>
                <w:i/>
              </w:rPr>
              <w:tab/>
              <w:t xml:space="preserve">Η </w:t>
            </w:r>
            <w:r w:rsidRPr="004B104E">
              <w:rPr>
                <w:b/>
                <w:i/>
              </w:rPr>
              <w:t>έκθεση της στερεοσκοπικής κάμερας, κατά περίπτωση, επισυνάπτεται στη δήλωση μεταφοράς.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Άρθρο 56ε</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Τυχαίοι έλεγχοι</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Η αρμόδια αρχή του κράτους μέλους εκτροφής διενεργεί τυχαίους ελέγχους σε ιχθυοτροφεία που υπάγονται στη δικαιοδοσία της. Οι ελάχιστοι</w:t>
            </w:r>
            <w:r w:rsidRPr="004B104E">
              <w:rPr>
                <w:b/>
                <w:i/>
              </w:rPr>
              <w:t xml:space="preserve"> τυχαίοι έλεγχοι που αναφέρονται στην παράγραφο 2 πραγματοποιούνται σε ιχθυοτροφεία μεταξύ του χρόνου ολοκλήρωσης των εργασιών εγκλωβισμού και του πρώτου εγκλωβισμού του επόμενου έτους. Οι έλεγχοι αυτοί περιλαμβάνουν την υποχρεωτική μεταβίβαση όλων των ιχθ</w:t>
            </w:r>
            <w:r w:rsidRPr="004B104E">
              <w:rPr>
                <w:b/>
                <w:i/>
              </w:rPr>
              <w:t>ύων από τους κλωβούς εκτροφής σε άλλους κλωβούς εκτροφής, ώστε ο αριθμός των ιχθύων ερυθρού τόνου να μπορεί να καταμετρηθεί μέσω καταγραφής από βίντεο ελέγχου.</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w:t>
            </w:r>
            <w:r w:rsidRPr="004B104E">
              <w:rPr>
                <w:b/>
                <w:i/>
              </w:rPr>
              <w:tab/>
              <w:t>Κάθε κράτος μέλος εκτροφής ορίζει έναν ελάχιστο αριθμό τυχαίων ελέγχων που πρέπει να διενερ</w:t>
            </w:r>
            <w:r w:rsidRPr="004B104E">
              <w:rPr>
                <w:b/>
                <w:i/>
              </w:rPr>
              <w:t>γηθεί σε κάθε ιχθυοτροφείο υπό την κυριαρχία του. Ο αριθμός των τυχαίων ελέγχων καλύπτει τουλάχιστον το 10 % του αριθμού των κλωβών που υπάρχουν σε κάθε ιχθυοτροφείο μετά την ολοκλήρωση των εργασιών εγκλωβισμού και περιλαμβάνει πάντοτε τουλάχιστον έναν έλε</w:t>
            </w:r>
            <w:r w:rsidRPr="004B104E">
              <w:rPr>
                <w:b/>
                <w:i/>
              </w:rPr>
              <w:t xml:space="preserve">γχο ανά ιχθυοτροφείο και στρογγυλοποίηση, όπου απαιτείται. Η επιλογή των κλωβών προς έλεγχο πραγματοποιείται βάσει ανάλυσης κινδύνου. Ο προγραμματισμός των τυχαίων ελέγχων που πρέπει να διενεργούνται αντικατοπτρίζεται στο σχέδιο ελέγχου του κράτους μέλους </w:t>
            </w:r>
            <w:r w:rsidRPr="004B104E">
              <w:rPr>
                <w:b/>
                <w:i/>
              </w:rPr>
              <w:t>που αναφέρεται στο άρθρο 10.</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w:t>
            </w:r>
            <w:r w:rsidRPr="004B104E">
              <w:rPr>
                <w:b/>
                <w:i/>
              </w:rPr>
              <w:tab/>
              <w:t>Παρόλο που δεν απαιτείται, η αρμόδια αρχή του κράτους μέλους εκτροφής μπορεί να ενημερώνει τα σχετικά ιχθυοτροφεία, με προειδοποίηση δύο ημερολογιακών ημερών κατ’ ανώτατο όριο, για τη διενέργεια τυχαίων ελέγχων. Οι επιλεγμ</w:t>
            </w:r>
            <w:r w:rsidRPr="004B104E">
              <w:rPr>
                <w:b/>
                <w:i/>
              </w:rPr>
              <w:t xml:space="preserve">ένοι κλωβοί κοινοποιούνται από την αρμόδια αρχή του κράτους μέλους εκτροφής μόνο στον φορέα εκμετάλλευσης του ιχθυοτροφείου κατά την άφιξή της στο σχετικό </w:t>
            </w:r>
            <w:r w:rsidRPr="004B104E">
              <w:rPr>
                <w:b/>
                <w:i/>
              </w:rPr>
              <w:lastRenderedPageBreak/>
              <w:t>ιχθυοτροφείο.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4.</w:t>
            </w:r>
            <w:r w:rsidRPr="004B104E">
              <w:rPr>
                <w:b/>
                <w:i/>
              </w:rPr>
              <w:tab/>
              <w:t>Σε περίπτωση προειδοποίησης, οι φορείς εκμετάλλευσης του ιχθυοτροφείου εξασφαλίζου</w:t>
            </w:r>
            <w:r w:rsidRPr="004B104E">
              <w:rPr>
                <w:b/>
                <w:i/>
              </w:rPr>
              <w:t>ν ότι υπάρχουν όλα τα μέσα που επιτρέπουν τη διενέργεια τυχαίων ελέγχων από την αρμόδια αρχή του κράτους μέλους εκτροφής ανά πάσα στιγμή και σε κάθε κλωβό του ιχθυοτροφείου. Εάν δεν υπάρξει προειδοποίηση, οι φορείς εκμετάλλευσης του ιχθυοτροφείου πρέπει κα</w:t>
            </w:r>
            <w:r w:rsidRPr="004B104E">
              <w:rPr>
                <w:b/>
                <w:i/>
              </w:rPr>
              <w:t>ι σε αυτή την περίπτωση να λάβουν όλα τα κατάλληλα μέτρα για να διευκολύνουν τις εργασίες τυχαίου ελέγχου.</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5.</w:t>
            </w:r>
            <w:r w:rsidRPr="004B104E">
              <w:rPr>
                <w:b/>
                <w:i/>
              </w:rPr>
              <w:tab/>
              <w:t>Η αρμόδια αρχή του κράτους μέλους εκτροφής προσπαθεί να μειώσει το χρονικό διάστημα που μεσολαβεί μεταξύ της εντολής για διενέργεια τυχαίων ελέγ</w:t>
            </w:r>
            <w:r w:rsidRPr="004B104E">
              <w:rPr>
                <w:b/>
                <w:i/>
              </w:rPr>
              <w:t>χων και της πραγματοποίησης των εργασιών ελέγχου. Η αρμόδια αρχή του κράτους μέλους εκτροφής διασφαλίζει ότι λαμβάνονται όλα τα αναγκαία μέτρα ώστε να μη δίδεται η δυνατότητα στον φορέα εκμετάλλευσης να παρέμβει στους σχετικούς κλωβούς έως ότου πραγματοποι</w:t>
            </w:r>
            <w:r w:rsidRPr="004B104E">
              <w:rPr>
                <w:b/>
                <w:i/>
              </w:rPr>
              <w:t>ηθεί ο τυχαίος έλεγχος.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6.</w:t>
            </w:r>
            <w:r w:rsidRPr="004B104E">
              <w:rPr>
                <w:b/>
                <w:i/>
              </w:rPr>
              <w:tab/>
              <w:t xml:space="preserve">Μετά τον τυχαίο έλεγχο, οποιαδήποτε διαφορά μεταξύ του αριθμού ερυθρού τόνου που προσδιορίστηκε από τον τυχαίο έλεγχο και του αριθμού που αναμένεται να υπάρχει στον κλωβό διερευνάται δεόντως και καταγράφεται στο σύστημα eBCD. </w:t>
            </w:r>
            <w:r w:rsidRPr="004B104E">
              <w:rPr>
                <w:b/>
                <w:i/>
              </w:rPr>
              <w:t>Σε περίπτωση υπεραριθμίας, η αρμόδια αρχή του κράτους μέλους εκτροφής διατάσσει την απελευθέρωση του αντίστοιχου αριθμού. Η επιχείρηση απελευθέρωσης διεξάγεται σύμφωνα με το παράρτημα XII. Δεν επιτρέπεται αποζημίωση για διαφορές που προκύπτουν μεταξύ των δ</w:t>
            </w:r>
            <w:r w:rsidRPr="004B104E">
              <w:rPr>
                <w:b/>
                <w:i/>
              </w:rPr>
              <w:t xml:space="preserve">ιαφορετικών κλωβών στο ιχθυοτροφείο. Η αρμόδια αρχή του κράτους μέλους μπορεί να επιτρέψει περιθώριο σφάλματος της τάξης του 5 % μεταξύ του αριθμού των ιχθύων που προκύπτει από τη μεταβίβαση </w:t>
            </w:r>
            <w:r w:rsidRPr="004B104E">
              <w:rPr>
                <w:b/>
                <w:i/>
              </w:rPr>
              <w:lastRenderedPageBreak/>
              <w:t>ελέγχου και του αναμενόμενου αριθμού στον κλωβό.</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7.</w:t>
            </w:r>
            <w:r w:rsidRPr="004B104E">
              <w:rPr>
                <w:b/>
                <w:i/>
              </w:rPr>
              <w:tab/>
              <w:t>Η αρμόδια α</w:t>
            </w:r>
            <w:r w:rsidRPr="004B104E">
              <w:rPr>
                <w:b/>
                <w:i/>
              </w:rPr>
              <w:t>ρχή του κράτους μέλους εκτροφής διατηρεί τα βίντεο από τους τυχαίους ελέγχους που διεξήχθησαν σε ιχθυοτροφεία υπό τη δικαιοδοσία της για τουλάχιστον 3 έτη και για όσο διάστημα είναι αναγκαίο για λόγους επιβολής της νομοθεσίας.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8.</w:t>
            </w:r>
            <w:r w:rsidRPr="004B104E">
              <w:rPr>
                <w:b/>
                <w:i/>
              </w:rPr>
              <w:tab/>
              <w:t>Τα αποτελέσματα των τυχα</w:t>
            </w:r>
            <w:r w:rsidRPr="004B104E">
              <w:rPr>
                <w:b/>
                <w:i/>
              </w:rPr>
              <w:t>ίων ελέγχων κοινοποιούνται από την Επιτροπή στη γραμματεία της ICCAT πριν από την έναρξη της νέας περιόδου αλιείας με γρι-γρι που ισχύει για κάθε κράτος μέλος σύμφωνα με το άρθρο 16, προς διαβίβαση στην επιτροπή συμμόρφωσης.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Άρθρο 56στ</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Μεταβιβάσεις μετ</w:t>
            </w:r>
            <w:r w:rsidRPr="004B104E">
              <w:rPr>
                <w:b/>
                <w:i/>
              </w:rPr>
              <w:t>αξύ ιχθυοτροφείων</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Η μεταβίβαση ζώντος ερυθρού τόνου μεταξύ δύο διαφορετικών ιχθυοτροφείων δεν πραγματοποιείται χωρίς προηγούμενη χορήγηση γραπτής άδειας από τις αρμόδιες αρχές των κρατών μελών και των δύο ιχθυοτροφείων.</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w:t>
            </w:r>
            <w:r w:rsidRPr="004B104E">
              <w:rPr>
                <w:b/>
                <w:i/>
              </w:rPr>
              <w:tab/>
              <w:t>Η μεταβίβαση από τον κλωβό</w:t>
            </w:r>
            <w:r w:rsidRPr="004B104E">
              <w:rPr>
                <w:b/>
                <w:i/>
              </w:rPr>
              <w:t xml:space="preserve"> του ιχθυοτροφείου-δότη στον κλωβό μεταφοράς συμμορφώνεται με τις απαιτήσεις του τμήματος 6 του παρόντος κανονισμού, συμπεριλαμβανομένης της βιντεοσκόπησης για την επιβεβαίωση του αριθμού των ιχθύων ερυθρού τόνου που μεταβιβάστηκαν, της συμπλήρωσης της βεβ</w:t>
            </w:r>
            <w:r w:rsidRPr="004B104E">
              <w:rPr>
                <w:b/>
                <w:i/>
              </w:rPr>
              <w:t>αίωσης μεταβίβασης και της επαλήθευσης των εργασιών από περιφερειακό παρατηρητή της ICCAT. Κατά παρέκκλιση από τα ανωτέρω, σε περιπτώσεις όπου πρόκειται να μεταφερθεί ολόκληρος ο κλωβός εκτροφής στο ιχθυοτροφείο υποδοχής, δεν είναι απαραίτητη η βιντεοσκόπη</w:t>
            </w:r>
            <w:r w:rsidRPr="004B104E">
              <w:rPr>
                <w:b/>
                <w:i/>
              </w:rPr>
              <w:t>ση των εργασιών και ο κλωβός μεταφέρεται σφραγισμένος στο ιχθυοτροφείο προορισμού.</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w:t>
            </w:r>
            <w:r w:rsidRPr="004B104E">
              <w:rPr>
                <w:b/>
                <w:i/>
              </w:rPr>
              <w:tab/>
              <w:t xml:space="preserve">Ο εγκλωβισμός ερυθρού τόνου στο ιχθυοτροφείο προορισμού υπόκειται στις απαιτήσεις για τις εργασίες εγκλωβισμού που προβλέπονται στο άρθρο 45, συμπεριλαμβανομένης της </w:t>
            </w:r>
            <w:r w:rsidRPr="004B104E">
              <w:rPr>
                <w:b/>
                <w:i/>
              </w:rPr>
              <w:t>βιντεοσκόπησης για την επιβεβαίωση του αριθμού και του βάρους του εγκλωβισμένου ερυθρού τόνου και της επαλήθευσης των εργασιών από περιφερειακό παρατηρητή της ICCAT. Ο προσδιορισμός του βάρους των εγκλωβισμένων ιχθύων από άλλο ιχθυοτροφείο δεν ισχύει έως ό</w:t>
            </w:r>
            <w:r w:rsidRPr="004B104E">
              <w:rPr>
                <w:b/>
                <w:i/>
              </w:rPr>
              <w:t>του η SCRS αναπτύξει αλγόριθμο για τη μετατροπή του μήκους σε βάρος για τους ιχθύες που υπόκεινται σε πάχυνση και/ή εκτροφή.»</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 xml:space="preserve">Η σύσταση 22-08 της ICCAT τροποποιεί τη σύσταση 21-08 για τη </w:t>
      </w:r>
      <w:r w:rsidRPr="004B104E">
        <w:t>θέσπιση πολυετούς σχεδίου αποκατάστασης του ερυθρού τόνου στον Ανατολικό Ατλαντικό και 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77</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παράγραφος 1 – σημείο 2 ιδ (νέο)</w:t>
      </w:r>
      <w:r w:rsidRPr="004B104E">
        <w:rPr>
          <w:rStyle w:val="HideTWBExt"/>
        </w:rPr>
        <w:t>&lt;/Article&gt;</w:t>
      </w:r>
    </w:p>
    <w:p w:rsidR="00714966" w:rsidRPr="004B104E" w:rsidRDefault="00AB08CD" w:rsidP="00714966">
      <w:pPr>
        <w:keepNext/>
      </w:pPr>
      <w:r w:rsidRPr="004B104E">
        <w:rPr>
          <w:rStyle w:val="HideTWBExt"/>
        </w:rPr>
        <w:t>&lt;DocAme</w:t>
      </w:r>
      <w:r w:rsidRPr="004B104E">
        <w:rPr>
          <w:rStyle w:val="HideTWBExt"/>
        </w:rPr>
        <w:t>nd2&gt;</w:t>
      </w:r>
      <w:r w:rsidRPr="004B104E">
        <w:t>Κανονισμός (ΕΕ) ΧΧ/2023</w:t>
      </w:r>
      <w:r w:rsidRPr="004B104E">
        <w:rPr>
          <w:rStyle w:val="HideTWBExt"/>
        </w:rPr>
        <w:t>&lt;/DocAmend2&gt;</w:t>
      </w:r>
    </w:p>
    <w:p w:rsidR="00714966" w:rsidRPr="004B104E" w:rsidRDefault="00AB08CD" w:rsidP="00714966">
      <w:r w:rsidRPr="004B104E">
        <w:rPr>
          <w:rStyle w:val="HideTWBExt"/>
        </w:rPr>
        <w:t>&lt;Article2&gt;</w:t>
      </w:r>
      <w:r w:rsidRPr="004B104E">
        <w:t>Άρθρο 57</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2ιδ)</w:t>
            </w:r>
            <w:r w:rsidRPr="004B104E">
              <w:rPr>
                <w:b/>
                <w:i/>
              </w:rPr>
              <w:tab/>
              <w:t>το άρθρο 57 τροποποιείται ως εξής: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w:t>
            </w:r>
            <w:r w:rsidRPr="004B104E">
              <w:rPr>
                <w:b/>
                <w:i/>
              </w:rPr>
              <w:tab/>
              <w:t>η παράγραφος 1 αντικαθίσταται από 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Κατά παρέκκλιση από το άρθρο 9 του κανονισμού (ΕΚ)</w:t>
            </w:r>
            <w:r w:rsidRPr="004B104E">
              <w:rPr>
                <w:b/>
                <w:i/>
              </w:rPr>
              <w:t xml:space="preserve"> αριθ. 1224/2009, τα κράτη μέλη σημαίας εφαρμόζουν συστήματα παρακολούθησης σκαφών (VMS) για όλα τα αλιευτικά σκάφη συνολικού μήκους 12 μέτρων και άνω που φέρουν τη σημαία τους και για όλα τα ρυμουλκά σκάφη, ανεξάρτητα από το μήκος τους. Όλα τα σκάφη που </w:t>
            </w:r>
            <w:r w:rsidRPr="004B104E">
              <w:rPr>
                <w:b/>
                <w:i/>
              </w:rPr>
              <w:lastRenderedPageBreak/>
              <w:t>α</w:t>
            </w:r>
            <w:r w:rsidRPr="004B104E">
              <w:rPr>
                <w:b/>
                <w:i/>
              </w:rPr>
              <w:t>ναφέρονται στο πρώτο εδάφιο διαβιβάζουν δεδομένα σχετικά με το στίγμα του σκάφους τουλάχιστον μία φορά ανά δύο ώρες, με εξαίρεση τα ρυμουλκά και τα σκάφη γρι-γρι που διαβιβάζουν δεδομένα τουλάχιστον κάθε ώρα.»·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β)</w:t>
            </w:r>
            <w:r w:rsidRPr="004B104E">
              <w:rPr>
                <w:b/>
                <w:i/>
              </w:rPr>
              <w:tab/>
              <w:t xml:space="preserve">η παράγραφος 2 αντικαθίσταται από το </w:t>
            </w:r>
            <w:r w:rsidRPr="004B104E">
              <w:rPr>
                <w:b/>
                <w:i/>
              </w:rPr>
              <w:t>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w:t>
            </w:r>
            <w:r w:rsidRPr="004B104E">
              <w:rPr>
                <w:b/>
                <w:i/>
              </w:rPr>
              <w:tab/>
              <w:t>Τα αλιευτικά σκάφη που αναφέρονται στο άρθρο 26 παράγραφος 1 στοιχείο β) αρχίζουν να διαβιβάζουν δεδομένα ΣΠΣ στην ICCAT τουλάχιστον 5 ημέρες πριν από την περίοδο χορήγησης της άδειάς τους και συνεχίζουν τουλάχιστον 5 ημέρες μετά τη</w:t>
            </w:r>
            <w:r w:rsidRPr="004B104E">
              <w:rPr>
                <w:b/>
                <w:i/>
              </w:rPr>
              <w:t>ν περίοδο της χορήγησης άδειας, εκτός εάν αποσταλεί εκ των προτέρων αίτηση στην Επιτροπή για τη διαγραφή του σκάφους από το μητρώο σκαφών της ICCAT.»·</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γ)</w:t>
            </w:r>
            <w:r w:rsidRPr="004B104E">
              <w:rPr>
                <w:b/>
                <w:i/>
              </w:rPr>
              <w:tab/>
              <w:t>στην παράγραφο 5, το στοιχείο α) αντικαθίσταται από 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w:t>
            </w:r>
            <w:r w:rsidRPr="004B104E">
              <w:rPr>
                <w:b/>
                <w:i/>
              </w:rPr>
              <w:tab/>
              <w:t>Τα δεδομένα VMS από τ</w:t>
            </w:r>
            <w:r w:rsidRPr="004B104E">
              <w:rPr>
                <w:b/>
                <w:i/>
              </w:rPr>
              <w:t>α αλιευτικά σκάφη που φέρουν τη σημαία τους διαβιβάζονται στην Επιτροπή όπως προβλέπεται στην παράγραφο 1.»·</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δ)</w:t>
            </w:r>
            <w:r w:rsidRPr="004B104E">
              <w:rPr>
                <w:b/>
                <w:i/>
              </w:rPr>
              <w:tab/>
              <w:t>στην παράγραφο 5, προστίθεται το ακόλουθο στοιχείο: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«β α)</w:t>
            </w:r>
            <w:r w:rsidRPr="004B104E">
              <w:rPr>
                <w:b/>
                <w:i/>
              </w:rPr>
              <w:tab/>
              <w:t>σε περίπτωση τεχνικής δυσλειτουργίας του VMS, το σχετικό ρυμουλκό σκάφος αντικαθίσ</w:t>
            </w:r>
            <w:r w:rsidRPr="004B104E">
              <w:rPr>
                <w:b/>
                <w:i/>
              </w:rPr>
              <w:t>ταται από άλλο ρυμουλκό με πλήρως λειτουργικό VMS. Εάν δεν είναι διαθέσιμο άλλο ρυμουλκό σκάφος, πρέπει να εγκαθίσταται νέο λειτουργικό σύστημα VMS επί του σκάφους ή να χρησιμοποιείται, εάν είναι ήδη εγκατεστημένο, το συντομότερο δυνατόν και το αργότερο εν</w:t>
            </w:r>
            <w:r w:rsidRPr="004B104E">
              <w:rPr>
                <w:b/>
                <w:i/>
              </w:rPr>
              <w:t xml:space="preserve">τός 72 ωρών, με εξαίρεση την περίπτωση ανωτέρας βίας, η οποία θα πρέπει να κοινοποιείται στη γραμματεία της ICCAT. Εν τω μεταξύ, από τη στιγμή εντοπισμού του συμβάντος ή σχετικής πληροφόρησης, οι πλοίαρχοι ή οι αντιπρόσωποί τους κοινοποιούν ανά </w:t>
            </w:r>
            <w:r w:rsidRPr="004B104E">
              <w:rPr>
                <w:b/>
                <w:i/>
              </w:rPr>
              <w:lastRenderedPageBreak/>
              <w:t>ώρα στις ελ</w:t>
            </w:r>
            <w:r w:rsidRPr="004B104E">
              <w:rPr>
                <w:b/>
                <w:i/>
              </w:rPr>
              <w:t>εγκτικές αρχές του κράτους μέλους σημαίας τις επικαιροποιημένες γεωγραφικές συντεταγμένες του ρυμουλκού σκάφους με κατάλληλα μέσα τηλεπικοινωνίας.»</w:t>
            </w:r>
          </w:p>
        </w:tc>
      </w:tr>
    </w:tbl>
    <w:p w:rsidR="00714966" w:rsidRPr="004B104E" w:rsidRDefault="00AB08CD" w:rsidP="00714966">
      <w:pPr>
        <w:pStyle w:val="Olang"/>
      </w:pPr>
      <w:r w:rsidRPr="004B104E">
        <w:lastRenderedPageBreak/>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 xml:space="preserve">Η σύσταση 22-08 της ICCAT τροποποιεί τη </w:t>
      </w:r>
      <w:r w:rsidRPr="004B104E">
        <w:t>σύσταση 21-08 για τη θέσπιση πολυετούς σχεδίου αποκατάστασης του ερυθρού τόνου στον Ανατολικό Ατλαντικό και 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78</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παράγραφος 1 – σημείο 2 ιε (ν</w:t>
      </w:r>
      <w:r w:rsidRPr="004B104E">
        <w:t>έο)</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ΧΧ/2023</w:t>
      </w:r>
      <w:r w:rsidRPr="004B104E">
        <w:rPr>
          <w:rStyle w:val="HideTWBExt"/>
        </w:rPr>
        <w:t>&lt;/DocAmend2&gt;</w:t>
      </w:r>
    </w:p>
    <w:p w:rsidR="00714966" w:rsidRPr="004B104E" w:rsidRDefault="00AB08CD" w:rsidP="00714966">
      <w:r w:rsidRPr="004B104E">
        <w:rPr>
          <w:rStyle w:val="HideTWBExt"/>
        </w:rPr>
        <w:t>&lt;Article2&gt;</w:t>
      </w:r>
      <w:r w:rsidRPr="004B104E">
        <w:t>Άρθρο 59 – τίτλος</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2ιε)</w:t>
            </w:r>
            <w:r w:rsidRPr="004B104E">
              <w:rPr>
                <w:b/>
                <w:i/>
              </w:rPr>
              <w:tab/>
              <w:t>Στο άρθρο 59, ο τίτλος αντικαθίσταται από 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«Επιθεωρήσεις σε περίπτωση εικαζόμενων παραβάσεων»</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Η σύσταση 22-08 της ICCAT τροποποιεί τη σύσταση 21-08 για τη θέσπιση πολυετούς σχεδίου αποκατάστασης του ερυθρού τόνου στον Ανατολικό Ατλαντικό και 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79</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παράγραφος 1 – σημείο 2 ιστ (νέο)</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ΧΧ/2023</w:t>
      </w:r>
      <w:r w:rsidRPr="004B104E">
        <w:rPr>
          <w:rStyle w:val="HideTWBExt"/>
        </w:rPr>
        <w:t>&lt;/DocAmend2&gt;</w:t>
      </w:r>
    </w:p>
    <w:p w:rsidR="00714966" w:rsidRPr="004B104E" w:rsidRDefault="00AB08CD" w:rsidP="00714966">
      <w:r w:rsidRPr="004B104E">
        <w:rPr>
          <w:rStyle w:val="HideTWBExt"/>
        </w:rPr>
        <w:t>&lt;Article2&gt;</w:t>
      </w:r>
      <w:r w:rsidRPr="004B104E">
        <w:t>Άρθρο 61</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2ιστ)</w:t>
            </w:r>
            <w:r w:rsidRPr="004B104E">
              <w:rPr>
                <w:b/>
                <w:i/>
              </w:rPr>
              <w:tab/>
              <w:t xml:space="preserve">το άρθρο 61 </w:t>
            </w:r>
            <w:r w:rsidRPr="004B104E">
              <w:rPr>
                <w:b/>
                <w:i/>
              </w:rPr>
              <w:t>αντικαθίσταται από το ακόλουθο 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b/>
                <w:i/>
              </w:rPr>
            </w:pPr>
            <w:r w:rsidRPr="004B104E">
              <w:rPr>
                <w:b/>
                <w:i/>
              </w:rPr>
              <w:t>«Άρθρο 61</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b/>
                <w:i/>
              </w:rPr>
            </w:pPr>
            <w:r w:rsidRPr="004B104E">
              <w:rPr>
                <w:b/>
                <w:i/>
              </w:rPr>
              <w:t>Επιβολή της εφαρμογής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Με την επιφύλαξη των άρθρων 89 έως 91 του κανονισμού (ΕΚ) αριθ. 1224/2009, και ιδίως της υποχρέωσης των κρατών μελών να λαμβάνουν κατάλληλα μέτρα επιβολής όσον αφορά τα αλιευτικά</w:t>
            </w:r>
            <w:r w:rsidRPr="004B104E">
              <w:rPr>
                <w:b/>
                <w:i/>
              </w:rPr>
              <w:t xml:space="preserve"> σκάφη, το κράτος μέλος που είναι αρμόδιο για το/τα ιχθυοτροφείο/-α ερυθρού τόνου λαμβάνει κατάλληλα μέτρα επιβολής για ένα ιχθυοτροφείο σε περίπτωση που αποδειχτεί, σύμφωνα με το εθνικό του δίκαιο, ότι το εν λόγω ιχθυοτροφείο δεν συμμορφώνεται προς τις δι</w:t>
            </w:r>
            <w:r w:rsidRPr="004B104E">
              <w:rPr>
                <w:b/>
                <w:i/>
              </w:rPr>
              <w:t>ατάξεις των άρθρων 45 έως 55. Ανάλογα με τη βαρύτητα του αδικήματος και σύμφωνα με τις σχετικές διατάξεις του εθνικού δικαίου, στα μέτρα μπορεί να περιλαμβάνεται η αναστολή της άδειας ή η απόσυρση από το μητρώο εγκαταστάσεων εκτροφής ερυθρού τόνου της ICCA</w:t>
            </w:r>
            <w:r w:rsidRPr="004B104E">
              <w:rPr>
                <w:b/>
                <w:i/>
              </w:rPr>
              <w:t>T, το οποίο συστάθηκε σύμφωνα με την παράγραφο 61 της σύστασης 22-08 της ICCAT, και/ή η επιβολή προστίμων.</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 xml:space="preserve">Η σύσταση 22-08 της ICCAT τροποποιεί τη σύσταση 21-08 για τη θέσπιση πολυετούς </w:t>
      </w:r>
      <w:r w:rsidRPr="004B104E">
        <w:t>σχεδίου αποκατάστασης του ερυθρού τόνου στον Ανατολικό Ατλαντικό και στη Μεσόγειο.</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80</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παράγραφος 1 – σημείο 2 ιζ (νέο)</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w:t>
      </w:r>
      <w:r w:rsidRPr="004B104E">
        <w:t>) ΧΧ/2023</w:t>
      </w:r>
      <w:r w:rsidRPr="004B104E">
        <w:rPr>
          <w:rStyle w:val="HideTWBExt"/>
        </w:rPr>
        <w:t>&lt;/DocAmend2&gt;</w:t>
      </w:r>
    </w:p>
    <w:p w:rsidR="00714966" w:rsidRPr="004B104E" w:rsidRDefault="00AB08CD" w:rsidP="00714966">
      <w:r w:rsidRPr="004B104E">
        <w:rPr>
          <w:rStyle w:val="HideTWBExt"/>
        </w:rPr>
        <w:t>&lt;Article2&gt;</w:t>
      </w:r>
      <w:r w:rsidRPr="004B104E">
        <w:t>Άρθρο 66 – παράγραφος 1</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2ιζ)</w:t>
            </w:r>
            <w:r w:rsidRPr="004B104E">
              <w:rPr>
                <w:b/>
                <w:i/>
              </w:rPr>
              <w:tab/>
              <w:t>Στο άρθρο 66, η παράγραφος 1 τροποποιείται ως εξής: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w:t>
            </w:r>
            <w:r w:rsidRPr="004B104E">
              <w:rPr>
                <w:b/>
                <w:i/>
              </w:rPr>
              <w:tab/>
              <w:t xml:space="preserve">τα στοιχεία α), β) και γ) αντικαθίστανται από το ακόλουθο </w:t>
            </w:r>
            <w:r w:rsidRPr="004B104E">
              <w:rPr>
                <w:b/>
                <w:i/>
              </w:rPr>
              <w:lastRenderedPageBreak/>
              <w:t>κείμενο: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w:t>
            </w:r>
            <w:r w:rsidRPr="004B104E">
              <w:rPr>
                <w:b/>
                <w:i/>
              </w:rPr>
              <w:tab/>
              <w:t xml:space="preserve">την ετήσια μεταφορά </w:t>
            </w:r>
            <w:r w:rsidRPr="004B104E">
              <w:rPr>
                <w:b/>
                <w:i/>
              </w:rPr>
              <w:t>αχρησιμοποίητων ποσοστώσεων δυνάμει του άρθρου 8α για τον ερυθρό τόνο·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β)</w:t>
            </w:r>
            <w:r w:rsidRPr="004B104E">
              <w:rPr>
                <w:b/>
                <w:i/>
              </w:rPr>
              <w:tab/>
              <w:t xml:space="preserve">τις προθεσμίες για την αναφορά πληροφοριών όπως ορίζονται στο άρθρο 15 παράγραφος 7, στο άρθρο 16 παράγραφος 1, στο άρθρο 24 παράγραφος 4, στο άρθρο 26 παράγραφος 1, στο άρθρο 29 </w:t>
            </w:r>
            <w:r w:rsidRPr="004B104E">
              <w:rPr>
                <w:b/>
                <w:i/>
              </w:rPr>
              <w:t>παράγραφος 1, στο άρθρο 32 παράγραφοι 2 και 3, στο άρθρο 35 παράγραφοι 5 και 6, στο άρθρο 36, στο άρθρο 41 παράγραφος 3, στο άρθρο 44 παράγραφος 2, στο άρθρο 51 παράγραφος 7, στο άρθρο 52 παράγραφος 12, στο άρθρο 55, στο άρθρο 57 παράγραφος 5 στοιχείο β) κ</w:t>
            </w:r>
            <w:r w:rsidRPr="004B104E">
              <w:rPr>
                <w:b/>
                <w:i/>
              </w:rPr>
              <w:t>αι στο άρθρο 58 παράγραφος 6·</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γ)</w:t>
            </w:r>
            <w:r w:rsidRPr="004B104E">
              <w:rPr>
                <w:b/>
                <w:i/>
              </w:rPr>
              <w:tab/>
              <w:t>τα χρονικά διαστήματα των αλιευτικών περιόδων όπως προβλέπονται στο άρθρο 17 παράγραφοι 1 και 4.»·</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β)</w:t>
            </w:r>
            <w:r w:rsidRPr="004B104E">
              <w:rPr>
                <w:b/>
                <w:i/>
              </w:rPr>
              <w:tab/>
              <w:t>προστίθενται τα ακόλουθα στοιχεία: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«ια α)</w:t>
            </w:r>
            <w:r w:rsidRPr="004B104E">
              <w:rPr>
                <w:b/>
                <w:i/>
              </w:rPr>
              <w:tab/>
              <w:t>το περιεχόμενο της δήλωσης μεταφοράς του άρθρου 7 παράγραφος 1 στοιχείο α</w:t>
            </w:r>
            <w:r w:rsidRPr="004B104E">
              <w:rPr>
                <w:b/>
                <w:i/>
              </w:rPr>
              <w:t>) και τις διατάξεις για τον εγκλωβισμό του άρθρου 7 παράγραφος 2 στοιχείο β)»·</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ια β)</w:t>
            </w:r>
            <w:r w:rsidRPr="004B104E">
              <w:rPr>
                <w:b/>
                <w:i/>
              </w:rPr>
              <w:tab/>
              <w:t>τις παρεκκλίσεις του άρθρου 17 παράγραφος 2 για τον καθορισμό των περιοχών αλιείας, των αλιευτικών σκαφών και εργαλείων, και του άρθρου 17 παράγραφος 3 για την αλιεία ερ</w:t>
            </w:r>
            <w:r w:rsidRPr="004B104E">
              <w:rPr>
                <w:b/>
                <w:i/>
              </w:rPr>
              <w:t>υθρού τόνου με σκοπό την εκτροφή·</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ια γ)</w:t>
            </w:r>
            <w:r w:rsidRPr="004B104E">
              <w:rPr>
                <w:b/>
                <w:i/>
              </w:rPr>
              <w:tab/>
              <w:t>τις προϋποθέσεις για την τοποθέτηση περιφερειακού παρατηρητή σε ιχθυοτροφεία σύμφωνα με το άρθρο 39 παράγραφος 4·</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ια δ)</w:t>
            </w:r>
            <w:r w:rsidRPr="004B104E">
              <w:rPr>
                <w:b/>
                <w:i/>
              </w:rPr>
              <w:tab/>
              <w:t>τα καθήκοντα των κρατών μελών και το περιεχόμενο της ετήσιας έκθεσης εγκλωβισμού που αναφέρε</w:t>
            </w:r>
            <w:r w:rsidRPr="004B104E">
              <w:rPr>
                <w:b/>
                <w:i/>
              </w:rPr>
              <w:t>ται στο άρθρο 55.»</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pPr>
        <w:pStyle w:val="JustificationTitle"/>
        <w:rPr>
          <w:noProof w:val="0"/>
        </w:rPr>
      </w:pPr>
      <w:r w:rsidRPr="004B104E">
        <w:rPr>
          <w:rStyle w:val="HideTWBExt"/>
          <w:i w:val="0"/>
        </w:rPr>
        <w:lastRenderedPageBreak/>
        <w:t>&lt;TitreJust&gt;</w:t>
      </w:r>
      <w:r w:rsidRPr="004B104E">
        <w:t>Αιτιολόγηση</w:t>
      </w:r>
      <w:r w:rsidRPr="004B104E">
        <w:rPr>
          <w:rStyle w:val="HideTWBExt"/>
          <w:i w:val="0"/>
        </w:rPr>
        <w:t>&lt;/TitreJust&gt;</w:t>
      </w:r>
    </w:p>
    <w:p w:rsidR="00714966" w:rsidRPr="004B104E" w:rsidRDefault="00AB08CD" w:rsidP="00714966">
      <w:pPr>
        <w:pStyle w:val="Normal12Italic"/>
        <w:rPr>
          <w:noProof w:val="0"/>
        </w:rPr>
      </w:pPr>
      <w:r w:rsidRPr="004B104E">
        <w:t>Η σύσταση 22-08 της ICCAT τροποποιεί τη σύσταση 21-08 για τη θέσπιση πολυετούς σχεδίου αποκατάστασης του ερυθρού τόνου.</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81</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Άρθρο 2 – παράγραφος 1 – σημείο 2 ιη (νέο)</w:t>
      </w:r>
      <w:r w:rsidRPr="004B104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 xml:space="preserve">2ιη) </w:t>
            </w:r>
            <w:r w:rsidRPr="004B104E">
              <w:rPr>
                <w:b/>
                <w:i/>
              </w:rPr>
              <w:tab/>
              <w:t xml:space="preserve">Το κείμενο που παρατίθεται στο παράρτημα του παρόντος κανονισμού προστίθεται ως παραρτήματα XVa, XVb και XVc στον </w:t>
            </w:r>
            <w:r w:rsidRPr="004B104E">
              <w:rPr>
                <w:b/>
                <w:i/>
              </w:rPr>
              <w:t>κανονισμό (ΕΕ) XX/2023.</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82</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Παράρτημα</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2017/2107</w:t>
      </w:r>
      <w:r w:rsidRPr="004B104E">
        <w:rPr>
          <w:rStyle w:val="HideTWBExt"/>
        </w:rPr>
        <w:t>&lt;/DocAmend2&gt;</w:t>
      </w:r>
    </w:p>
    <w:p w:rsidR="00714966" w:rsidRPr="004B104E" w:rsidRDefault="00AB08CD" w:rsidP="00714966">
      <w:r w:rsidRPr="004B104E">
        <w:rPr>
          <w:rStyle w:val="HideTWBExt"/>
        </w:rPr>
        <w:t>&lt;Article2&gt;</w:t>
      </w:r>
      <w:r w:rsidRPr="004B104E">
        <w:t>Παράρτημα VIII α (νέο)</w:t>
      </w:r>
      <w:r w:rsidRPr="004B104E">
        <w:rPr>
          <w:rStyle w:val="HideTWBExt"/>
        </w:rPr>
        <w:t>&lt;/A</w:t>
      </w:r>
      <w:r w:rsidRPr="004B104E">
        <w:rPr>
          <w:rStyle w:val="HideTWBExt"/>
        </w:rPr>
        <w:t>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Παράρτημα VIIΙα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Ελάχιστα πρότυπα για τον ασφαλή χειρισμό και τις διαδικασίες απελευθέρωσης ζώντων ιχθύων</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Κατωτέρω παρατίθενται τα ελάχιστα πρότυπα για τις πρακτικές ασφαλούς χειρισμού του ρυγχοκαρχαρία του Βορείου και Νοτίου Ατλαντικού, τα οποία περιλαμβάνουν ειδικές συστάσεις τόσο για την αλιεία με παραγαδιάρικα σκάφη όσο και με σκάφη γρι-γρι.  Τα ελάχιστα α</w:t>
            </w:r>
            <w:r w:rsidRPr="004B104E">
              <w:rPr>
                <w:b/>
                <w:i/>
              </w:rPr>
              <w:t xml:space="preserve">υτά πρότυπα είναι κατάλληλα για την απελευθέρωση ζώντων ρυγχοκαρχαριών είτε πρόκειται για απελευθέρωση βάσει πολιτικών μη διατήρησης είτε για οικειοθελή απελευθέρωση. Οι παρούσες βασικές κατευθυντήριες γραμμές δεν </w:t>
            </w:r>
            <w:r w:rsidRPr="004B104E">
              <w:rPr>
                <w:b/>
                <w:i/>
              </w:rPr>
              <w:lastRenderedPageBreak/>
              <w:t xml:space="preserve">αντικαθιστούν τυχόν αυστηρότερους κανόνες </w:t>
            </w:r>
            <w:r w:rsidRPr="004B104E">
              <w:rPr>
                <w:b/>
                <w:i/>
              </w:rPr>
              <w:t>ασφάλειας που ενδεχομένως έχουν θεσπιστεί από τις εθνικές αρχές των επιμέρους κρατών μελών.</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 xml:space="preserve">Προτεραιότητα στην ασφάλεια: Τα ελάχιστα αυτά πρότυπα εξετάζονται με γνώμονα την ασφάλεια του πληρώματος και την πρακτικότητα. Η ασφάλεια του πληρώματος αποτελεί </w:t>
            </w:r>
            <w:r w:rsidRPr="004B104E">
              <w:rPr>
                <w:b/>
                <w:i/>
              </w:rPr>
              <w:t>πάντα προτεραιότητα. Το πλήρωμα χρησιμοποιεί τουλάχιστον κατάλληλα γάντια και αποφεύγει να εργάζεται κοντά στο στόμα του καρχαρία. Εκπαίδευση:</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 xml:space="preserve">Τα κράτη μέλη έχουν στη διάθεσή τους εκπαιδευτικό υλικό στις τρεις επίσημες γλώσσες της ICCAT. Μέθοδος </w:t>
            </w:r>
            <w:r w:rsidRPr="004B104E">
              <w:rPr>
                <w:b/>
                <w:i/>
              </w:rPr>
              <w:t>απελευθέρωσης: Στο μέγιστο δυνατό βαθμό, όλοι οι καρχαρίες που απελευθερώνονται παραμένουν στο νερό ανά πάσα στιγμή, εκτός εάν είναι αναγκαία η ανύψωσή τους για την ταυτοποίηση του είδους. Αυτό περιλαμβάνει την κοπή του σχοινιού για να απελευθερωθεί ο καρχ</w:t>
            </w:r>
            <w:r w:rsidRPr="004B104E">
              <w:rPr>
                <w:b/>
                <w:i/>
              </w:rPr>
              <w:t>αρίας όσο ακόμη βρίσκεται στο νερό, με τη χρήση κοπτήρα βιδών ή απαγκιστρωτή για την απομάκρυνση του αγκίστρου, εάν είναι δυνατόν, ή την κοπή του σχοινιού όσο το δυνατόν πιο κοντά στο άγκιστρο (ώστε να παραμείνει όσο το δυνατόν λιγότερο σχοινί).</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Προετοιμασία: Η προετοιμασία των εργαλείων πραγματοποιείται εκ των προτέρων (π.χ. καραβόπανα ή δίχτυα αρτάνης, φορεία για μεταφορά ή ανύψωση, δίχτυα με μεγάλα μάτια ή σχάρα για την κάλυψη των στομίων κύτους / των χοανών στην αλιεία με σκάφος γρι-γρι, κοπτή</w:t>
            </w:r>
            <w:r w:rsidRPr="004B104E">
              <w:rPr>
                <w:b/>
                <w:i/>
              </w:rPr>
              <w:t>ρες με μακριά λαβή και εργαλεία αφαίρεσης αγκίστρων στην αλιεία με παραγάδια κ.λπ., όπως παρατίθενται στο τέλος του παρόντος εγγράφου).</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Γενικές συστάσεις για όλους τους τύπους αλιείας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 xml:space="preserve">Εάν αυτό είναι λειτουργικά ασφαλές, το σκάφος ακινητοποιείται ή </w:t>
            </w:r>
            <w:r w:rsidRPr="004B104E">
              <w:rPr>
                <w:b/>
                <w:i/>
              </w:rPr>
              <w:lastRenderedPageBreak/>
              <w:t>μ</w:t>
            </w:r>
            <w:r w:rsidRPr="004B104E">
              <w:rPr>
                <w:b/>
                <w:i/>
              </w:rPr>
              <w:t>ειώνει σημαντικά την ταχύτητά του.</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w:t>
            </w:r>
            <w:r w:rsidRPr="004B104E">
              <w:rPr>
                <w:b/>
                <w:i/>
              </w:rPr>
              <w:tab/>
              <w:t>Όταν ο καρχαρίας είναι μπλεγμένος (σε δίχτυ, σχοινί αλιείας κ.λπ.), απεμπλέκεται με προσεκτικό κόψιμο του διχτυού ή του σχοινιού, εάν αυτό είναι ασφαλές, και απελευθερώνεται στη θάλασσα το συντομότερο δυνατόν χωρίς ε</w:t>
            </w:r>
            <w:r w:rsidRPr="004B104E">
              <w:rPr>
                <w:b/>
                <w:i/>
              </w:rPr>
              <w:t>μπλοκές.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w:t>
            </w:r>
            <w:r w:rsidRPr="004B104E">
              <w:rPr>
                <w:b/>
                <w:i/>
              </w:rPr>
              <w:tab/>
              <w:t>Όπου είναι εφικτό και ενώ ο καρχαρίας βρίσκεται στο νερό, προσπαθήστε να μετρήσετε το μήκος του.</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4)</w:t>
            </w:r>
            <w:r w:rsidRPr="004B104E">
              <w:rPr>
                <w:b/>
                <w:i/>
              </w:rPr>
              <w:tab/>
              <w:t>Για να αποφύγετε πιθανό δάγκωμα, τοποθετήστε ένα αντικείμενο στα σαγόνια του καρχαρία, όπως ψάρι ή μεγάλη ράβδο/ξύλινο κοντάρι.</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5)</w:t>
            </w:r>
            <w:r w:rsidRPr="004B104E">
              <w:rPr>
                <w:b/>
                <w:i/>
              </w:rPr>
              <w:tab/>
              <w:t>Εάν, γι</w:t>
            </w:r>
            <w:r w:rsidRPr="004B104E">
              <w:rPr>
                <w:b/>
                <w:i/>
              </w:rPr>
              <w:t>α οποιονδήποτε λόγο, ο καρχαρίας πρέπει να μεταφερθεί στο κατάστρωμα, πρέπει να ελαχιστοποιηθεί ο χρόνος που χρειάζεται για να ριφθεί στη θάλασσα ώστε να αυξηθούν οι πιθανότητες επιβίωσής του και να μειωθούν οι κίνδυνοι για το πλήρωμα.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 xml:space="preserve">Ειδικές πρακτικές </w:t>
            </w:r>
            <w:r w:rsidRPr="004B104E">
              <w:rPr>
                <w:b/>
                <w:i/>
              </w:rPr>
              <w:t>ασφαλούς χειρισμού για την αλιεία με παραγάδι</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Φέρετε τον καρχαρία όσο το δυνατόν πιο κοντά στο σκάφος χωρίς να ασκείτε υπερβολική πίεση στο παράμαλλο, προκειμένου να αποφευχθεί το ενδεχόμενο να εκτοξευθούν άγκιστρα, βαρίδια και άλλα εξαρτήματα με υψηλ</w:t>
            </w:r>
            <w:r w:rsidRPr="004B104E">
              <w:rPr>
                <w:b/>
                <w:i/>
              </w:rPr>
              <w:t>ή ταχύτητα προς το σκάφος και το πλήρωμα σε περίπτωση που αποδεσμευθεί άγκιστρο ή φρένο του παράμαλλου.</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w:t>
            </w:r>
            <w:r w:rsidRPr="004B104E">
              <w:rPr>
                <w:b/>
                <w:i/>
              </w:rPr>
              <w:tab/>
              <w:t>Ασφαλίστε την απομακρυσμένη πλευρά της μάνας του παραγαδιού στο σκάφος, ώστε να αποφευχθεί το ενδεχόμενο άσκησης πίεσης στο παραγάδι και στο ζώο απ</w:t>
            </w:r>
            <w:r w:rsidRPr="004B104E">
              <w:rPr>
                <w:b/>
                <w:i/>
              </w:rPr>
              <w:t>ό τυχόν εναπομείναντα εργαλεία.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w:t>
            </w:r>
            <w:r w:rsidRPr="004B104E">
              <w:rPr>
                <w:b/>
                <w:i/>
              </w:rPr>
              <w:tab/>
              <w:t xml:space="preserve">Εάν ο καρχαρίας είναι αγκιστρωμένος και το άγκιστρο είναι ορατό στο σώμα ή στο στόμα του, χρησιμοποιήστε απαγκιστρωτή ή κοπτήρα με μακριά λαβή για να </w:t>
            </w:r>
            <w:r w:rsidRPr="004B104E">
              <w:rPr>
                <w:b/>
                <w:i/>
              </w:rPr>
              <w:lastRenderedPageBreak/>
              <w:t>αφαιρέσετε την ακίδα του αγκίστρου και στη συνέχεια να απομακρύνετε τ</w:t>
            </w:r>
            <w:r w:rsidRPr="004B104E">
              <w:rPr>
                <w:b/>
                <w:i/>
              </w:rPr>
              <w:t>ο άγκιστρο.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4)</w:t>
            </w:r>
            <w:r w:rsidRPr="004B104E">
              <w:rPr>
                <w:b/>
                <w:i/>
              </w:rPr>
              <w:tab/>
              <w:t>Εάν δεν είναι δυνατή η απομάκρυνση του αγκίστρου ή το άγκιστρο δεν είναι ορατό, κόψτε την πετονιά του παράμαλλου όσο το δυνατόν πιο κοντά στο άγκιστρο (ιδανικά αφήνοντας όσο το δυνατόν λιγότερη πετονιά και/ή παράμαλλο και αποδεσμεύοντας το</w:t>
            </w:r>
            <w:r w:rsidRPr="004B104E">
              <w:rPr>
                <w:b/>
                <w:i/>
              </w:rPr>
              <w:t xml:space="preserve"> ζώο από βαρίδια).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Ειδικές πρακτικές ασφαλούς χειρισμού για την αλιεία με σκάφος γρι-γρι</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Εάν πρόκειται για δίχτυ γρι-γρι: Ελέγξτε το δίχτυ όσο το δυνατόν νωρίτερα για να εντοπίσετε εγκαίρως τους καρχαρίες και να αντιδράσετε γρήγορα. Αποφύγετε την αν</w:t>
            </w:r>
            <w:r w:rsidRPr="004B104E">
              <w:rPr>
                <w:b/>
                <w:i/>
              </w:rPr>
              <w:t>ύψωσή τους μέσα στο δίχτυ προς τη μηχανική τροχαλία. Μειώστε την ταχύτητα του σκάφους ώστε να «χαλαρώσει» το δίχτυ και να καταστεί δυνατή η απομάκρυνση του παγιδευμένου ζώου από το δίχτυ. Εφόσον χρειαστεί, χρησιμοποιήστε κοπτήρα για να κόψετε το δίχτυ.</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b/>
                <w:i/>
              </w:rPr>
            </w:pPr>
            <w:r w:rsidRPr="004B104E">
              <w:rPr>
                <w:b/>
                <w:i/>
              </w:rPr>
              <w:t>2</w:t>
            </w:r>
            <w:r w:rsidRPr="004B104E">
              <w:rPr>
                <w:b/>
                <w:i/>
              </w:rPr>
              <w:t>)</w:t>
            </w:r>
            <w:r w:rsidRPr="004B104E">
              <w:rPr>
                <w:b/>
                <w:i/>
              </w:rPr>
              <w:tab/>
              <w:t>Εάν ο καρχαρίας βρίσκεται εντός διχτυών ή στο κατάστρωμα: Χρησιμοποιήστε ειδικά κατασκευασμένο δίχτυ φορτίου με μεγάλα μάτια ή καραβόπανο ή παρόμοια διάταξη. Εάν το επιτρέπει η διαρρύθμιση του σκάφους, ο καρχαρίας σε αυτές τις περιπτώσεις θα μπορούσε επί</w:t>
            </w:r>
            <w:r w:rsidRPr="004B104E">
              <w:rPr>
                <w:b/>
                <w:i/>
              </w:rPr>
              <w:t>σης να απελευθερωθεί με άδειασμα των διχτυών απευθείας σε χοάνη όπου υπάρχει ράμπα με κλίση σε γωνία που συνδέει με άνοιγμα στο άνω κατάστρωμα, χωρίς να απαιτείται ανύψωση ή χειρισμός από το πλήρωμα.</w:t>
            </w:r>
          </w:p>
          <w:p w:rsidR="00714966" w:rsidRPr="004B104E" w:rsidRDefault="00AB08CD">
            <w:pPr>
              <w:pStyle w:val="Normal6"/>
              <w:rPr>
                <w:szCs w:val="24"/>
              </w:rPr>
            </w:pPr>
            <w:r w:rsidRPr="004B104E">
              <w:rPr>
                <w:b/>
                <w:i/>
              </w:rPr>
              <w:t>Απαγορευμένες πρακτικές για όλους τους τύπους αλιείας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Στο μέγιστο δυνατό βαθμό, η ανύψωση του καρχαρία από το νερό με τη χρήση παράμαλλου, ιδίως εάν είναι αγκιστρωμένος, εκτός εάν είναι αναγκαία η ανύψωσή του για την ταυτοποίηση του είδους.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w:t>
            </w:r>
            <w:r w:rsidRPr="004B104E">
              <w:rPr>
                <w:b/>
                <w:i/>
              </w:rPr>
              <w:tab/>
              <w:t>Οι καρχαρίες δεν ανυψώνονται με χρήση λεπτού σύρματος ή συρμα</w:t>
            </w:r>
            <w:r w:rsidRPr="004B104E">
              <w:rPr>
                <w:b/>
                <w:i/>
              </w:rPr>
              <w:t>τόσχοινου ή μόνο από την ουρά.</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w:t>
            </w:r>
            <w:r w:rsidRPr="004B104E">
              <w:rPr>
                <w:b/>
                <w:i/>
              </w:rPr>
              <w:tab/>
              <w:t>Πρόσκρουση του καρχαρία σε οποιαδήποτε επιφάνεια προκειμένου να απομακρυνθεί το σχοινί από το ζώο.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4)</w:t>
            </w:r>
            <w:r w:rsidRPr="004B104E">
              <w:rPr>
                <w:b/>
                <w:i/>
              </w:rPr>
              <w:tab/>
              <w:t>Προσπάθεια αφαίρεσης αγκιστριού που έχει καταποθεί και δεν είναι ορατό.</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5)</w:t>
            </w:r>
            <w:r w:rsidRPr="004B104E">
              <w:rPr>
                <w:b/>
                <w:i/>
              </w:rPr>
              <w:tab/>
              <w:t>Προσπάθεια αφαίρεσης αγκιστριού με απότ</w:t>
            </w:r>
            <w:r w:rsidRPr="004B104E">
              <w:rPr>
                <w:b/>
                <w:i/>
              </w:rPr>
              <w:t>ομη έλξη του παράμαλλου.</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6)</w:t>
            </w:r>
            <w:r w:rsidRPr="004B104E">
              <w:rPr>
                <w:b/>
                <w:i/>
              </w:rPr>
              <w:tab/>
              <w:t>Ακρωτηριασμός της ουράς ή οποιουδήποτε άλλου μέρους του σώματος.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7)</w:t>
            </w:r>
            <w:r w:rsidRPr="004B104E">
              <w:rPr>
                <w:b/>
                <w:i/>
              </w:rPr>
              <w:tab/>
              <w:t>Ακρωτηριασμός ή διάτρηση του καρχαρία.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8)</w:t>
            </w:r>
            <w:r w:rsidRPr="004B104E">
              <w:rPr>
                <w:b/>
                <w:i/>
              </w:rPr>
              <w:tab/>
              <w:t>Καμάκωμα ή κλότσημα του καρχαρία ή τοποθέτηση χεριών στις βραγχιακές σχισμές.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9)</w:t>
            </w:r>
            <w:r w:rsidRPr="004B104E">
              <w:rPr>
                <w:b/>
                <w:i/>
              </w:rPr>
              <w:tab/>
              <w:t>Έκθεση του καρχαρία στον ήλιο</w:t>
            </w:r>
            <w:r w:rsidRPr="004B104E">
              <w:rPr>
                <w:b/>
                <w:i/>
              </w:rPr>
              <w:t xml:space="preserve"> για παρατεταμένες περιόδους.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10)</w:t>
            </w:r>
            <w:r w:rsidRPr="004B104E">
              <w:rPr>
                <w:b/>
                <w:i/>
              </w:rPr>
              <w:tab/>
              <w:t>Μην τοποθετείτε τα δάχτυλα, τα χέρια ή τους βραχίονες σας γύρω από το σχοινί όταν μεταφέρετε καρχαρία ή σαλάχι στο σκάφος (μπορεί να προκαλέσει σοβαρό τραυματισμό).</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Χρήσιμα εργαλεία για ασφαλή χειρισμό και απελευθέρωση</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Γάντια (το δέρμα του καρχαρία είναι τραχύ· διασφαλίζουν τον ασφαλή χειρισμό του καρχαρία και προστατεύουν τα χέρια του πληρώματος από δάγκωμα)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w:t>
            </w:r>
            <w:r w:rsidRPr="004B104E">
              <w:rPr>
                <w:b/>
                <w:i/>
              </w:rPr>
              <w:tab/>
              <w:t>Πετσέτα ή πανί (μπορείτε να τοποθετείτε πετσέτα ή πανί εμποτισμένο με θαλασσινό νερό πάνω στους οφθαλμ</w:t>
            </w:r>
            <w:r w:rsidRPr="004B104E">
              <w:rPr>
                <w:b/>
                <w:i/>
              </w:rPr>
              <w:t>ούς του καρχαρία· χρησιμοποιείται για να ηρεμήσει τον καρχαρία)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w:t>
            </w:r>
            <w:r w:rsidRPr="004B104E">
              <w:rPr>
                <w:b/>
                <w:i/>
              </w:rPr>
              <w:tab/>
              <w:t>Απαγκιστρωτές (π.χ. aπαγκιστρωτής τύπου «pig tail», κοπτήρες βιδών ή τσιμπίδες κοπής)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4)</w:t>
            </w:r>
            <w:r w:rsidRPr="004B104E">
              <w:rPr>
                <w:b/>
                <w:i/>
              </w:rPr>
              <w:tab/>
              <w:t xml:space="preserve">Ιμάντες ή φορείο καρχαρία (εάν </w:t>
            </w:r>
            <w:r w:rsidRPr="004B104E">
              <w:rPr>
                <w:b/>
                <w:i/>
              </w:rPr>
              <w:lastRenderedPageBreak/>
              <w:t>χρειάζεται)</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5)</w:t>
            </w:r>
            <w:r w:rsidRPr="004B104E">
              <w:rPr>
                <w:b/>
                <w:i/>
              </w:rPr>
              <w:tab/>
              <w:t>Πρυμνίσιο σχοινί (για την ασφάλιση αγκιστρωμένου</w:t>
            </w:r>
            <w:r w:rsidRPr="004B104E">
              <w:rPr>
                <w:b/>
                <w:i/>
              </w:rPr>
              <w:t xml:space="preserve"> καρχαρία σε περίπτωση που πρέπει να απομακρυνθεί από το νερό)</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6)</w:t>
            </w:r>
            <w:r w:rsidRPr="004B104E">
              <w:rPr>
                <w:b/>
                <w:i/>
              </w:rPr>
              <w:tab/>
              <w:t xml:space="preserve">Εύκαμπτος σωλήνας αλμυρού νερού (Εάν υπολογίζετε ότι θα χρειαστούν περισσότερα από 5 λεπτά για την απελευθέρωση του καρχαρία, τοποθετήστε έναν εύκαμπτο σωλήνα στο στόμα του καρχαρία, έτσι </w:t>
            </w:r>
            <w:r w:rsidRPr="004B104E">
              <w:rPr>
                <w:b/>
                <w:i/>
              </w:rPr>
              <w:t>ώστε να εισρέει θαλασσινό νερό με μέτρο. Βεβαιωθείτε ότι η αντλία του καταστρώματος λειτουργεί για αρκετά λεπτά προτού την τοποθετήσετε στο στόμα του καρχαρία.)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7)</w:t>
            </w:r>
            <w:r w:rsidRPr="004B104E">
              <w:rPr>
                <w:b/>
                <w:i/>
              </w:rPr>
              <w:tab/>
              <w:t>Όργανο μέτρησης (π.χ. για σήμανση ράβδου, του διχτυού οδηγός και του πλωτήρα, ή ταινία μέτ</w:t>
            </w:r>
            <w:r w:rsidRPr="004B104E">
              <w:rPr>
                <w:b/>
                <w:i/>
              </w:rPr>
              <w:t>ρησης)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8)</w:t>
            </w:r>
            <w:r w:rsidRPr="004B104E">
              <w:rPr>
                <w:b/>
                <w:i/>
              </w:rPr>
              <w:tab/>
              <w:t>Δελτίο δεδομένων για την καταγραφή όλων των αλιευμάτων</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9)</w:t>
            </w:r>
            <w:r w:rsidRPr="004B104E">
              <w:rPr>
                <w:b/>
                <w:i/>
              </w:rPr>
              <w:tab/>
              <w:t>Εργαλεία σήμανσης (κατά περίπτωση)</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83</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Παράρτημα</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2017/2107</w:t>
      </w:r>
      <w:r w:rsidRPr="004B104E">
        <w:rPr>
          <w:rStyle w:val="HideTWBExt"/>
        </w:rPr>
        <w:t>&lt;/DocAmend2&gt;</w:t>
      </w:r>
    </w:p>
    <w:p w:rsidR="00714966" w:rsidRPr="004B104E" w:rsidRDefault="00AB08CD" w:rsidP="00714966">
      <w:r w:rsidRPr="004B104E">
        <w:rPr>
          <w:rStyle w:val="HideTWBExt"/>
        </w:rPr>
        <w:t>&lt;Article2&gt;</w:t>
      </w:r>
      <w:r w:rsidRPr="004B104E">
        <w:t>Παράρτημα VIII β (νέο)</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Παράρτημα VIΙΙβ</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Κατευθυντήριες γραμμές για τη μείωση του οικολογικού αντικτύπου των ΔΣΙ στους τύπους αλιείας της ICCAT</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 xml:space="preserve">Η δομή </w:t>
            </w:r>
            <w:r w:rsidRPr="004B104E">
              <w:rPr>
                <w:b/>
                <w:i/>
              </w:rPr>
              <w:t>της επιφάνειας της ΔΣΙ δεν καλύπτεται ή καλύπτεται μόνο με υλικό που συνεπάγεται ελάχιστο κίνδυνο εμπλοκής για τα παρεμπίπτοντα αλιευόμενα είδη.</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w:t>
            </w:r>
            <w:r w:rsidRPr="004B104E">
              <w:rPr>
                <w:b/>
                <w:i/>
              </w:rPr>
              <w:tab/>
              <w:t>Το δεύτερο υλικό κάτω από το επιφανειακό αποτελείται αποκλειστικά από υλικό που δεν εμπλέκεται (π.χ. σχοιν</w:t>
            </w:r>
            <w:r w:rsidRPr="004B104E">
              <w:rPr>
                <w:b/>
                <w:i/>
              </w:rPr>
              <w:t>ιά ή καραβόπανο).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w:t>
            </w:r>
            <w:r w:rsidRPr="004B104E">
              <w:rPr>
                <w:b/>
                <w:i/>
              </w:rPr>
              <w:tab/>
              <w:t>Κατά τον σχεδιασμό των ΔΣΙ δίνεται προτεραιότητα στη χρήση βιοδιασπώμενων υλικών.</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84</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Παράρτημα</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2017/2107</w:t>
      </w:r>
      <w:r w:rsidRPr="004B104E">
        <w:rPr>
          <w:rStyle w:val="HideTWBExt"/>
        </w:rPr>
        <w:t>&lt;/DocAmend2&gt;</w:t>
      </w:r>
    </w:p>
    <w:p w:rsidR="00714966" w:rsidRPr="004B104E" w:rsidRDefault="00AB08CD" w:rsidP="00714966">
      <w:r w:rsidRPr="004B104E">
        <w:rPr>
          <w:rStyle w:val="HideTWBExt"/>
        </w:rPr>
        <w:t>&lt;Article2&gt;</w:t>
      </w:r>
      <w:r w:rsidRPr="004B104E">
        <w:t>Παράρτημα VIII γ (νέο)</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Παράρτημα VIΙΙγ</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Πρακτικές ασφαλούς χειρισμού και απελευθέρωσης για τις θαλάσσιες χελώνες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 xml:space="preserve">Ασφαλής χειρισμός και απελευθέρωση από </w:t>
            </w:r>
            <w:r w:rsidRPr="004B104E">
              <w:rPr>
                <w:b/>
                <w:i/>
              </w:rPr>
              <w:t>σκάφος γρι-γρι</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Όταν εντοπίζεται θαλάσσια χελώνα στο δίχτυ, καταβάλλεται κάθε εύλογη προσπάθεια για τη διάσωση της θαλάσσιας χελώνας πριν εμπλακεί στο δίχτυ.</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w:t>
            </w:r>
            <w:r w:rsidRPr="004B104E">
              <w:rPr>
                <w:b/>
                <w:i/>
              </w:rPr>
              <w:tab/>
              <w:t>Δεν επιτρέπεται η ανάσυρση θαλάσσιας χελώνας από το νερό με το σχοινί αλιείας που έχει σκ</w:t>
            </w:r>
            <w:r w:rsidRPr="004B104E">
              <w:rPr>
                <w:b/>
                <w:i/>
              </w:rPr>
              <w:t>αλώσει ή μπλεχτεί το σώμα της.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w:t>
            </w:r>
            <w:r w:rsidRPr="004B104E">
              <w:rPr>
                <w:b/>
                <w:i/>
              </w:rPr>
              <w:tab/>
              <w:t>Σε περίπτωση εμπλοκής θαλάσσιας χελώνας κατά την ανάσυρση διχτυών, η ανάσυρση σταματά έως ότου η χελώνα εξέλθει από τη θάλασσα· η χελώνα απομπλέκεται χωρίς τραυματισμό προτού συνεχιστεί η ανάσυρση των διχτυών.</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4)</w:t>
            </w:r>
            <w:r w:rsidRPr="004B104E">
              <w:rPr>
                <w:b/>
                <w:i/>
              </w:rPr>
              <w:tab/>
              <w:t xml:space="preserve">Εάν, </w:t>
            </w:r>
            <w:r w:rsidRPr="004B104E">
              <w:rPr>
                <w:b/>
                <w:i/>
              </w:rPr>
              <w:t xml:space="preserve">παρά τα μέτρα που λαμβάνονται, ανασυρθεί κατά λάθος επί του σκάφους θαλάσσια χελώνα εν ζωή </w:t>
            </w:r>
            <w:r w:rsidRPr="004B104E">
              <w:rPr>
                <w:b/>
                <w:i/>
              </w:rPr>
              <w:lastRenderedPageBreak/>
              <w:t>και δραστήρια ή νεκρή, η θαλάσσια χελώνα απελευθερώνεται το συντομότερο δυνατόν.</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5)</w:t>
            </w:r>
            <w:r w:rsidRPr="004B104E">
              <w:rPr>
                <w:b/>
                <w:i/>
              </w:rPr>
              <w:tab/>
              <w:t>Εάν ανασυρθεί επί του σκάφους θαλάσσια χελώνα που βρίσκεται σε κωματώδη ή αδραν</w:t>
            </w:r>
            <w:r w:rsidRPr="004B104E">
              <w:rPr>
                <w:b/>
                <w:i/>
              </w:rPr>
              <w:t>ή κατάσταση, επιχειρείται ανάνηψη.</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Ασφαλής χειρισμός και απελευθέρωση από παραγαδιάρικο σκάφος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 xml:space="preserve">Όταν είναι εφικτό και όταν ο χειριστής ή το πλήρωμα επί του σκάφους είναι εκπαιδευμένοι, η θαλάσσια χελώνα που βρίσκεται σε κωματώδη κατάσταση ανασύρεται </w:t>
            </w:r>
            <w:r w:rsidRPr="004B104E">
              <w:rPr>
                <w:b/>
                <w:i/>
              </w:rPr>
              <w:t>αμέσως επί του σκάφους.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w:t>
            </w:r>
            <w:r w:rsidRPr="004B104E">
              <w:rPr>
                <w:b/>
                <w:i/>
              </w:rPr>
              <w:tab/>
              <w:t>Κατά τη διόπτευση θαλάσσιας χελώνας, η ταχύτητα του σκάφους και του ρουλεμάν της πετονιάς επιβραδύνεται και η κατεύθυνση του σκάφους προσαρμόζεται προς την κατεύθυνση της θαλάσσιας χελώνας, ελαχιστοποιώντας την ένταση στην πετο</w:t>
            </w:r>
            <w:r w:rsidRPr="004B104E">
              <w:rPr>
                <w:b/>
                <w:i/>
              </w:rPr>
              <w:t>νιά.</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w:t>
            </w:r>
            <w:r w:rsidRPr="004B104E">
              <w:rPr>
                <w:b/>
                <w:i/>
              </w:rPr>
              <w:tab/>
              <w:t>Δεν επιτρέπεται η ανάσυρση θαλάσσιας χελώνας από το νερό με την πετονιά που έχει σκαλώσει ή μπλεχτεί το σώμα της.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4)</w:t>
            </w:r>
            <w:r w:rsidRPr="004B104E">
              <w:rPr>
                <w:b/>
                <w:i/>
              </w:rPr>
              <w:tab/>
              <w:t>Εάν μια θαλάσσια χελώνα είναι πολύ μεγάλη ή αγκιστρωμένη κατά τρόπο που να εμποδίζει την ασφαλή ανάσυρσή της επί του σκάφους χω</w:t>
            </w:r>
            <w:r w:rsidRPr="004B104E">
              <w:rPr>
                <w:b/>
                <w:i/>
              </w:rPr>
              <w:t>ρίς περαιτέρω βλάβες/τραυματισμούς, χρησιμοποιούνται κόπτες για το κόψιμο της πετονιάς και την αφαίρεση όσο το δυνατόν περισσότερης πετονιάς πριν από την απελευθέρωση της θαλάσσιας χελώνας.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5)</w:t>
            </w:r>
            <w:r w:rsidRPr="004B104E">
              <w:rPr>
                <w:b/>
                <w:i/>
              </w:rPr>
              <w:tab/>
              <w:t>Εάν διαπιστωθεί ότι μια θαλάσσια χελώνα έχει αγκιστρωθεί ή εμ</w:t>
            </w:r>
            <w:r w:rsidRPr="004B104E">
              <w:rPr>
                <w:b/>
                <w:i/>
              </w:rPr>
              <w:t>πλακεί στα παραγάδια κατά τη διάρκεια των εργασιών ανάσυρσης, ο χειριστής του σκάφους διακόπτει αμέσως τις εργασίες ανάσυρσης έως ότου η θαλάσσια χελώνα απεμπλακεί από τα παραγάδια ή μεταφερθεί επί του σκάφους.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6)</w:t>
            </w:r>
            <w:r w:rsidRPr="004B104E">
              <w:rPr>
                <w:b/>
                <w:i/>
              </w:rPr>
              <w:tab/>
              <w:t xml:space="preserve">Εάν υπάρχουν αγκίστρια σε εξωτερικό </w:t>
            </w:r>
            <w:r w:rsidRPr="004B104E">
              <w:rPr>
                <w:b/>
                <w:i/>
              </w:rPr>
              <w:t xml:space="preserve">σημείο ή τα αγκίστρια είναι πλήρως ορατά, θα πρέπει να αφαιρούνται </w:t>
            </w:r>
            <w:r w:rsidRPr="004B104E">
              <w:rPr>
                <w:b/>
                <w:i/>
              </w:rPr>
              <w:lastRenderedPageBreak/>
              <w:t>από τη θαλάσσια χελώνα όσο το δυνατόν πιο γρήγορα και προσεκτικά. Εάν η αφαίρεση του αγκιστριού από τη θαλάσσια χελώνα δεν είναι εφικτή (π.χ. λόγω κατάποσης ή σκαλώματος στο εσωτερικό της ά</w:t>
            </w:r>
            <w:r w:rsidRPr="004B104E">
              <w:rPr>
                <w:b/>
                <w:i/>
              </w:rPr>
              <w:t>νω γνάθου), η πετονιά κόβεται σε σημείο που βρίσκεται όσο το δυνατόν πιο κοντά στο άγκιστρο.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7)</w:t>
            </w:r>
            <w:r w:rsidRPr="004B104E">
              <w:rPr>
                <w:b/>
                <w:i/>
              </w:rPr>
              <w:tab/>
              <w:t>Οι ζωντανές θαλάσσιες χελώνες ρίπτονται στη θάλασσα μετά από χειρισμό με τον ακόλουθο τρόπο: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w:t>
            </w:r>
            <w:r w:rsidRPr="004B104E">
              <w:rPr>
                <w:b/>
                <w:i/>
              </w:rPr>
              <w:tab/>
              <w:t>επιλογή της νεκράς ταχύτητας στη μηχανή του σκάφους, προκειμ</w:t>
            </w:r>
            <w:r w:rsidRPr="004B104E">
              <w:rPr>
                <w:b/>
                <w:i/>
              </w:rPr>
              <w:t>ένου να απεμπλακεί ο έλικας, να σταματήσει το σκάφος και να απελευθερωθεί η θαλάσσια χελώνα μακριά από τα εργαλεία εν χρήσει· και</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β)</w:t>
            </w:r>
            <w:r w:rsidRPr="004B104E">
              <w:rPr>
                <w:b/>
                <w:i/>
              </w:rPr>
              <w:tab/>
              <w:t xml:space="preserve">διαπίστωση ότι η θαλάσσια χελώνα διαθέτει ασφαλή απόσταση από το σκάφος πριν από την επανεμπλοκή του έλικα και τη </w:t>
            </w:r>
            <w:r w:rsidRPr="004B104E">
              <w:rPr>
                <w:b/>
                <w:i/>
              </w:rPr>
              <w:t>συνέχιση των εργασιών.</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8)</w:t>
            </w:r>
            <w:r w:rsidRPr="004B104E">
              <w:rPr>
                <w:b/>
                <w:i/>
              </w:rPr>
              <w:tab/>
              <w:t>Εάν η θαλάσσια χελώνα ανασυρθεί επί του σκάφους και βρίσκεται σε κωματώδη ή αδρανή κατάσταση, επιχειρείται ανάνηψη (παράγραφος 3).</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Ανάνηψη θαλάσσιας χελώνας επί του σκάφους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1)</w:t>
            </w:r>
            <w:r w:rsidRPr="004B104E">
              <w:rPr>
                <w:b/>
                <w:i/>
              </w:rPr>
              <w:tab/>
              <w:t>Κατά τον χειρισμό μιας θαλάσσιας χελώνας, επιχει</w:t>
            </w:r>
            <w:r w:rsidRPr="004B104E">
              <w:rPr>
                <w:b/>
                <w:i/>
              </w:rPr>
              <w:t>ρείται η συγκράτηση του ζώου από το κέλυφος, ενώ αποφεύγεται η περιοχή της κεφαλής και του λαιμού, καθώς και τα πτερύγια.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2)</w:t>
            </w:r>
            <w:r w:rsidRPr="004B104E">
              <w:rPr>
                <w:b/>
                <w:i/>
              </w:rPr>
              <w:tab/>
              <w:t>Καταβάλλεται προσπάθεια να απομακρυνθεί και/ή να απεμπλακεί από τη θαλάσσια χελώνα οποιοδήποτε ξένο σώμα, όπως πλαστικά αντικείμε</w:t>
            </w:r>
            <w:r w:rsidRPr="004B104E">
              <w:rPr>
                <w:b/>
                <w:i/>
              </w:rPr>
              <w:t>να, δίχτυα ή γαντζωμένα αγκίστρια κ.λπ.</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3)</w:t>
            </w:r>
            <w:r w:rsidRPr="004B104E">
              <w:rPr>
                <w:b/>
                <w:i/>
              </w:rPr>
              <w:tab/>
              <w:t>Η θαλάσσια χελώνα τοποθετείται με το κάτω μέρος του κελύφους της (πλάστρο), ώστε να βρίσκεται σε ευθεία θέση, απομονωμένη σε ασφαλές μέρος και ακινητοποιημένη σε μαλακή επιφάνεια, όπως σε ελαστικό αυτοκινήτου χω</w:t>
            </w:r>
            <w:r w:rsidRPr="004B104E">
              <w:rPr>
                <w:b/>
                <w:i/>
              </w:rPr>
              <w:t xml:space="preserve">ρίς ζάντα, μαξιλάρι σκάφους ή σπείρα σχοινιού. Πρωταρχικός σκοπός της </w:t>
            </w:r>
            <w:r w:rsidRPr="004B104E">
              <w:rPr>
                <w:b/>
                <w:i/>
              </w:rPr>
              <w:lastRenderedPageBreak/>
              <w:t>μαλακής επιφάνειας είναι να ανυψωθεί η θαλάσσια χελώνα από το κατάστρωμα ώστε να διευκολυνθεί η συγκράτησή της. Ανυψώνονται τα οπίσθια τεταρτημόρια της τουλάχιστον 6 ίντσες (15 εκατοστά)</w:t>
            </w:r>
            <w:r w:rsidRPr="004B104E">
              <w:rPr>
                <w:b/>
                <w:i/>
              </w:rPr>
              <w:t xml:space="preserve"> για χρονικό διάστημα 4 έως 24 ωρών. Ο βαθμός ανύψωσης εξαρτάται από το μέγεθος της χελώνας· για τις μεγαλύτερες θαλάσσιες χελώνες απαιτείται μεγαλύτερος βαθμός ανύψωσης. Κατά διαστήματα κουνήστε ελαφρώς τη θαλάσσια χελώνα αριστερά προς τα δεξιά και δεξιά </w:t>
            </w:r>
            <w:r w:rsidRPr="004B104E">
              <w:rPr>
                <w:b/>
                <w:i/>
              </w:rPr>
              <w:t>προς τα αριστερά κρατώντας το εξωτερικό άκρο του κελύφους (καύκαλο) και ανυψώνοντας τη μία πλευρά περίπου 3 ίντσες (8 εκατοστά) και στη συνέχεια επαναλάβετε από την άλλη πλευρά. Αγγίξτε ελαφρώς τον οφθαλμό της και τσιμπήστε την ουρά της (δοκιμή αντανακλαστ</w:t>
            </w:r>
            <w:r w:rsidRPr="004B104E">
              <w:rPr>
                <w:b/>
                <w:i/>
              </w:rPr>
              <w:t>ικών) κατά διαστήματα, για να διαπιστώσετε εάν ανταποκρίνεται.</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4)</w:t>
            </w:r>
            <w:r w:rsidRPr="004B104E">
              <w:rPr>
                <w:b/>
                <w:i/>
              </w:rPr>
              <w:tab/>
              <w:t>Οι θαλάσσιες χελώνες που υποβάλλονται σε ανάνηψη πρέπει να βρίσκονται σε σκιερό μέρος και να διατηρούνται υγρές ή ενυδατωμένες, αλλά σε καμία περίπτωση δεν τοποθετούνται σε δεξαμενή με νερ</w:t>
            </w:r>
            <w:r w:rsidRPr="004B104E">
              <w:rPr>
                <w:b/>
                <w:i/>
              </w:rPr>
              <w:t>ό. Η πιο αποτελεσματική μέθοδος για να διατηρείται μια θαλάσσια χελώνα υγρή είναι η τοποθέτηση πετσέτας εμποτισμένης με νερό πάνω στο κεφάλι, το κέλυφος και τα πτερύγια.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5)</w:t>
            </w:r>
            <w:r w:rsidRPr="004B104E">
              <w:rPr>
                <w:b/>
                <w:i/>
              </w:rPr>
              <w:tab/>
              <w:t xml:space="preserve">Οι θαλάσσιες χελώνες που ανακάμπτουν και γίνονται δραστήριες απελευθερώνονται </w:t>
            </w:r>
            <w:r w:rsidRPr="004B104E">
              <w:rPr>
                <w:b/>
                <w:i/>
              </w:rPr>
              <w:t>πάνω από την πρύμνη του σκάφους μόνο όταν δεν χρησιμοποιούνται αλιευτικά εργαλεία (δηλαδή όταν τα εργαλεία δεν ποντίζονται ούτε ρυμουλκούνται ενεργά), όταν το κιβώτιο του κινητήρα βρίσκεται σε νεκρά ταχύτητα και σε περιοχές όπου είναι απίθανο να παγιδευτού</w:t>
            </w:r>
            <w:r w:rsidRPr="004B104E">
              <w:rPr>
                <w:b/>
                <w:i/>
              </w:rPr>
              <w:t>ν ξανά ή να τραυματιστούν από τα σκάφη.</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6)</w:t>
            </w:r>
            <w:r w:rsidRPr="004B104E">
              <w:rPr>
                <w:b/>
                <w:i/>
              </w:rPr>
              <w:tab/>
              <w:t xml:space="preserve">Οι θαλάσσιες χελώνες που δεν ανταποκρίνονται στη δοκιμή αντανακλαστικών ή δεν παρουσιάζουν σημάδια κίνησης εντός 4 ωρών (και έως </w:t>
            </w:r>
            <w:r w:rsidRPr="004B104E">
              <w:rPr>
                <w:b/>
                <w:i/>
              </w:rPr>
              <w:lastRenderedPageBreak/>
              <w:t>24 ώρες, εάν είναι δυνατόν) ρίπτονται στη θάλασσα με τον ίδιο τρόπο όπως οι θαλάσσ</w:t>
            </w:r>
            <w:r w:rsidRPr="004B104E">
              <w:rPr>
                <w:b/>
                <w:i/>
              </w:rPr>
              <w:t>ιες χελώνες που μπορούν να κινηθούν.»</w:t>
            </w:r>
          </w:p>
        </w:tc>
      </w:tr>
    </w:tbl>
    <w:p w:rsidR="00714966" w:rsidRPr="004B104E" w:rsidRDefault="00AB08CD" w:rsidP="00714966">
      <w:pPr>
        <w:pStyle w:val="Olang"/>
      </w:pPr>
      <w:r w:rsidRPr="004B104E">
        <w:lastRenderedPageBreak/>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85</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Παράρτημα</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ΧΧ/2023</w:t>
      </w:r>
      <w:r w:rsidRPr="004B104E">
        <w:rPr>
          <w:rStyle w:val="HideTWBExt"/>
        </w:rPr>
        <w:t>&lt;/DocAmend2&gt;</w:t>
      </w:r>
    </w:p>
    <w:p w:rsidR="00714966" w:rsidRPr="004B104E" w:rsidRDefault="00AB08CD" w:rsidP="00714966">
      <w:r w:rsidRPr="004B104E">
        <w:rPr>
          <w:rStyle w:val="HideTWBExt"/>
        </w:rPr>
        <w:t>&lt;Article2&gt;</w:t>
      </w:r>
      <w:r w:rsidRPr="004B104E">
        <w:t xml:space="preserve">Παράρτημα XV </w:t>
      </w:r>
      <w:r w:rsidRPr="004B104E">
        <w:t>α (νέο)</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Παράρτημα XVα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Διαδικασία σφράγισης των κλωβών μεταφοράς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 xml:space="preserve">Πριν από την τοποθέτηση παρατηρητών σε σκάφος γρι-γρι, σε διάταξη παγίδευσης ή σε ρυμουλκό σκάφος, ο πάροχος που είναι αρμόδιος για το πρόγραμμα </w:t>
            </w:r>
            <w:r w:rsidRPr="004B104E">
              <w:rPr>
                <w:b/>
                <w:i/>
              </w:rPr>
              <w:t>περιφερειακού παρατηρητή παρέχει τουλάχιστον 25 σφραγίδες της ICCAT σε κάθε περιφερειακό παρατηρητή της ICCAT υπό την ευθύνη του και διατηρεί αρχείο με τις σφραγίδες που παρέχονται και χρησιμοποιούνται.</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 xml:space="preserve">Ο πλοίαρχος του σκάφους αλίευσης ή του ρυμουλκού ή </w:t>
            </w:r>
            <w:r w:rsidRPr="004B104E">
              <w:rPr>
                <w:b/>
                <w:i/>
              </w:rPr>
              <w:t>ο αντιπρόσωπός του ή ο αντιπρόσωπος του ιχθυοτροφείου ή της διάταξης παγίδευσης, από τα οποία προέρχεται η δραστηριότητα μεταβίβασης, είναι υπεύθυνος για τη σφράγιση των κλωβών. Για τον σκοπό αυτό, τοποθετούνται τουλάχιστον τρεις σφραγίδες σε κάθε πόρτα το</w:t>
            </w:r>
            <w:r w:rsidRPr="004B104E">
              <w:rPr>
                <w:b/>
                <w:i/>
              </w:rPr>
              <w:t>υ κλωβού, έτσι ώστε να εμποδίζεται το άνοιγμα της πόρτας χωρίς παραβίαση των σφραγίδων.</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Η επιχείρηση σφραγίσματος βιντεοσκοπείται από τον πλοίαρχο του σκάφους αλίευσης ή του ρυμουλκού ή τον αντιπρόσωπό του ή τον αντιπρόσωπο του ιχθυοτροφείου ή της διάταξ</w:t>
            </w:r>
            <w:r w:rsidRPr="004B104E">
              <w:rPr>
                <w:b/>
                <w:i/>
              </w:rPr>
              <w:t xml:space="preserve">ης </w:t>
            </w:r>
            <w:r w:rsidRPr="004B104E">
              <w:rPr>
                <w:b/>
                <w:i/>
              </w:rPr>
              <w:lastRenderedPageBreak/>
              <w:t>παγίδευσης, από τα οποία προέρχεται η δραστηριότητα μεταβίβασης, και επιτρέπει την αναγνώριση των σφραγίδων και την επαλήθευση της ορθής τοποθέτησής τους. Το βίντεο συμμορφώνεται με την παράγραφο 1 στοιχεία α), β) και γ) του παραρτήματος Χ. Το σχετικό β</w:t>
            </w:r>
            <w:r w:rsidRPr="004B104E">
              <w:rPr>
                <w:b/>
                <w:i/>
              </w:rPr>
              <w:t>ίντεο συνοδεύει τους ιχθύες έως το ιχθυοτροφείο προορισμού. Διατηρείται αντίγραφο επί του παραδιδόμενου σκάφους ή από τη διάταξη παγίδευσης και παραμένει προσβάσιμο για λόγους ελέγχου οποιαδήποτε στιγμή κατά τη διάρκεια της αλιευτικής εκστρατείας. Αντίγραφ</w:t>
            </w:r>
            <w:r w:rsidRPr="004B104E">
              <w:rPr>
                <w:b/>
                <w:i/>
              </w:rPr>
              <w:t>ο του βίντεο διατίθεται στον περιφερειακό παρατηρητή της ICCAT επί του σκάφους γρι-γρι ή στη διάταξη παγίδευσης ή στον εθνικό παρατηρητή του παραλαμβάνοντος ρυμουλκού, προς διαβίβαση στην αρμόδια αρχή του ΣΜΣ ή στον περιφερειακό παρατηρητή που παρίσταται κ</w:t>
            </w:r>
            <w:r w:rsidRPr="004B104E">
              <w:rPr>
                <w:b/>
                <w:i/>
              </w:rPr>
              <w:t>ατά την επακόλουθη μεταβίβαση ελέγχου.</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Το βίντεο της επακόλουθης μεταβίβασης ελέγχου περιλαμβάνει την επιχείρηση αποσφράγισης, η οποία πραγματοποιείται με τρόπο που επιτρέπει την αναγνώριση των σφραγίδων και την επαλήθευση της μη παραβίασής τους.</w:t>
            </w:r>
          </w:p>
        </w:tc>
      </w:tr>
    </w:tbl>
    <w:p w:rsidR="00714966" w:rsidRPr="004B104E" w:rsidRDefault="00AB08CD" w:rsidP="00714966">
      <w:pPr>
        <w:pStyle w:val="Olang"/>
      </w:pPr>
      <w:r w:rsidRPr="004B104E">
        <w:t xml:space="preserve">Or. </w:t>
      </w:r>
      <w:r w:rsidRPr="004B104E">
        <w:rPr>
          <w:rStyle w:val="HideTWBExt"/>
          <w:noProof w:val="0"/>
        </w:rPr>
        <w:t>&lt;O</w:t>
      </w:r>
      <w:r w:rsidRPr="004B104E">
        <w:rPr>
          <w:rStyle w:val="HideTWBExt"/>
          <w:noProof w:val="0"/>
        </w:rPr>
        <w:t>riginal&gt;</w:t>
      </w:r>
      <w:r w:rsidRPr="004B104E">
        <w:rPr>
          <w:rStyle w:val="HideTWBInt"/>
        </w:rPr>
        <w:t>{EN}</w:t>
      </w:r>
      <w:r w:rsidRPr="004B104E">
        <w:t>en</w:t>
      </w:r>
      <w:r w:rsidRPr="004B104E">
        <w:rPr>
          <w:rStyle w:val="HideTWBExt"/>
          <w:noProof w:val="0"/>
        </w:rPr>
        <w:t>&lt;/Original&gt;</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86</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Παράρτημα</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ΧΧ/2023</w:t>
      </w:r>
      <w:r w:rsidRPr="004B104E">
        <w:rPr>
          <w:rStyle w:val="HideTWBExt"/>
        </w:rPr>
        <w:t>&lt;/DocAmend2&gt;</w:t>
      </w:r>
    </w:p>
    <w:p w:rsidR="00714966" w:rsidRPr="004B104E" w:rsidRDefault="00AB08CD" w:rsidP="00714966">
      <w:r w:rsidRPr="004B104E">
        <w:rPr>
          <w:rStyle w:val="HideTWBExt"/>
        </w:rPr>
        <w:t>&lt;Article2&gt;</w:t>
      </w:r>
      <w:r w:rsidRPr="004B104E">
        <w:t>Παράρτημα XV β (νέο)</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Παράρτημα XVβ</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Υπόδειγμα δήλωσης μεταποίησης και δήλωσης εξαλίευσης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Μεταποίηση / Εξαλίευση (να κυκλωθεί ένα εκ των δύο)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Ημερομηνία εξαλίευσης (η/μ/ε): / /</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Ιχθυοτροφείο / Διάταξη παγίδευσης (να κυκλωθεί ένα εκ των δύο):</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Αριθμός κλωβών:</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Αριθμός εξαλιευμένων ιχθύων:</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Βάρος του ζώντος ερυθρού τόνου που εξαλιεύθηκε σε kg:</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Bάρος του μεταποιημένου ερυθρού τόνου που εξαλιεύθηκε σε kg:</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Αριθμός eBCD που σχετίζεται με τον ερυθρό τόνο που εξαλιεύθηκε:</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 xml:space="preserve">Λεπτομέρειες σχετικά με τα βοηθητικά </w:t>
            </w:r>
            <w:r w:rsidRPr="004B104E">
              <w:rPr>
                <w:b/>
                <w:i/>
              </w:rPr>
              <w:t>σκάφη που συμμετέχουν στις εργασίες: Ονομασία: Σημαία: Αριθμός καταχώρισης ICCAT:</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Προορισμός του εξαλιευμένου τόνου (εξαγωγή, τοπική αγορά ή άλλο) (να κυκλωθεί μία επιλογή) Σε περίπτωση άλλου, διευκρινίστε:</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Επικύρωση από τον περιφερειακό παρατηρητή της</w:t>
            </w:r>
            <w:r w:rsidRPr="004B104E">
              <w:rPr>
                <w:b/>
                <w:i/>
              </w:rPr>
              <w:t xml:space="preserve"> ICCAT ή τον παρατηρητή ΣΜΣ, κατά περίπτωση: Παρατηρητής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Ονομασία: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Αριθ. ICCAT:</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Υπογραφή:</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r w:rsidRPr="004B104E">
        <w:rPr>
          <w:rStyle w:val="HideTWBExt"/>
        </w:rPr>
        <w:t>&lt;/Amend&gt;</w:t>
      </w:r>
    </w:p>
    <w:p w:rsidR="00714966" w:rsidRPr="004B104E" w:rsidRDefault="00AB08CD" w:rsidP="00714966">
      <w:pPr>
        <w:pStyle w:val="AMNumberTabs0"/>
        <w:keepNext/>
      </w:pPr>
      <w:r w:rsidRPr="004B104E">
        <w:rPr>
          <w:rStyle w:val="HideTWBExt"/>
        </w:rPr>
        <w:t>&lt;Amend&gt;</w:t>
      </w:r>
      <w:r w:rsidRPr="004B104E">
        <w:t>Τροπολογία</w:t>
      </w:r>
      <w:r w:rsidRPr="004B104E">
        <w:tab/>
      </w:r>
      <w:r w:rsidRPr="004B104E">
        <w:tab/>
      </w:r>
      <w:r w:rsidRPr="004B104E">
        <w:rPr>
          <w:rStyle w:val="HideTWBExt"/>
        </w:rPr>
        <w:t>&lt;NumAm&gt;</w:t>
      </w:r>
      <w:r w:rsidRPr="004B104E">
        <w:t>87</w:t>
      </w:r>
      <w:r w:rsidRPr="004B104E">
        <w:rPr>
          <w:rStyle w:val="HideTWBExt"/>
        </w:rPr>
        <w:t>&lt;/NumAm&gt;</w:t>
      </w:r>
    </w:p>
    <w:p w:rsidR="00714966" w:rsidRPr="004B104E" w:rsidRDefault="00AB08CD" w:rsidP="00714966">
      <w:pPr>
        <w:pStyle w:val="NormalBold12b"/>
        <w:keepNext/>
      </w:pPr>
      <w:r w:rsidRPr="004B104E">
        <w:rPr>
          <w:rStyle w:val="HideTWBExt"/>
        </w:rPr>
        <w:t>&lt;DocAmend&gt;</w:t>
      </w:r>
      <w:r w:rsidRPr="004B104E">
        <w:t>Πρόταση κανονισμού</w:t>
      </w:r>
      <w:r w:rsidRPr="004B104E">
        <w:rPr>
          <w:rStyle w:val="HideTWBExt"/>
        </w:rPr>
        <w:t>&lt;/DocAmend&gt;</w:t>
      </w:r>
    </w:p>
    <w:p w:rsidR="00714966" w:rsidRPr="004B104E" w:rsidRDefault="00AB08CD" w:rsidP="00714966">
      <w:pPr>
        <w:pStyle w:val="NormalBold"/>
      </w:pPr>
      <w:r w:rsidRPr="004B104E">
        <w:rPr>
          <w:rStyle w:val="HideTWBExt"/>
        </w:rPr>
        <w:t>&lt;Article&gt;</w:t>
      </w:r>
      <w:r w:rsidRPr="004B104E">
        <w:t>Παράρτημα</w:t>
      </w:r>
      <w:r w:rsidRPr="004B104E">
        <w:rPr>
          <w:rStyle w:val="HideTWBExt"/>
        </w:rPr>
        <w:t>&lt;/Article&gt;</w:t>
      </w:r>
    </w:p>
    <w:p w:rsidR="00714966" w:rsidRPr="004B104E" w:rsidRDefault="00AB08CD" w:rsidP="00714966">
      <w:pPr>
        <w:keepNext/>
      </w:pPr>
      <w:r w:rsidRPr="004B104E">
        <w:rPr>
          <w:rStyle w:val="HideTWBExt"/>
        </w:rPr>
        <w:t>&lt;DocAmend2&gt;</w:t>
      </w:r>
      <w:r w:rsidRPr="004B104E">
        <w:t>Κανονισμός (ΕΕ) ΧΧ/2023</w:t>
      </w:r>
      <w:r w:rsidRPr="004B104E">
        <w:rPr>
          <w:rStyle w:val="HideTWBExt"/>
        </w:rPr>
        <w:t>&lt;/DocAmend2&gt;</w:t>
      </w:r>
    </w:p>
    <w:p w:rsidR="00714966" w:rsidRPr="004B104E" w:rsidRDefault="00AB08CD" w:rsidP="00714966">
      <w:r w:rsidRPr="004B104E">
        <w:rPr>
          <w:rStyle w:val="HideTWBExt"/>
        </w:rPr>
        <w:t>&lt;Article2&gt;</w:t>
      </w:r>
      <w:r w:rsidRPr="004B104E">
        <w:t>Παράρτημα XV γ (νέο)</w:t>
      </w:r>
      <w:r w:rsidRPr="004B104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744" w:rsidRPr="004B104E" w:rsidTr="00714966">
        <w:trPr>
          <w:jc w:val="center"/>
        </w:trPr>
        <w:tc>
          <w:tcPr>
            <w:tcW w:w="9752" w:type="dxa"/>
            <w:gridSpan w:val="2"/>
          </w:tcPr>
          <w:p w:rsidR="00714966" w:rsidRPr="004B104E" w:rsidRDefault="00714966">
            <w:pPr>
              <w:keepNext/>
            </w:pPr>
          </w:p>
        </w:tc>
      </w:tr>
      <w:tr w:rsidR="00B82744" w:rsidRPr="004B104E" w:rsidTr="00714966">
        <w:trPr>
          <w:jc w:val="center"/>
        </w:trPr>
        <w:tc>
          <w:tcPr>
            <w:tcW w:w="4876" w:type="dxa"/>
            <w:hideMark/>
          </w:tcPr>
          <w:p w:rsidR="00714966" w:rsidRPr="004B104E" w:rsidRDefault="00AB08CD">
            <w:pPr>
              <w:pStyle w:val="ColumnHeading"/>
              <w:keepNext/>
            </w:pPr>
            <w:r w:rsidRPr="004B104E">
              <w:t>Ισχύον κείμενο</w:t>
            </w:r>
          </w:p>
        </w:tc>
        <w:tc>
          <w:tcPr>
            <w:tcW w:w="4876" w:type="dxa"/>
            <w:hideMark/>
          </w:tcPr>
          <w:p w:rsidR="00714966" w:rsidRPr="004B104E" w:rsidRDefault="00AB08CD">
            <w:pPr>
              <w:pStyle w:val="ColumnHeading"/>
              <w:keepNext/>
            </w:pPr>
            <w:r w:rsidRPr="004B104E">
              <w:t>Τροπολογία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Παράρτημα XVγ</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Πληροφορίες για την ετήσια δήλωση μεταφοράς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α)</w:t>
            </w:r>
            <w:r w:rsidRPr="004B104E">
              <w:rPr>
                <w:b/>
                <w:i/>
              </w:rPr>
              <w:tab/>
              <w:t>Κράτος μέλος σημαίας·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β)</w:t>
            </w:r>
            <w:r w:rsidRPr="004B104E">
              <w:rPr>
                <w:b/>
                <w:i/>
              </w:rPr>
              <w:tab/>
              <w:t>όνομα και αριθμός ICCAT του ιχθυοτροφείου·</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γ)</w:t>
            </w:r>
            <w:r w:rsidRPr="004B104E">
              <w:rPr>
                <w:b/>
                <w:i/>
              </w:rPr>
              <w:tab/>
              <w:t xml:space="preserve">έτος </w:t>
            </w:r>
            <w:r w:rsidRPr="004B104E">
              <w:rPr>
                <w:b/>
                <w:i/>
              </w:rPr>
              <w:t>αλίευσης·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δ)</w:t>
            </w:r>
            <w:r w:rsidRPr="004B104E">
              <w:rPr>
                <w:b/>
                <w:i/>
              </w:rPr>
              <w:tab/>
              <w:t>στοιχεία αναφοράς του eBCD που αντιστοιχούν στα μεταφερθέντα αλιεύματα·</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ε)</w:t>
            </w:r>
            <w:r w:rsidRPr="004B104E">
              <w:rPr>
                <w:b/>
                <w:i/>
              </w:rPr>
              <w:tab/>
              <w:t>αριθμός κλωβών·</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στ)</w:t>
            </w:r>
            <w:r w:rsidRPr="004B104E">
              <w:rPr>
                <w:b/>
                <w:i/>
              </w:rPr>
              <w:tab/>
              <w:t>ποσότητες (εκπεφρασμένες σε kg) και αριθμός των ιχθύων που αποτελούν αντικείμενο μεταφοράς,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ζ)</w:t>
            </w:r>
            <w:r w:rsidRPr="004B104E">
              <w:rPr>
                <w:b/>
                <w:i/>
              </w:rPr>
              <w:tab/>
              <w:t>μέσο βάρος·</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η)</w:t>
            </w:r>
            <w:r w:rsidRPr="004B104E">
              <w:rPr>
                <w:b/>
                <w:i/>
              </w:rPr>
              <w:tab/>
              <w:t xml:space="preserve">πληροφορίες για καθεμία από </w:t>
            </w:r>
            <w:r w:rsidRPr="004B104E">
              <w:rPr>
                <w:b/>
                <w:i/>
              </w:rPr>
              <w:t>τις εργασίες αξιολόγησης μεταφοράς: ημερομηνία και αριθμός κλωβών·</w:t>
            </w:r>
          </w:p>
        </w:tc>
      </w:tr>
      <w:tr w:rsidR="00B82744" w:rsidRPr="004B104E" w:rsidTr="00714966">
        <w:trPr>
          <w:jc w:val="center"/>
        </w:trPr>
        <w:tc>
          <w:tcPr>
            <w:tcW w:w="4876" w:type="dxa"/>
          </w:tcPr>
          <w:p w:rsidR="00714966" w:rsidRPr="004B104E" w:rsidRDefault="00714966">
            <w:pPr>
              <w:pStyle w:val="Normal6"/>
            </w:pPr>
          </w:p>
        </w:tc>
        <w:tc>
          <w:tcPr>
            <w:tcW w:w="4876" w:type="dxa"/>
            <w:hideMark/>
          </w:tcPr>
          <w:p w:rsidR="00714966" w:rsidRPr="004B104E" w:rsidRDefault="00AB08CD">
            <w:pPr>
              <w:pStyle w:val="Normal6"/>
              <w:rPr>
                <w:szCs w:val="24"/>
              </w:rPr>
            </w:pPr>
            <w:r w:rsidRPr="004B104E">
              <w:rPr>
                <w:b/>
                <w:i/>
              </w:rPr>
              <w:t>i)</w:t>
            </w:r>
            <w:r w:rsidRPr="004B104E">
              <w:rPr>
                <w:b/>
                <w:i/>
              </w:rPr>
              <w:tab/>
              <w:t>πληροφορίες σχετικά με προηγούμενες μεταβιβάσεις εντός ιχθυοτροφείων, κατά περίπτωση.</w:t>
            </w:r>
          </w:p>
        </w:tc>
      </w:tr>
    </w:tbl>
    <w:p w:rsidR="00714966" w:rsidRPr="004B104E" w:rsidRDefault="00AB08CD" w:rsidP="00714966">
      <w:pPr>
        <w:pStyle w:val="Olang"/>
      </w:pPr>
      <w:r w:rsidRPr="004B104E">
        <w:t xml:space="preserve">Or. </w:t>
      </w:r>
      <w:r w:rsidRPr="004B104E">
        <w:rPr>
          <w:rStyle w:val="HideTWBExt"/>
          <w:noProof w:val="0"/>
        </w:rPr>
        <w:t>&lt;Original&gt;</w:t>
      </w:r>
      <w:r w:rsidRPr="004B104E">
        <w:rPr>
          <w:rStyle w:val="HideTWBInt"/>
        </w:rPr>
        <w:t>{EN}</w:t>
      </w:r>
      <w:r w:rsidRPr="004B104E">
        <w:t>en</w:t>
      </w:r>
      <w:r w:rsidRPr="004B104E">
        <w:rPr>
          <w:rStyle w:val="HideTWBExt"/>
          <w:noProof w:val="0"/>
        </w:rPr>
        <w:t>&lt;/Original&gt;</w:t>
      </w:r>
    </w:p>
    <w:p w:rsidR="00714966" w:rsidRPr="004B104E" w:rsidRDefault="00AB08CD" w:rsidP="00714966">
      <w:r w:rsidRPr="004B104E">
        <w:rPr>
          <w:rStyle w:val="HideTWBExt"/>
        </w:rPr>
        <w:t>&lt;/Amend&gt;&lt;/RepeatBlock-Amend&gt;</w:t>
      </w:r>
    </w:p>
    <w:p w:rsidR="00714966" w:rsidRPr="004B104E" w:rsidRDefault="00714966" w:rsidP="00714966"/>
    <w:p w:rsidR="00714966" w:rsidRPr="004B104E" w:rsidRDefault="00714966" w:rsidP="00714966"/>
    <w:p w:rsidR="00714966" w:rsidRPr="004B104E" w:rsidRDefault="00AB08CD" w:rsidP="00714966">
      <w:pPr>
        <w:widowControl/>
      </w:pPr>
      <w:r w:rsidRPr="004B104E">
        <w:br w:type="page"/>
      </w:r>
    </w:p>
    <w:p w:rsidR="00714966" w:rsidRPr="004B104E" w:rsidRDefault="00AB08CD" w:rsidP="00714966">
      <w:pPr>
        <w:pStyle w:val="PageHeading"/>
      </w:pPr>
      <w:bookmarkStart w:id="2" w:name="_Toc140763170"/>
      <w:bookmarkStart w:id="3" w:name="_Toc145335883"/>
      <w:r w:rsidRPr="004B104E">
        <w:lastRenderedPageBreak/>
        <w:t>ΑΙΤΙΟΛΟΓΙΚΗ ΕΚΘΕΣΗ</w:t>
      </w:r>
      <w:bookmarkEnd w:id="2"/>
      <w:bookmarkEnd w:id="3"/>
    </w:p>
    <w:p w:rsidR="00714966" w:rsidRPr="004B104E" w:rsidRDefault="00AB08CD" w:rsidP="00714966">
      <w:pPr>
        <w:tabs>
          <w:tab w:val="left" w:pos="3855"/>
        </w:tabs>
        <w:rPr>
          <w:b/>
        </w:rPr>
      </w:pPr>
      <w:r w:rsidRPr="004B104E">
        <w:rPr>
          <w:b/>
        </w:rPr>
        <w:t>ΙΣΤΟΡΙΚΟ</w:t>
      </w:r>
    </w:p>
    <w:p w:rsidR="00714966" w:rsidRPr="004B104E" w:rsidRDefault="00714966" w:rsidP="00714966">
      <w:pPr>
        <w:tabs>
          <w:tab w:val="left" w:pos="3855"/>
        </w:tabs>
      </w:pPr>
    </w:p>
    <w:p w:rsidR="00714966" w:rsidRPr="004B104E" w:rsidRDefault="00AB08CD"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4B104E">
        <w:rPr>
          <w:rFonts w:ascii="inherit" w:hAnsi="inherit"/>
          <w:color w:val="000000"/>
          <w:bdr w:val="none" w:sz="0" w:space="0" w:color="auto" w:frame="1"/>
        </w:rPr>
        <w:t>Η σ</w:t>
      </w:r>
      <w:r w:rsidRPr="004B104E">
        <w:rPr>
          <w:rFonts w:ascii="inherit" w:hAnsi="inherit"/>
          <w:color w:val="000000"/>
          <w:bdr w:val="none" w:sz="0" w:space="0" w:color="auto" w:frame="1"/>
        </w:rPr>
        <w:t>ύμβαση ICCAT προβλέπει το πλαίσιο για την περιφερειακή συνεργασία στον τομέα της διατήρησης και διαχείρισης των θυννοειδών και των συγγενών ειδών του Ατλαντικού Ωκεανού και των παρακείμενων θαλασσών, μέσω της ίδρυσης μιας Διεθνούς Επιτροπής για τη Διατήρησ</w:t>
      </w:r>
      <w:r w:rsidRPr="004B104E">
        <w:rPr>
          <w:rFonts w:ascii="inherit" w:hAnsi="inherit"/>
          <w:color w:val="000000"/>
          <w:bdr w:val="none" w:sz="0" w:space="0" w:color="auto" w:frame="1"/>
        </w:rPr>
        <w:t>η των Θυννοειδών του Ατλαντικού («ICCAT»).</w:t>
      </w:r>
    </w:p>
    <w:p w:rsidR="00714966" w:rsidRPr="004B104E" w:rsidRDefault="00714966"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714966" w:rsidRPr="004B104E" w:rsidRDefault="00AB08CD"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4B104E">
        <w:rPr>
          <w:rFonts w:ascii="inherit" w:hAnsi="inherit"/>
          <w:color w:val="000000"/>
          <w:bdr w:val="none" w:sz="0" w:space="0" w:color="auto" w:frame="1"/>
        </w:rPr>
        <w:t xml:space="preserve">Στόχος της κοινής αλιευτικής πολιτικής (ΚΑΠ), όπως ορίζεται στον </w:t>
      </w:r>
      <w:hyperlink r:id="rId9" w:history="1">
        <w:r w:rsidRPr="004B104E">
          <w:rPr>
            <w:rStyle w:val="Hyperlink"/>
            <w:rFonts w:ascii="inherit" w:hAnsi="inherit"/>
            <w:color w:val="000000"/>
            <w:bdr w:val="none" w:sz="0" w:space="0" w:color="auto" w:frame="1"/>
          </w:rPr>
          <w:t xml:space="preserve">κανονισμό (ΕΕ) αριθ. 1380/2013 του </w:t>
        </w:r>
        <w:r w:rsidRPr="004B104E">
          <w:rPr>
            <w:rStyle w:val="Hyperlink"/>
            <w:rFonts w:ascii="inherit" w:hAnsi="inherit"/>
            <w:color w:val="000000"/>
            <w:bdr w:val="none" w:sz="0" w:space="0" w:color="auto" w:frame="1"/>
          </w:rPr>
          <w:t>Ευρωπαϊκού Κοινοβουλίου και του Συμβουλίου</w:t>
        </w:r>
      </w:hyperlink>
      <w:r w:rsidRPr="004B104E">
        <w:rPr>
          <w:rFonts w:ascii="inherit" w:hAnsi="inherit"/>
          <w:color w:val="000000"/>
          <w:bdr w:val="none" w:sz="0" w:space="0" w:color="auto" w:frame="1"/>
        </w:rPr>
        <w:t>, είναι να διασφαλίζει την εκμετάλλευση των θαλάσσιων βιολογικών πόρων κατά τρόπο που να παρέχει μακροπρόθεσμη περιβαλλοντική, οικονομική και κοινωνική βιωσιμότητα. Η Ευρωπαϊκή Ένωση είναι συμβαλλόμενο μέρος στη δι</w:t>
      </w:r>
      <w:r w:rsidRPr="004B104E">
        <w:rPr>
          <w:rFonts w:ascii="inherit" w:hAnsi="inherit"/>
          <w:color w:val="000000"/>
          <w:bdr w:val="none" w:sz="0" w:space="0" w:color="auto" w:frame="1"/>
        </w:rPr>
        <w:t>εθνή σύμβαση της Διεθνούς Επιτροπής για τη Διατήρηση των Θυννοειδών του Ατλαντικού («σύμβαση ICCAT») από τις 14 Νοεμβρίου 1997.</w:t>
      </w:r>
    </w:p>
    <w:p w:rsidR="00714966" w:rsidRPr="004B104E" w:rsidRDefault="00714966"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714966" w:rsidRPr="004B104E" w:rsidRDefault="00AB08CD"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4B104E">
        <w:rPr>
          <w:rFonts w:ascii="inherit" w:hAnsi="inherit"/>
          <w:color w:val="000000"/>
          <w:bdr w:val="none" w:sz="0" w:space="0" w:color="auto" w:frame="1"/>
        </w:rPr>
        <w:t xml:space="preserve">Η ICCAT έχει την εξουσία να εγκρίνει δεσμευτικές συστάσεις για τη διατήρηση και τη διαχείριση της αλιείας που εμπίπτει στην </w:t>
      </w:r>
      <w:r w:rsidRPr="004B104E">
        <w:rPr>
          <w:rFonts w:ascii="inherit" w:hAnsi="inherit"/>
          <w:color w:val="000000"/>
          <w:bdr w:val="none" w:sz="0" w:space="0" w:color="auto" w:frame="1"/>
        </w:rPr>
        <w:t>αρμοδιότητά της. Οι εν λόγω πράξεις απευθύνονται ουσιαστικά στα συμβαλλόμενα μέρη της ICCAT, αλλά μπορεί να περιλαμβάνουν και υποχρεώσεις για τους εκάστοτε διαχειριστές (π.χ. για τον πλοίαρχο του εκάστοτε σκάφους). Οι συστάσεις της ICCAT αρχίζουν να ισχύου</w:t>
      </w:r>
      <w:r w:rsidRPr="004B104E">
        <w:rPr>
          <w:rFonts w:ascii="inherit" w:hAnsi="inherit"/>
          <w:color w:val="000000"/>
          <w:bdr w:val="none" w:sz="0" w:space="0" w:color="auto" w:frame="1"/>
        </w:rPr>
        <w:t>ν έξι μήνες μετά την έκδοσή τους και, σε ό,τι αφορά την ΕΕ, θα πρέπει να ενσωματώνονται στο δίκαιο της Ευρωπαϊκής Ένωσης.</w:t>
      </w:r>
    </w:p>
    <w:p w:rsidR="00714966" w:rsidRPr="004B104E" w:rsidRDefault="00714966"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714966" w:rsidRPr="004B104E" w:rsidRDefault="00714966"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714966" w:rsidRPr="004B104E" w:rsidRDefault="00AB08CD" w:rsidP="00714966">
      <w:pPr>
        <w:pStyle w:val="Normal1"/>
        <w:shd w:val="clear" w:color="auto" w:fill="FFFFFF"/>
        <w:spacing w:before="0" w:beforeAutospacing="0" w:after="0" w:afterAutospacing="0"/>
        <w:jc w:val="both"/>
        <w:textAlignment w:val="baseline"/>
        <w:rPr>
          <w:rFonts w:ascii="inherit" w:hAnsi="inherit"/>
          <w:b/>
          <w:color w:val="000000"/>
          <w:bdr w:val="none" w:sz="0" w:space="0" w:color="auto" w:frame="1"/>
        </w:rPr>
      </w:pPr>
      <w:r w:rsidRPr="004B104E">
        <w:rPr>
          <w:rFonts w:ascii="inherit" w:hAnsi="inherit"/>
          <w:b/>
          <w:color w:val="000000"/>
          <w:bdr w:val="none" w:sz="0" w:space="0" w:color="auto" w:frame="1"/>
        </w:rPr>
        <w:t xml:space="preserve">ΠΕΡΙΕΧΟΜΕΝΟ ΤΗΣ ΠΡΟΤΑΣΗΣ </w:t>
      </w:r>
    </w:p>
    <w:p w:rsidR="00714966" w:rsidRPr="004B104E" w:rsidRDefault="00714966"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714966" w:rsidRPr="004B104E" w:rsidRDefault="00AB08CD"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4B104E">
        <w:rPr>
          <w:rFonts w:ascii="inherit" w:hAnsi="inherit"/>
          <w:color w:val="000000"/>
          <w:bdr w:val="none" w:sz="0" w:space="0" w:color="auto" w:frame="1"/>
        </w:rPr>
        <w:t>Η πρόταση περιέχει σειρά διατάξεων που καλύπτουν τις συστάσεις της ICCAT, οι οποίες τροποποιούν τον κανον</w:t>
      </w:r>
      <w:r w:rsidRPr="004B104E">
        <w:rPr>
          <w:rFonts w:ascii="inherit" w:hAnsi="inherit"/>
          <w:color w:val="000000"/>
          <w:bdr w:val="none" w:sz="0" w:space="0" w:color="auto" w:frame="1"/>
        </w:rPr>
        <w:t xml:space="preserve">ισμό (ΕΕ) 2017/2107, μεταξύ των οποίων τα ακόλουθα: </w:t>
      </w:r>
    </w:p>
    <w:p w:rsidR="00714966" w:rsidRPr="004B104E" w:rsidRDefault="00AB08CD" w:rsidP="00714966">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4B104E">
        <w:rPr>
          <w:rFonts w:ascii="Symbol" w:hAnsi="Symbol"/>
          <w:color w:val="000000"/>
          <w:bdr w:val="none" w:sz="0" w:space="0" w:color="auto" w:frame="1"/>
        </w:rPr>
        <w:sym w:font="Symbol" w:char="F0B7"/>
      </w:r>
      <w:r w:rsidRPr="004B104E">
        <w:rPr>
          <w:rFonts w:ascii="Symbol" w:hAnsi="Symbol"/>
          <w:color w:val="000000"/>
          <w:bdr w:val="none" w:sz="0" w:space="0" w:color="auto" w:frame="1"/>
        </w:rPr>
        <w:tab/>
      </w:r>
      <w:r w:rsidRPr="004B104E">
        <w:rPr>
          <w:rFonts w:ascii="inherit" w:hAnsi="inherit"/>
          <w:color w:val="000000"/>
          <w:bdr w:val="none" w:sz="0" w:space="0" w:color="auto" w:frame="1"/>
        </w:rPr>
        <w:t>τους ορισμούς των σκαφών υποστήριξης και των διατάξεων συγκέντρωσης ιχθύων, της πόντισης με διάταξη συγκέντρωσης ιχθύων (ΔΣΙ), του πλωτού αντικειμένου και του λειτουργικού σημαντήρα, σύμφωνα με τη σύστ</w:t>
      </w:r>
      <w:r w:rsidRPr="004B104E">
        <w:rPr>
          <w:rFonts w:ascii="inherit" w:hAnsi="inherit"/>
          <w:color w:val="000000"/>
          <w:bdr w:val="none" w:sz="0" w:space="0" w:color="auto" w:frame="1"/>
        </w:rPr>
        <w:t xml:space="preserve">αση 19-02 της ICCAT· </w:t>
      </w:r>
    </w:p>
    <w:p w:rsidR="00714966" w:rsidRPr="004B104E" w:rsidRDefault="00AB08CD" w:rsidP="00714966">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4B104E">
        <w:rPr>
          <w:rFonts w:ascii="Symbol" w:hAnsi="Symbol"/>
          <w:color w:val="000000"/>
          <w:bdr w:val="none" w:sz="0" w:space="0" w:color="auto" w:frame="1"/>
        </w:rPr>
        <w:sym w:font="Symbol" w:char="F0B7"/>
      </w:r>
      <w:r w:rsidRPr="004B104E">
        <w:rPr>
          <w:rFonts w:ascii="Symbol" w:hAnsi="Symbol"/>
          <w:color w:val="000000"/>
          <w:bdr w:val="none" w:sz="0" w:space="0" w:color="auto" w:frame="1"/>
        </w:rPr>
        <w:tab/>
      </w:r>
      <w:r w:rsidRPr="004B104E">
        <w:rPr>
          <w:rFonts w:ascii="inherit" w:hAnsi="inherit"/>
          <w:color w:val="000000"/>
          <w:bdr w:val="none" w:sz="0" w:space="0" w:color="auto" w:frame="1"/>
        </w:rPr>
        <w:t xml:space="preserve">για τους περιορισμούς όσον αφορά την αλιευτική ικανότητα του τροπικού τόνου και την απαγόρευση απορρίψεων από σκάφη γρι-γρι που πρέπει να ενσωματωθούν στο δίκαιο της Ένωσης σύμφωνα με τη σύσταση 17-01 της ICCAT· </w:t>
      </w:r>
    </w:p>
    <w:p w:rsidR="00714966" w:rsidRPr="004B104E" w:rsidRDefault="00AB08CD" w:rsidP="00714966">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4B104E">
        <w:rPr>
          <w:rFonts w:ascii="Symbol" w:hAnsi="Symbol"/>
          <w:color w:val="000000"/>
          <w:bdr w:val="none" w:sz="0" w:space="0" w:color="auto" w:frame="1"/>
        </w:rPr>
        <w:sym w:font="Symbol" w:char="F0B7"/>
      </w:r>
      <w:r w:rsidRPr="004B104E">
        <w:rPr>
          <w:rFonts w:ascii="Symbol" w:hAnsi="Symbol"/>
          <w:color w:val="000000"/>
          <w:bdr w:val="none" w:sz="0" w:space="0" w:color="auto" w:frame="1"/>
        </w:rPr>
        <w:tab/>
      </w:r>
      <w:r w:rsidRPr="004B104E">
        <w:rPr>
          <w:rFonts w:ascii="inherit" w:hAnsi="inherit"/>
          <w:color w:val="000000"/>
          <w:bdr w:val="none" w:sz="0" w:space="0" w:color="auto" w:frame="1"/>
        </w:rPr>
        <w:t>νέες διατάξεις γι</w:t>
      </w:r>
      <w:r w:rsidRPr="004B104E">
        <w:rPr>
          <w:rFonts w:ascii="inherit" w:hAnsi="inherit"/>
          <w:color w:val="000000"/>
          <w:bdr w:val="none" w:sz="0" w:space="0" w:color="auto" w:frame="1"/>
        </w:rPr>
        <w:t xml:space="preserve">α την τοποθέτηση ΔΣΙ και την παρουσία παρατηρητών, σύμφωνα με τη σύσταση 19-02 της ICCAT· </w:t>
      </w:r>
    </w:p>
    <w:p w:rsidR="00714966" w:rsidRPr="004B104E" w:rsidRDefault="00AB08CD" w:rsidP="00714966">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4B104E">
        <w:rPr>
          <w:rFonts w:ascii="Symbol" w:hAnsi="Symbol"/>
          <w:color w:val="000000"/>
          <w:bdr w:val="none" w:sz="0" w:space="0" w:color="auto" w:frame="1"/>
        </w:rPr>
        <w:sym w:font="Symbol" w:char="F0B7"/>
      </w:r>
      <w:r w:rsidRPr="004B104E">
        <w:rPr>
          <w:rFonts w:ascii="Symbol" w:hAnsi="Symbol"/>
          <w:color w:val="000000"/>
          <w:bdr w:val="none" w:sz="0" w:space="0" w:color="auto" w:frame="1"/>
        </w:rPr>
        <w:tab/>
      </w:r>
      <w:r w:rsidRPr="004B104E">
        <w:rPr>
          <w:rFonts w:ascii="inherit" w:hAnsi="inherit"/>
          <w:color w:val="000000"/>
          <w:bdr w:val="none" w:sz="0" w:space="0" w:color="auto" w:frame="1"/>
        </w:rPr>
        <w:t>διατάξεις για τον μακρύπτερο τόνο Βορείου και Νοτίου Ατλαντικού, σύμφωνα με τις συστάσεις 16-06 και 16-07 της ICCAT, συμπεριλαμβανομένων των διατάξεων για τη μεταφ</w:t>
      </w:r>
      <w:r w:rsidRPr="004B104E">
        <w:rPr>
          <w:rFonts w:ascii="inherit" w:hAnsi="inherit"/>
          <w:color w:val="000000"/>
          <w:bdr w:val="none" w:sz="0" w:space="0" w:color="auto" w:frame="1"/>
        </w:rPr>
        <w:t xml:space="preserve">ορά αχρησιμοποίητων ποσοστώσεων, καθώς και για τη μεταφορά αχρησιμοποίητων ποσοστώσεων για τον ξιφία Βορείου και Νοτίου Ατλαντικού, σύμφωνα με τις συστάσεις 17-02 και 17-03 της ICCAT· </w:t>
      </w:r>
    </w:p>
    <w:p w:rsidR="00714966" w:rsidRPr="004B104E" w:rsidRDefault="00AB08CD" w:rsidP="00714966">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4B104E">
        <w:rPr>
          <w:rFonts w:ascii="Symbol" w:hAnsi="Symbol"/>
          <w:color w:val="000000"/>
          <w:bdr w:val="none" w:sz="0" w:space="0" w:color="auto" w:frame="1"/>
        </w:rPr>
        <w:sym w:font="Symbol" w:char="F0B7"/>
      </w:r>
      <w:r w:rsidRPr="004B104E">
        <w:rPr>
          <w:rFonts w:ascii="Symbol" w:hAnsi="Symbol"/>
          <w:color w:val="000000"/>
          <w:bdr w:val="none" w:sz="0" w:space="0" w:color="auto" w:frame="1"/>
        </w:rPr>
        <w:tab/>
      </w:r>
      <w:r w:rsidRPr="004B104E">
        <w:rPr>
          <w:rFonts w:ascii="inherit" w:hAnsi="inherit"/>
          <w:color w:val="000000"/>
          <w:bdr w:val="none" w:sz="0" w:space="0" w:color="auto" w:frame="1"/>
        </w:rPr>
        <w:t xml:space="preserve">διατάξεις για τη συλλογή δεδομένων για τους ιστιοφόρους (Istiophorus </w:t>
      </w:r>
      <w:r w:rsidRPr="004B104E">
        <w:rPr>
          <w:rFonts w:ascii="inherit" w:hAnsi="inherit"/>
          <w:color w:val="000000"/>
          <w:bdr w:val="none" w:sz="0" w:space="0" w:color="auto" w:frame="1"/>
        </w:rPr>
        <w:t xml:space="preserve">albicans και Istiophoridae) και το μάρλιν, σύμφωνα με τις συστάσεις 16-11, 18-05, 19-05 της ICCAT· </w:t>
      </w:r>
    </w:p>
    <w:p w:rsidR="00714966" w:rsidRPr="004B104E" w:rsidRDefault="00AB08CD" w:rsidP="00714966">
      <w:pPr>
        <w:pStyle w:val="Normal1"/>
        <w:shd w:val="clear" w:color="auto" w:fill="FFFFFF"/>
        <w:spacing w:before="0" w:beforeAutospacing="0" w:after="0" w:afterAutospacing="0"/>
        <w:ind w:left="720" w:hanging="360"/>
        <w:jc w:val="both"/>
        <w:textAlignment w:val="baseline"/>
        <w:rPr>
          <w:rFonts w:ascii="inherit" w:hAnsi="inherit"/>
          <w:color w:val="000000"/>
        </w:rPr>
      </w:pPr>
      <w:r w:rsidRPr="004B104E">
        <w:rPr>
          <w:rFonts w:ascii="Symbol" w:hAnsi="Symbol"/>
          <w:color w:val="000000"/>
        </w:rPr>
        <w:sym w:font="Symbol" w:char="F0B7"/>
      </w:r>
      <w:r w:rsidRPr="004B104E">
        <w:rPr>
          <w:rFonts w:ascii="Symbol" w:hAnsi="Symbol"/>
          <w:color w:val="000000"/>
        </w:rPr>
        <w:tab/>
      </w:r>
      <w:r w:rsidRPr="004B104E">
        <w:rPr>
          <w:rFonts w:ascii="inherit" w:hAnsi="inherit"/>
          <w:color w:val="000000"/>
          <w:bdr w:val="none" w:sz="0" w:space="0" w:color="auto" w:frame="1"/>
        </w:rPr>
        <w:t>διατάξεις για τη μεταφορά αχρησιμοποίητων ποσοστώσεων για τον μεγαλόφθαλμο τόνο, σύμφωνα με τη σύσταση 21-01 της ICCAT·</w:t>
      </w:r>
    </w:p>
    <w:p w:rsidR="00714966" w:rsidRPr="004B104E" w:rsidRDefault="00AB08CD" w:rsidP="00714966">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4B104E">
        <w:rPr>
          <w:rFonts w:ascii="Symbol" w:hAnsi="Symbol"/>
          <w:color w:val="000000"/>
          <w:bdr w:val="none" w:sz="0" w:space="0" w:color="auto" w:frame="1"/>
        </w:rPr>
        <w:lastRenderedPageBreak/>
        <w:sym w:font="Symbol" w:char="F0B7"/>
      </w:r>
      <w:r w:rsidRPr="004B104E">
        <w:rPr>
          <w:rFonts w:ascii="Symbol" w:hAnsi="Symbol"/>
          <w:color w:val="000000"/>
          <w:bdr w:val="none" w:sz="0" w:space="0" w:color="auto" w:frame="1"/>
        </w:rPr>
        <w:tab/>
      </w:r>
      <w:r w:rsidRPr="004B104E">
        <w:rPr>
          <w:rFonts w:ascii="inherit" w:hAnsi="inherit"/>
          <w:color w:val="000000"/>
          <w:bdr w:val="none" w:sz="0" w:space="0" w:color="auto" w:frame="1"/>
        </w:rPr>
        <w:t>όσον αφορά τους καρχαρίες, η πρό</w:t>
      </w:r>
      <w:r w:rsidRPr="004B104E">
        <w:rPr>
          <w:rFonts w:ascii="inherit" w:hAnsi="inherit"/>
          <w:color w:val="000000"/>
          <w:bdr w:val="none" w:sz="0" w:space="0" w:color="auto" w:frame="1"/>
        </w:rPr>
        <w:t>ταση περιέχει επικαιροποιημένες διατάξεις σχετικά με τη συλλογή δεδομένων για τον ρυγχοκαρχαρία και τον καρχαρία, σύμφωνα με τις συστάσεις 19-06, 19-07 και 19-08 της ICCAT. Επιπλέον, σύμφωνα με τις συστάσεις της ICCAT (16-14, 16-15, 18-10, 19-10), η πρότασ</w:t>
      </w:r>
      <w:r w:rsidRPr="004B104E">
        <w:rPr>
          <w:rFonts w:ascii="inherit" w:hAnsi="inherit"/>
          <w:color w:val="000000"/>
          <w:bdr w:val="none" w:sz="0" w:space="0" w:color="auto" w:frame="1"/>
        </w:rPr>
        <w:t>η περιλαμβάνει διατάξεις σχετικά με τη συχνότητα διαβίβασης δεδομένων για τα σκάφη γρι-γρι, νέες διατάξεις σχετικά με το μητρώο της ICCAT για τα σκάφη μεταφοράς, καθώς και τα καθήκοντα των κρατών μελών όσον αφορά την εκτέλεση του περιφερειακού προγράμματος</w:t>
      </w:r>
      <w:r w:rsidRPr="004B104E">
        <w:rPr>
          <w:rFonts w:ascii="inherit" w:hAnsi="inherit"/>
          <w:color w:val="000000"/>
          <w:bdr w:val="none" w:sz="0" w:space="0" w:color="auto" w:frame="1"/>
        </w:rPr>
        <w:t xml:space="preserve"> παρατηρητών της ICCAT, συμπεριλαμβανομένης της ελάχιστης παρουσίας παρατηρητών·</w:t>
      </w:r>
    </w:p>
    <w:p w:rsidR="00714966" w:rsidRPr="004B104E" w:rsidRDefault="00AB08CD" w:rsidP="00714966">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4B104E">
        <w:rPr>
          <w:rFonts w:ascii="Symbol" w:hAnsi="Symbol"/>
          <w:color w:val="000000"/>
          <w:bdr w:val="none" w:sz="0" w:space="0" w:color="auto" w:frame="1"/>
        </w:rPr>
        <w:sym w:font="Symbol" w:char="F0B7"/>
      </w:r>
      <w:r w:rsidRPr="004B104E">
        <w:rPr>
          <w:rFonts w:ascii="Symbol" w:hAnsi="Symbol"/>
          <w:color w:val="000000"/>
          <w:bdr w:val="none" w:sz="0" w:space="0" w:color="auto" w:frame="1"/>
        </w:rPr>
        <w:tab/>
      </w:r>
      <w:r w:rsidRPr="004B104E">
        <w:rPr>
          <w:rFonts w:ascii="inherit" w:hAnsi="inherit"/>
          <w:color w:val="000000"/>
          <w:bdr w:val="none" w:sz="0" w:space="0" w:color="auto" w:frame="1"/>
        </w:rPr>
        <w:t>Η σύσταση 19-02 της ICCAT σχετικά με τις αρμοδιότητες των επιστημονικών παρατηρητών απαιτεί επικαιροποίηση του κανονισμού 2017/2107, συμπεριλαμβανομένης της παρουσίας παρατη</w:t>
      </w:r>
      <w:r w:rsidRPr="004B104E">
        <w:rPr>
          <w:rFonts w:ascii="inherit" w:hAnsi="inherit"/>
          <w:color w:val="000000"/>
          <w:bdr w:val="none" w:sz="0" w:space="0" w:color="auto" w:frame="1"/>
        </w:rPr>
        <w:t>ρητών·</w:t>
      </w:r>
    </w:p>
    <w:p w:rsidR="00714966" w:rsidRPr="004B104E" w:rsidRDefault="00AB08CD" w:rsidP="00714966">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4B104E">
        <w:rPr>
          <w:rFonts w:ascii="Symbol" w:hAnsi="Symbol"/>
          <w:color w:val="000000"/>
          <w:bdr w:val="none" w:sz="0" w:space="0" w:color="auto" w:frame="1"/>
        </w:rPr>
        <w:sym w:font="Symbol" w:char="F0B7"/>
      </w:r>
      <w:r w:rsidRPr="004B104E">
        <w:rPr>
          <w:rFonts w:ascii="Symbol" w:hAnsi="Symbol"/>
          <w:color w:val="000000"/>
          <w:bdr w:val="none" w:sz="0" w:space="0" w:color="auto" w:frame="1"/>
        </w:rPr>
        <w:tab/>
      </w:r>
      <w:r w:rsidRPr="004B104E">
        <w:rPr>
          <w:rFonts w:ascii="inherit" w:hAnsi="inherit"/>
          <w:color w:val="000000"/>
          <w:bdr w:val="none" w:sz="0" w:space="0" w:color="auto" w:frame="1"/>
        </w:rPr>
        <w:t>καθήκοντα σχετικά με την διόπτευση σκαφών σύμφωνα με τη σύσταση 19-09 της ICCAT και ονόματα νέων ειδών που καλύπτονται από την ICCAT για την τροποποίηση του παραρτήματος I του κανονισμού (ΕΕ) 2017/2107 σύμφωνα με τη σύσταση 19-01 της ICCAT·</w:t>
      </w:r>
    </w:p>
    <w:p w:rsidR="00714966" w:rsidRPr="004B104E" w:rsidRDefault="00714966"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714966" w:rsidRPr="004B104E" w:rsidRDefault="00AB08CD"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4B104E">
        <w:rPr>
          <w:rFonts w:ascii="inherit" w:hAnsi="inherit"/>
          <w:color w:val="000000"/>
          <w:bdr w:val="none" w:sz="0" w:space="0" w:color="auto" w:frame="1"/>
        </w:rPr>
        <w:t>Επιπλέον, η πρόταση προτείνει την τροποποίηση του κανονισμού (ΕΕ) XX/2022 σχετικά με το πολυετές σχέδιο για τον ερυθρό τόνο με τη δήλωση των κρατών μελών σχετικά με τις διατάξεις για την ετήσια μεταφορά αχρησιμοποίητων ποσοστώσεων και ορισμένες διατάξεις σ</w:t>
      </w:r>
      <w:r w:rsidRPr="004B104E">
        <w:rPr>
          <w:rFonts w:ascii="inherit" w:hAnsi="inherit"/>
          <w:color w:val="000000"/>
          <w:bdr w:val="none" w:sz="0" w:space="0" w:color="auto" w:frame="1"/>
        </w:rPr>
        <w:t>χετικά με τον εγκλωβισμό, σύμφωνα με τη σύσταση 06-07 της ICCAT, καθώς και την ετήσια μεταφορά αχρησιμοποίητων ποσοστώσεων για τον μεγαλόφθαλμο τόνο σύμφωνα με τη σύσταση 21-01 της ICCAT.</w:t>
      </w:r>
    </w:p>
    <w:p w:rsidR="00714966" w:rsidRPr="004B104E" w:rsidRDefault="00714966" w:rsidP="00714966">
      <w:pPr>
        <w:pStyle w:val="Normal1"/>
        <w:shd w:val="clear" w:color="auto" w:fill="FFFFFF"/>
        <w:spacing w:before="0" w:beforeAutospacing="0" w:after="0" w:afterAutospacing="0"/>
        <w:jc w:val="both"/>
        <w:textAlignment w:val="baseline"/>
        <w:rPr>
          <w:rFonts w:ascii="inherit" w:hAnsi="inherit"/>
          <w:color w:val="000000"/>
        </w:rPr>
      </w:pPr>
    </w:p>
    <w:p w:rsidR="00714966" w:rsidRPr="004B104E" w:rsidRDefault="00AB08CD"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4B104E">
        <w:rPr>
          <w:rFonts w:ascii="inherit" w:hAnsi="inherit"/>
          <w:color w:val="000000"/>
          <w:bdr w:val="none" w:sz="0" w:space="0" w:color="auto" w:frame="1"/>
        </w:rPr>
        <w:t>Η πρόταση προτείνει επίσης την τροποποίηση της εξουσιοδότησης της Ε</w:t>
      </w:r>
      <w:r w:rsidRPr="004B104E">
        <w:rPr>
          <w:rFonts w:ascii="inherit" w:hAnsi="inherit"/>
          <w:color w:val="000000"/>
          <w:bdr w:val="none" w:sz="0" w:space="0" w:color="auto" w:frame="1"/>
        </w:rPr>
        <w:t>πιτροπής για τροποποίηση του κανονισμού (ΕΕ) 2017/2107 κατόπιν μεταγενέστερων αλλαγών που εγκρίθηκαν από την ICCAT όσον αφορά: i) τους περιορισμούς όσον αφορά την αλιευτική ικανότητα του τροπικού τόνου και την υποβολή πληροφοριών στο πλαίσιο του ετήσιου σχ</w:t>
      </w:r>
      <w:r w:rsidRPr="004B104E">
        <w:rPr>
          <w:rFonts w:ascii="inherit" w:hAnsi="inherit"/>
          <w:color w:val="000000"/>
          <w:bdr w:val="none" w:sz="0" w:space="0" w:color="auto" w:frame="1"/>
        </w:rPr>
        <w:t>εδίου αλιευτικής ικανότητάς του· ii) την ετήσια μεταφορά αχρησιμοποίητων ποσοστώσεων για τον μεγαλόφθαλμο τόνο, τον μακρύπτερο τόνο Βορείου και Νοτίου Ατλαντικού και τον ξιφία Βόρειου και Νοτίου Ατλαντικού· iii) τα σχέδια διαχείρισης για τις διατάξεις συγκ</w:t>
      </w:r>
      <w:r w:rsidRPr="004B104E">
        <w:rPr>
          <w:rFonts w:ascii="inherit" w:hAnsi="inherit"/>
          <w:color w:val="000000"/>
          <w:bdr w:val="none" w:sz="0" w:space="0" w:color="auto" w:frame="1"/>
        </w:rPr>
        <w:t>έντρωσης ιχθύων· iv) τον αριθμό των πλωτών μετρητικών σταθμών· v) τις απαιτήσεις ΔΣΙ· vi) τις πληροφορίες που πρέπει να υποβάλλονται σχετικά με τις ΔΣΙ από σκάφη· vii) την απαγόρευση περιόδων ΔΣΙ· viii) τους περιορισμούς σχετικά με τον αριθμό των σκαφών πο</w:t>
      </w:r>
      <w:r w:rsidRPr="004B104E">
        <w:rPr>
          <w:rFonts w:ascii="inherit" w:hAnsi="inherit"/>
          <w:color w:val="000000"/>
          <w:bdr w:val="none" w:sz="0" w:space="0" w:color="auto" w:frame="1"/>
        </w:rPr>
        <w:t>υ αλιεύουν τον μακρύπτερο τόνο Βορείου Ατλαντικού· ix) το σχέδιο διαχείρισης του ξιφία του Βόρειου Ατλαντικού· x) τους όρους για την έγκριση της αλίευσης και της διατήρησης του ρυγχοκαρχαρία· xi) τις απαιτήσεις για τη μεγιστοποίηση της επιβίωσης της θαλάσσ</w:t>
      </w:r>
      <w:r w:rsidRPr="004B104E">
        <w:rPr>
          <w:rFonts w:ascii="inherit" w:hAnsi="inherit"/>
          <w:color w:val="000000"/>
          <w:bdr w:val="none" w:sz="0" w:space="0" w:color="auto" w:frame="1"/>
        </w:rPr>
        <w:t>ιας χελώνας· xii) το ελάχιστο ποσοστό παρουσίας παρατηρητών και τη μέτρηση της ποσοστιαίας κάλυψης· και xiii) τον κατάλογο των ειδών της ICCAT.</w:t>
      </w:r>
    </w:p>
    <w:p w:rsidR="00714966" w:rsidRPr="004B104E" w:rsidRDefault="00714966"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714966" w:rsidRPr="004B104E" w:rsidRDefault="00714966"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714966" w:rsidRPr="004B104E" w:rsidRDefault="00AB08CD" w:rsidP="00714966">
      <w:pPr>
        <w:pStyle w:val="Normal1"/>
        <w:shd w:val="clear" w:color="auto" w:fill="FFFFFF"/>
        <w:spacing w:before="0" w:beforeAutospacing="0" w:after="0" w:afterAutospacing="0"/>
        <w:jc w:val="both"/>
        <w:textAlignment w:val="baseline"/>
        <w:rPr>
          <w:rFonts w:ascii="inherit" w:hAnsi="inherit"/>
          <w:b/>
          <w:color w:val="000000"/>
          <w:bdr w:val="none" w:sz="0" w:space="0" w:color="auto" w:frame="1"/>
        </w:rPr>
      </w:pPr>
      <w:r w:rsidRPr="004B104E">
        <w:rPr>
          <w:rFonts w:ascii="inherit" w:hAnsi="inherit"/>
          <w:b/>
          <w:color w:val="000000"/>
          <w:bdr w:val="none" w:sz="0" w:space="0" w:color="auto" w:frame="1"/>
        </w:rPr>
        <w:t>ΓΝΩΜΗ ΤΗΣ ΕΙΣΗΓΗΤΡΙΑΣ</w:t>
      </w:r>
    </w:p>
    <w:p w:rsidR="00714966" w:rsidRPr="004B104E" w:rsidRDefault="00714966"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714966" w:rsidRPr="004B104E" w:rsidRDefault="00AB08CD"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4B104E">
        <w:rPr>
          <w:rFonts w:ascii="inherit" w:hAnsi="inherit"/>
          <w:color w:val="000000"/>
          <w:bdr w:val="none" w:sz="0" w:space="0" w:color="auto" w:frame="1"/>
        </w:rPr>
        <w:t xml:space="preserve">Προκειμένου να υπάρξει μια ισορροπημένη προσέγγιση που να διασφαλίζει τη βιώσιμη </w:t>
      </w:r>
      <w:r w:rsidRPr="004B104E">
        <w:rPr>
          <w:rFonts w:ascii="inherit" w:hAnsi="inherit"/>
          <w:color w:val="000000"/>
          <w:bdr w:val="none" w:sz="0" w:space="0" w:color="auto" w:frame="1"/>
        </w:rPr>
        <w:t>εκμετάλλευση των θαλάσσιων βιολογικών πόρων σε συνδυασμό με ίσους όρους ανταγωνισμού στη ζώνη της σύμβασης ICCAT, η μεταφορά των συστάσεων στο δίκαιο της ΕΕ θα πρέπει να γίνεται με τον ακριβέστερο δυνατό τρόπο. Ο αλιευτικός στόλος της ΕΕ θα πρέπει να εφαρμ</w:t>
      </w:r>
      <w:r w:rsidRPr="004B104E">
        <w:rPr>
          <w:rFonts w:ascii="inherit" w:hAnsi="inherit"/>
          <w:color w:val="000000"/>
          <w:bdr w:val="none" w:sz="0" w:space="0" w:color="auto" w:frame="1"/>
        </w:rPr>
        <w:t xml:space="preserve">όζει </w:t>
      </w:r>
      <w:r w:rsidRPr="004B104E">
        <w:rPr>
          <w:rFonts w:ascii="inherit" w:hAnsi="inherit"/>
          <w:color w:val="000000"/>
          <w:bdr w:val="none" w:sz="0" w:space="0" w:color="auto" w:frame="1"/>
        </w:rPr>
        <w:lastRenderedPageBreak/>
        <w:t>τους ίδιους όρους και τα ίδια μέτρα με εκείνα που ισχύουν για τους αλιευτικούς στόλους τρίτων χωρών που δραστηριοποιούνται στην περιοχή.</w:t>
      </w:r>
    </w:p>
    <w:p w:rsidR="00714966" w:rsidRPr="004B104E" w:rsidRDefault="00714966"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714966" w:rsidRPr="004B104E" w:rsidRDefault="00AB08CD"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4B104E">
        <w:rPr>
          <w:rFonts w:ascii="inherit" w:hAnsi="inherit"/>
          <w:color w:val="000000"/>
          <w:bdr w:val="none" w:sz="0" w:space="0" w:color="auto" w:frame="1"/>
        </w:rPr>
        <w:t>Εκτός από τις διατάξεις που περιλαμβάνονται στην πρόταση COM (2022) 171 final — 2022/0111 (COD), η εισηγήτρια έχε</w:t>
      </w:r>
      <w:r w:rsidRPr="004B104E">
        <w:rPr>
          <w:rFonts w:ascii="inherit" w:hAnsi="inherit"/>
          <w:color w:val="000000"/>
          <w:bdr w:val="none" w:sz="0" w:space="0" w:color="auto" w:frame="1"/>
        </w:rPr>
        <w:t>ι συμπεριλάβει τις πλέον επικαιροποιημένες συστάσεις της ICCAT και, επομένως, έχουν συμπεριληφθεί πολλές άλλες τροπολογίες για τη μεταφορά των συστάσεων που εγκρίθηκαν κατά τη διάρκεια των ετήσιων συνεδριάσεων του 2019, 2020, 2021 και 2022 και δεν έχουν ακ</w:t>
      </w:r>
      <w:r w:rsidRPr="004B104E">
        <w:rPr>
          <w:rFonts w:ascii="inherit" w:hAnsi="inherit"/>
          <w:color w:val="000000"/>
          <w:bdr w:val="none" w:sz="0" w:space="0" w:color="auto" w:frame="1"/>
        </w:rPr>
        <w:t xml:space="preserve">όμη μεταφερθεί. </w:t>
      </w:r>
    </w:p>
    <w:p w:rsidR="00714966" w:rsidRPr="004B104E" w:rsidRDefault="00714966"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714966" w:rsidRPr="004B104E" w:rsidRDefault="00AB08CD"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4B104E">
        <w:rPr>
          <w:rFonts w:ascii="inherit" w:hAnsi="inherit"/>
          <w:color w:val="000000"/>
          <w:bdr w:val="none" w:sz="0" w:space="0" w:color="auto" w:frame="1"/>
        </w:rPr>
        <w:t>Ως εκ τούτου, το παρόν σχέδιο έκθεσης περιλαμβάνει τροποποιήσεις στον κανονισμό (ΕΕ) 2017/2107, ώστε να ενσωματωθούν στο δίκαιο της Ένωσης τα μέτρα της ICCAT για τους τροπικούς τόνους,</w:t>
      </w:r>
      <w:r w:rsidRPr="004B104E">
        <w:rPr>
          <w:rFonts w:ascii="inherit" w:hAnsi="inherit"/>
          <w:bdr w:val="none" w:sz="0" w:space="0" w:color="auto" w:frame="1"/>
        </w:rPr>
        <w:t xml:space="preserve"> τον μακρόπτερο τόνο της Μεσογείου, τον μακρύπτερο τόν</w:t>
      </w:r>
      <w:r w:rsidRPr="004B104E">
        <w:rPr>
          <w:rFonts w:ascii="inherit" w:hAnsi="inherit"/>
          <w:bdr w:val="none" w:sz="0" w:space="0" w:color="auto" w:frame="1"/>
        </w:rPr>
        <w:t>ο</w:t>
      </w:r>
      <w:r w:rsidRPr="004B104E">
        <w:rPr>
          <w:rFonts w:ascii="inherit" w:hAnsi="inherit"/>
          <w:color w:val="000000"/>
          <w:bdr w:val="none" w:sz="0" w:space="0" w:color="auto" w:frame="1"/>
        </w:rPr>
        <w:t xml:space="preserve"> Βορείου και Νοτίου</w:t>
      </w:r>
      <w:r w:rsidRPr="004B104E">
        <w:rPr>
          <w:rFonts w:ascii="inherit" w:hAnsi="inherit"/>
          <w:bdr w:val="none" w:sz="0" w:space="0" w:color="auto" w:frame="1"/>
        </w:rPr>
        <w:t xml:space="preserve"> Ατλαντικού, τον </w:t>
      </w:r>
      <w:r w:rsidRPr="004B104E">
        <w:rPr>
          <w:rFonts w:ascii="inherit" w:hAnsi="inherit"/>
          <w:color w:val="000000"/>
          <w:bdr w:val="none" w:sz="0" w:space="0" w:color="auto" w:frame="1"/>
        </w:rPr>
        <w:t>ιστιοφόρο, το γαλάζιο και το λευκό μάρλιν, την υποβολή στοιχείων σχετικά με τους ιστιοφόρους (Istiophoridae),</w:t>
      </w:r>
      <w:r w:rsidRPr="004B104E">
        <w:rPr>
          <w:rFonts w:ascii="inherit" w:hAnsi="inherit"/>
          <w:bdr w:val="none" w:sz="0" w:space="0" w:color="auto" w:frame="1"/>
        </w:rPr>
        <w:t xml:space="preserve"> τον </w:t>
      </w:r>
      <w:r w:rsidRPr="004B104E">
        <w:rPr>
          <w:rFonts w:ascii="inherit" w:hAnsi="inherit"/>
          <w:color w:val="000000"/>
          <w:bdr w:val="none" w:sz="0" w:space="0" w:color="auto" w:frame="1"/>
        </w:rPr>
        <w:t>ρυγχοκαρχαρία</w:t>
      </w:r>
      <w:r w:rsidRPr="004B104E">
        <w:rPr>
          <w:rFonts w:ascii="inherit" w:hAnsi="inherit"/>
          <w:bdr w:val="none" w:sz="0" w:space="0" w:color="auto" w:frame="1"/>
        </w:rPr>
        <w:t xml:space="preserve"> Βορείου και Νοτίου Ατλαντικού, τα παρεμπίπτοντα αλιεύματα χελώνας και διατάξεις σχετικά με </w:t>
      </w:r>
      <w:r w:rsidRPr="004B104E">
        <w:rPr>
          <w:rFonts w:ascii="inherit" w:hAnsi="inherit"/>
          <w:bdr w:val="none" w:sz="0" w:space="0" w:color="auto" w:frame="1"/>
        </w:rPr>
        <w:t xml:space="preserve">την παράνομη, λαθραία και άναρχη (ΠΛΑ) αλιεία, </w:t>
      </w:r>
      <w:r w:rsidRPr="004B104E">
        <w:rPr>
          <w:rFonts w:ascii="inherit" w:hAnsi="inherit"/>
          <w:color w:val="000000"/>
          <w:bdr w:val="none" w:sz="0" w:space="0" w:color="auto" w:frame="1"/>
        </w:rPr>
        <w:t>καθώς και</w:t>
      </w:r>
      <w:r w:rsidRPr="004B104E">
        <w:rPr>
          <w:rFonts w:ascii="inherit" w:hAnsi="inherit"/>
          <w:bdr w:val="none" w:sz="0" w:space="0" w:color="auto" w:frame="1"/>
        </w:rPr>
        <w:t xml:space="preserve"> </w:t>
      </w:r>
      <w:r w:rsidRPr="004B104E">
        <w:rPr>
          <w:rFonts w:ascii="inherit" w:hAnsi="inherit"/>
          <w:color w:val="000000"/>
          <w:bdr w:val="none" w:sz="0" w:space="0" w:color="auto" w:frame="1"/>
        </w:rPr>
        <w:t>πρόγραμμα παρατηρητών</w:t>
      </w:r>
      <w:r w:rsidRPr="004B104E">
        <w:rPr>
          <w:rFonts w:ascii="inherit" w:hAnsi="inherit"/>
          <w:bdr w:val="none" w:sz="0" w:space="0" w:color="auto" w:frame="1"/>
        </w:rPr>
        <w:t xml:space="preserve"> που περιλαμβάνει τις </w:t>
      </w:r>
      <w:r w:rsidRPr="004B104E">
        <w:rPr>
          <w:rFonts w:ascii="inherit" w:hAnsi="inherit"/>
          <w:color w:val="000000"/>
          <w:bdr w:val="none" w:sz="0" w:space="0" w:color="auto" w:frame="1"/>
        </w:rPr>
        <w:t>αρμοδιότητες των επιστημονικών παρατηρητών και την επικαιροποίηση του καταλόγου των ειδών της ICCAT.</w:t>
      </w:r>
    </w:p>
    <w:p w:rsidR="00714966" w:rsidRPr="004B104E" w:rsidRDefault="00714966"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2669B6" w:rsidRPr="004B104E" w:rsidRDefault="00AB08CD" w:rsidP="00714966">
      <w:pPr>
        <w:pStyle w:val="Normal1"/>
        <w:shd w:val="clear" w:color="auto" w:fill="FFFFFF"/>
        <w:spacing w:before="0" w:beforeAutospacing="0" w:after="0" w:afterAutospacing="0"/>
        <w:jc w:val="both"/>
        <w:textAlignment w:val="baseline"/>
      </w:pPr>
      <w:r w:rsidRPr="004B104E">
        <w:rPr>
          <w:rFonts w:ascii="inherit" w:hAnsi="inherit"/>
          <w:color w:val="000000"/>
          <w:bdr w:val="none" w:sz="0" w:space="0" w:color="auto" w:frame="1"/>
        </w:rPr>
        <w:t>Επιπλέον, το σχέδιο έκθεσης τροποποιεί τον κανονισμό (</w:t>
      </w:r>
      <w:r w:rsidRPr="004B104E">
        <w:rPr>
          <w:rFonts w:ascii="inherit" w:hAnsi="inherit"/>
          <w:color w:val="000000"/>
          <w:bdr w:val="none" w:sz="0" w:space="0" w:color="auto" w:frame="1"/>
        </w:rPr>
        <w:t>EE) XX/20223 για τη θέσπιση πολυετούς σχεδίου διαχείρισης του ερυθρού τόνου στον Ανατολικό Ατλαντικό και στη Μεσόγειο (</w:t>
      </w:r>
      <w:r w:rsidRPr="004B104E">
        <w:rPr>
          <w:color w:val="000000"/>
        </w:rPr>
        <w:t>COM (2019) 619 final -</w:t>
      </w:r>
      <w:r w:rsidRPr="004B104E">
        <w:rPr>
          <w:rFonts w:ascii="inherit" w:hAnsi="inherit"/>
          <w:color w:val="000000"/>
          <w:bdr w:val="none" w:sz="0" w:space="0" w:color="auto" w:frame="1"/>
        </w:rPr>
        <w:t xml:space="preserve"> 2019/0272 (COD) ώστε να ενσωματωθούν στο δίκαιο της Ένωσης</w:t>
      </w:r>
      <w:r w:rsidRPr="004B104E">
        <w:rPr>
          <w:rFonts w:ascii="inherit" w:hAnsi="inherit"/>
          <w:bdr w:val="none" w:sz="0" w:space="0" w:color="auto" w:frame="1"/>
        </w:rPr>
        <w:t xml:space="preserve"> οι διατάξεις για τη διαχείριση του ερυθρού τόνου που αφ</w:t>
      </w:r>
      <w:r w:rsidRPr="004B104E">
        <w:rPr>
          <w:rFonts w:ascii="inherit" w:hAnsi="inherit"/>
          <w:bdr w:val="none" w:sz="0" w:space="0" w:color="auto" w:frame="1"/>
        </w:rPr>
        <w:t xml:space="preserve">ορούν τους ορισμούς, οι μεταβιβάσεις ποσοστώσεων, η απαγόρευση διατήρησης, η αγωνιστική και ερασιτεχνική αλιεία, το μητρώο ιχθυοτροφείων, η υποβολή εκθέσεων, οι άδειες μεταβίβασης, τα αναγνωριστικά στοιχεία του </w:t>
      </w:r>
      <w:r w:rsidRPr="004B104E">
        <w:rPr>
          <w:rFonts w:ascii="inherit" w:hAnsi="inherit"/>
          <w:color w:val="000000"/>
          <w:bdr w:val="none" w:sz="0" w:space="0" w:color="auto" w:frame="1"/>
        </w:rPr>
        <w:t>εγκλωβισμού</w:t>
      </w:r>
      <w:r w:rsidRPr="004B104E">
        <w:rPr>
          <w:rFonts w:ascii="inherit" w:hAnsi="inherit"/>
          <w:bdr w:val="none" w:sz="0" w:space="0" w:color="auto" w:frame="1"/>
        </w:rPr>
        <w:t>, οι άδειες εγκλωβισμού, οι εργασί</w:t>
      </w:r>
      <w:r w:rsidRPr="004B104E">
        <w:rPr>
          <w:rFonts w:ascii="inherit" w:hAnsi="inherit"/>
          <w:bdr w:val="none" w:sz="0" w:space="0" w:color="auto" w:frame="1"/>
        </w:rPr>
        <w:t>ες εγκλωβισμού και η βιντεοσκόπησή τους, ο έλεγχος του εγκλωβισμού και οι δραστηριότητες ελέγχου της εξαλίευσης στα ιχθυοτροφεία μετά τον εγκλωβισμό</w:t>
      </w:r>
      <w:r w:rsidRPr="004B104E">
        <w:rPr>
          <w:rFonts w:ascii="inherit" w:hAnsi="inherit"/>
          <w:color w:val="000000"/>
          <w:bdr w:val="none" w:sz="0" w:space="0" w:color="auto" w:frame="1"/>
        </w:rPr>
        <w:t xml:space="preserve">. Το σχέδιο έκθεσης διαγράφει τις αρχικές προτάσεις των άρθρων 7 και 46, δεδομένου ότι οι εν λόγω διατάξεις </w:t>
      </w:r>
      <w:r w:rsidRPr="004B104E">
        <w:rPr>
          <w:rFonts w:ascii="inherit" w:hAnsi="inherit"/>
          <w:color w:val="000000"/>
          <w:bdr w:val="none" w:sz="0" w:space="0" w:color="auto" w:frame="1"/>
        </w:rPr>
        <w:t xml:space="preserve">συμπεριλήφθηκαν στη συμφωνία που επιτεύχθηκε από τους συννομοθέτες τον Απρίλιο του 2023 σχετικά με τον </w:t>
      </w:r>
      <w:r w:rsidRPr="004B104E">
        <w:rPr>
          <w:color w:val="000000"/>
        </w:rPr>
        <w:t>κανονισμό (ΕΕ) XX/2022 του Ευρωπαϊκού Κοινοβουλίου και του Συμβουλίου για τη θέσπιση πολυετούς σχεδίου διαχείρισης του ερυθρού τόνου στον Ανατολικό Ατλαν</w:t>
      </w:r>
      <w:r w:rsidRPr="004B104E">
        <w:rPr>
          <w:color w:val="000000"/>
        </w:rPr>
        <w:t>τικό και στη Μεσόγειο, η οποία θα εγκριθεί επισήμως ενδεχομένως τον Σεπτέμβριο του 2023 και στη συνέχεια θα δημοσιε</w:t>
      </w:r>
      <w:bookmarkStart w:id="4" w:name="_GoBack"/>
      <w:bookmarkEnd w:id="4"/>
      <w:r w:rsidRPr="004B104E">
        <w:rPr>
          <w:color w:val="000000"/>
        </w:rPr>
        <w:t>υθεί στην Επίσημη Εφημερίδα της ΕΕ.</w:t>
      </w:r>
    </w:p>
    <w:sectPr w:rsidR="002669B6" w:rsidRPr="004B104E" w:rsidSect="004B104E">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4B104E" w:rsidRDefault="00AB08CD">
      <w:r w:rsidRPr="004B104E">
        <w:separator/>
      </w:r>
    </w:p>
  </w:endnote>
  <w:endnote w:type="continuationSeparator" w:id="0">
    <w:p w:rsidR="00000000" w:rsidRPr="004B104E" w:rsidRDefault="00AB08CD">
      <w:r w:rsidRPr="004B10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04E" w:rsidRPr="004B104E" w:rsidRDefault="004B104E" w:rsidP="004B104E">
    <w:pPr>
      <w:pStyle w:val="EPFooter"/>
    </w:pPr>
    <w:r w:rsidRPr="004B104E">
      <w:t>PE</w:t>
    </w:r>
    <w:r w:rsidRPr="004B104E">
      <w:rPr>
        <w:rStyle w:val="HideTWBExt"/>
      </w:rPr>
      <w:t>&lt;NoPE&gt;</w:t>
    </w:r>
    <w:r w:rsidRPr="004B104E">
      <w:t>750.194</w:t>
    </w:r>
    <w:r w:rsidRPr="004B104E">
      <w:rPr>
        <w:rStyle w:val="HideTWBExt"/>
      </w:rPr>
      <w:t>&lt;/NoPE&gt;&lt;Version&gt;</w:t>
    </w:r>
    <w:r w:rsidRPr="004B104E">
      <w:t>v03-00</w:t>
    </w:r>
    <w:r w:rsidRPr="004B104E">
      <w:rPr>
        <w:rStyle w:val="HideTWBExt"/>
      </w:rPr>
      <w:t>&lt;/Version&gt;</w:t>
    </w:r>
    <w:r w:rsidRPr="004B104E">
      <w:tab/>
    </w:r>
    <w:r w:rsidRPr="004B104E">
      <w:fldChar w:fldCharType="begin"/>
    </w:r>
    <w:r w:rsidRPr="004B104E">
      <w:instrText xml:space="preserve"> PAGE  \* MERGEFORMAT </w:instrText>
    </w:r>
    <w:r w:rsidRPr="004B104E">
      <w:fldChar w:fldCharType="separate"/>
    </w:r>
    <w:r w:rsidR="00AB08CD">
      <w:rPr>
        <w:noProof/>
      </w:rPr>
      <w:t>118</w:t>
    </w:r>
    <w:r w:rsidRPr="004B104E">
      <w:fldChar w:fldCharType="end"/>
    </w:r>
    <w:r w:rsidRPr="004B104E">
      <w:t>/</w:t>
    </w:r>
    <w:fldSimple w:instr=" NUMPAGES  \* MERGEFORMAT ">
      <w:r w:rsidR="00AB08CD">
        <w:rPr>
          <w:noProof/>
        </w:rPr>
        <w:t>118</w:t>
      </w:r>
    </w:fldSimple>
    <w:r w:rsidRPr="004B104E">
      <w:tab/>
    </w:r>
    <w:r w:rsidRPr="004B104E">
      <w:rPr>
        <w:rStyle w:val="HideTWBExt"/>
      </w:rPr>
      <w:t>&lt;PathFdR&gt;</w:t>
    </w:r>
    <w:r w:rsidRPr="004B104E">
      <w:t>PR\1284694EL.docx</w:t>
    </w:r>
    <w:r w:rsidRPr="004B104E">
      <w:rPr>
        <w:rStyle w:val="HideTWBExt"/>
      </w:rPr>
      <w:t>&lt;/PathFdR&gt;</w:t>
    </w:r>
  </w:p>
  <w:p w:rsidR="00714966" w:rsidRPr="004B104E" w:rsidRDefault="004B104E" w:rsidP="004B104E">
    <w:pPr>
      <w:pStyle w:val="EPFooter2"/>
    </w:pPr>
    <w:r w:rsidRPr="004B104E">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04E" w:rsidRPr="004B104E" w:rsidRDefault="004B104E" w:rsidP="004B104E">
    <w:pPr>
      <w:pStyle w:val="EPFooter"/>
    </w:pPr>
    <w:r w:rsidRPr="004B104E">
      <w:rPr>
        <w:rStyle w:val="HideTWBExt"/>
      </w:rPr>
      <w:t>&lt;PathFdR&gt;</w:t>
    </w:r>
    <w:r w:rsidRPr="004B104E">
      <w:t>PR\1284694EL.docx</w:t>
    </w:r>
    <w:r w:rsidRPr="004B104E">
      <w:rPr>
        <w:rStyle w:val="HideTWBExt"/>
      </w:rPr>
      <w:t>&lt;/PathFdR&gt;</w:t>
    </w:r>
    <w:r w:rsidRPr="004B104E">
      <w:tab/>
    </w:r>
    <w:r w:rsidRPr="004B104E">
      <w:fldChar w:fldCharType="begin"/>
    </w:r>
    <w:r w:rsidRPr="004B104E">
      <w:instrText xml:space="preserve"> PAGE  \* MERGEFORMAT </w:instrText>
    </w:r>
    <w:r w:rsidRPr="004B104E">
      <w:fldChar w:fldCharType="separate"/>
    </w:r>
    <w:r w:rsidR="00AB08CD">
      <w:rPr>
        <w:noProof/>
      </w:rPr>
      <w:t>117</w:t>
    </w:r>
    <w:r w:rsidRPr="004B104E">
      <w:fldChar w:fldCharType="end"/>
    </w:r>
    <w:r w:rsidRPr="004B104E">
      <w:t>/</w:t>
    </w:r>
    <w:fldSimple w:instr=" NUMPAGES  \* MERGEFORMAT ">
      <w:r w:rsidR="00AB08CD">
        <w:rPr>
          <w:noProof/>
        </w:rPr>
        <w:t>118</w:t>
      </w:r>
    </w:fldSimple>
    <w:r w:rsidRPr="004B104E">
      <w:tab/>
      <w:t>PE</w:t>
    </w:r>
    <w:r w:rsidRPr="004B104E">
      <w:rPr>
        <w:rStyle w:val="HideTWBExt"/>
      </w:rPr>
      <w:t>&lt;NoPE&gt;</w:t>
    </w:r>
    <w:r w:rsidRPr="004B104E">
      <w:t>750.194</w:t>
    </w:r>
    <w:r w:rsidRPr="004B104E">
      <w:rPr>
        <w:rStyle w:val="HideTWBExt"/>
      </w:rPr>
      <w:t>&lt;/NoPE&gt;&lt;Version&gt;</w:t>
    </w:r>
    <w:r w:rsidRPr="004B104E">
      <w:t>v03-00</w:t>
    </w:r>
    <w:r w:rsidRPr="004B104E">
      <w:rPr>
        <w:rStyle w:val="HideTWBExt"/>
      </w:rPr>
      <w:t>&lt;/Version&gt;</w:t>
    </w:r>
  </w:p>
  <w:p w:rsidR="00714966" w:rsidRPr="004B104E" w:rsidRDefault="004B104E" w:rsidP="004B104E">
    <w:pPr>
      <w:pStyle w:val="EPFooter2"/>
    </w:pPr>
    <w:r w:rsidRPr="004B104E">
      <w:tab/>
    </w:r>
    <w:r w:rsidRPr="004B104E">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04E" w:rsidRPr="004B104E" w:rsidRDefault="004B104E" w:rsidP="004B104E">
    <w:pPr>
      <w:pStyle w:val="EPFooter"/>
    </w:pPr>
    <w:r w:rsidRPr="004B104E">
      <w:rPr>
        <w:rStyle w:val="HideTWBExt"/>
      </w:rPr>
      <w:t>&lt;PathFdR&gt;</w:t>
    </w:r>
    <w:r w:rsidRPr="004B104E">
      <w:t>PR\1284694EL.docx</w:t>
    </w:r>
    <w:r w:rsidRPr="004B104E">
      <w:rPr>
        <w:rStyle w:val="HideTWBExt"/>
      </w:rPr>
      <w:t>&lt;/PathFdR&gt;</w:t>
    </w:r>
    <w:r w:rsidRPr="004B104E">
      <w:tab/>
    </w:r>
    <w:r w:rsidRPr="004B104E">
      <w:tab/>
      <w:t>PE</w:t>
    </w:r>
    <w:r w:rsidRPr="004B104E">
      <w:rPr>
        <w:rStyle w:val="HideTWBExt"/>
      </w:rPr>
      <w:t>&lt;NoPE&gt;</w:t>
    </w:r>
    <w:r w:rsidRPr="004B104E">
      <w:t>750.194</w:t>
    </w:r>
    <w:r w:rsidRPr="004B104E">
      <w:rPr>
        <w:rStyle w:val="HideTWBExt"/>
      </w:rPr>
      <w:t>&lt;/NoPE&gt;&lt;Version&gt;</w:t>
    </w:r>
    <w:r w:rsidRPr="004B104E">
      <w:t>v03-00</w:t>
    </w:r>
    <w:r w:rsidRPr="004B104E">
      <w:rPr>
        <w:rStyle w:val="HideTWBExt"/>
      </w:rPr>
      <w:t>&lt;/Version&gt;</w:t>
    </w:r>
  </w:p>
  <w:p w:rsidR="00714966" w:rsidRPr="004B104E" w:rsidRDefault="004B104E" w:rsidP="004B104E">
    <w:pPr>
      <w:pStyle w:val="EPFooter2"/>
    </w:pPr>
    <w:r w:rsidRPr="004B104E">
      <w:t>EL</w:t>
    </w:r>
    <w:r w:rsidRPr="004B104E">
      <w:tab/>
    </w:r>
    <w:r w:rsidRPr="004B104E">
      <w:rPr>
        <w:b w:val="0"/>
        <w:i/>
        <w:color w:val="C0C0C0"/>
        <w:sz w:val="22"/>
      </w:rPr>
      <w:t>Ενωμένη στην πολυμορφία</w:t>
    </w:r>
    <w:r w:rsidRPr="004B104E">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966" w:rsidRPr="004B104E" w:rsidRDefault="00AB08CD">
      <w:r w:rsidRPr="004B104E">
        <w:separator/>
      </w:r>
    </w:p>
  </w:footnote>
  <w:footnote w:type="continuationSeparator" w:id="0">
    <w:p w:rsidR="00714966" w:rsidRPr="004B104E" w:rsidRDefault="00AB08CD">
      <w:r w:rsidRPr="004B104E">
        <w:continuationSeparator/>
      </w:r>
    </w:p>
  </w:footnote>
  <w:footnote w:id="1">
    <w:p w:rsidR="00714966" w:rsidRPr="004B104E" w:rsidRDefault="00AB08CD" w:rsidP="00714966">
      <w:pPr>
        <w:pStyle w:val="FootnoteText"/>
      </w:pPr>
      <w:r w:rsidRPr="004B104E">
        <w:rPr>
          <w:rStyle w:val="FootnoteReference"/>
        </w:rPr>
        <w:footnoteRef/>
      </w:r>
      <w:r w:rsidRPr="004B104E">
        <w:tab/>
        <w:t>ΕΕ C 365 της 23.9.2022, σ. 55.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8CD" w:rsidRDefault="00AB08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8CD" w:rsidRDefault="00AB08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8CD" w:rsidRDefault="00AB08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6F90BAA"/>
    <w:multiLevelType w:val="hybridMultilevel"/>
    <w:tmpl w:val="7906415C"/>
    <w:lvl w:ilvl="0" w:tplc="729AFED0">
      <w:start w:val="1"/>
      <w:numFmt w:val="bullet"/>
      <w:lvlText w:val=""/>
      <w:lvlJc w:val="left"/>
      <w:pPr>
        <w:ind w:left="720" w:hanging="360"/>
      </w:pPr>
      <w:rPr>
        <w:rFonts w:ascii="Symbol" w:hAnsi="Symbol" w:hint="default"/>
      </w:rPr>
    </w:lvl>
    <w:lvl w:ilvl="1" w:tplc="1A161B80">
      <w:start w:val="1"/>
      <w:numFmt w:val="bullet"/>
      <w:lvlText w:val="o"/>
      <w:lvlJc w:val="left"/>
      <w:pPr>
        <w:ind w:left="1440" w:hanging="360"/>
      </w:pPr>
      <w:rPr>
        <w:rFonts w:ascii="Courier New" w:hAnsi="Courier New" w:cs="Courier New" w:hint="default"/>
      </w:rPr>
    </w:lvl>
    <w:lvl w:ilvl="2" w:tplc="674E7A0C">
      <w:start w:val="1"/>
      <w:numFmt w:val="bullet"/>
      <w:lvlText w:val=""/>
      <w:lvlJc w:val="left"/>
      <w:pPr>
        <w:ind w:left="2160" w:hanging="360"/>
      </w:pPr>
      <w:rPr>
        <w:rFonts w:ascii="Wingdings" w:hAnsi="Wingdings" w:hint="default"/>
      </w:rPr>
    </w:lvl>
    <w:lvl w:ilvl="3" w:tplc="892E4F4C">
      <w:start w:val="1"/>
      <w:numFmt w:val="bullet"/>
      <w:lvlText w:val=""/>
      <w:lvlJc w:val="left"/>
      <w:pPr>
        <w:ind w:left="2880" w:hanging="360"/>
      </w:pPr>
      <w:rPr>
        <w:rFonts w:ascii="Symbol" w:hAnsi="Symbol" w:hint="default"/>
      </w:rPr>
    </w:lvl>
    <w:lvl w:ilvl="4" w:tplc="70447F1E">
      <w:start w:val="1"/>
      <w:numFmt w:val="bullet"/>
      <w:lvlText w:val="o"/>
      <w:lvlJc w:val="left"/>
      <w:pPr>
        <w:ind w:left="3600" w:hanging="360"/>
      </w:pPr>
      <w:rPr>
        <w:rFonts w:ascii="Courier New" w:hAnsi="Courier New" w:cs="Courier New" w:hint="default"/>
      </w:rPr>
    </w:lvl>
    <w:lvl w:ilvl="5" w:tplc="425E9178">
      <w:start w:val="1"/>
      <w:numFmt w:val="bullet"/>
      <w:lvlText w:val=""/>
      <w:lvlJc w:val="left"/>
      <w:pPr>
        <w:ind w:left="4320" w:hanging="360"/>
      </w:pPr>
      <w:rPr>
        <w:rFonts w:ascii="Wingdings" w:hAnsi="Wingdings" w:hint="default"/>
      </w:rPr>
    </w:lvl>
    <w:lvl w:ilvl="6" w:tplc="47C22FB2">
      <w:start w:val="1"/>
      <w:numFmt w:val="bullet"/>
      <w:lvlText w:val=""/>
      <w:lvlJc w:val="left"/>
      <w:pPr>
        <w:ind w:left="5040" w:hanging="360"/>
      </w:pPr>
      <w:rPr>
        <w:rFonts w:ascii="Symbol" w:hAnsi="Symbol" w:hint="default"/>
      </w:rPr>
    </w:lvl>
    <w:lvl w:ilvl="7" w:tplc="1602BCB0">
      <w:start w:val="1"/>
      <w:numFmt w:val="bullet"/>
      <w:lvlText w:val="o"/>
      <w:lvlJc w:val="left"/>
      <w:pPr>
        <w:ind w:left="5760" w:hanging="360"/>
      </w:pPr>
      <w:rPr>
        <w:rFonts w:ascii="Courier New" w:hAnsi="Courier New" w:cs="Courier New" w:hint="default"/>
      </w:rPr>
    </w:lvl>
    <w:lvl w:ilvl="8" w:tplc="51EE9BC8">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PECH"/>
    <w:docVar w:name="CopyToNetwork" w:val="-1"/>
    <w:docVar w:name="CVar" w:val="1"/>
    <w:docVar w:name="DOCMNU" w:val=" 1"/>
    <w:docVar w:name="EPSTATMNU" w:val=" 5"/>
    <w:docVar w:name="iNoAmend" w:val="1"/>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88753 HideTWBExt;}{\*\cs18 \additive \v\f1\fs20\cf15 _x000d__x000a_\spriority0 \styrsid9588753 HideTWBInt;}{\s19\ql \li0\ri0\sa120\nowidctlpar\wrapdefault\aspalpha\aspnum\faauto\adjustright\rin0\lin0\itap0 \rtlch\fcs1 \af0\afs20\alang1025 \ltrch\fcs0 \fs24\lang2057\langfe2057\cgrid\langnp2057\langfenp2057 _x000d__x000a_\sbasedon0 \snext19 \spriority0 \styrsid9588753 Normal6a;}{\s20\ql \li0\ri0\nowidctlpar\wrapdefault\aspalpha\aspnum\faauto\adjustright\rin0\lin0\itap0 \rtlch\fcs1 \af0\afs20\alang1025 \ltrch\fcs0 \b\fs24\lang2057\langfe2057\cgrid\langnp2057\langfenp2057 _x000d__x000a_\sbasedon0 \snext20 \spriority0 \styrsid9588753 NormalBold;}{\s21\ql \li0\ri0\sa240\nowidctlpar\wrapdefault\aspalpha\aspnum\faauto\adjustright\rin0\lin0\itap0 \rtlch\fcs1 \af0\afs20\alang1025 \ltrch\fcs0 _x000d__x000a_\i\fs24\lang2057\langfe2057\cgrid\langnp2057\langfenp2057 \sbasedon0 \snext21 \spriority0 \styrsid9588753 AmJustText;}{\s22\qc \li0\ri0\sb240\sa240\nowidctlpar\wrapdefault\aspalpha\aspnum\faauto\adjustright\rin0\lin0\itap0 \rtlch\fcs1 _x000d__x000a_\af0\afs20\alang1025 \ltrch\fcs0 \i\fs24\lang2057\langfe2057\cgrid\langnp2057\langfenp2057 \sbasedon0 \snext22 \spriority0 \styrsid9588753 AmCrossRef;}{_x000d__x000a_\s23\qc \li0\ri0\sb240\sa240\keepn\nowidctlpar\wrapdefault\aspalpha\aspnum\faauto\adjustright\rin0\lin0\itap0 \rtlch\fcs1 \af0\afs20\alang1025 \ltrch\fcs0 \i\fs24\lang2057\langfe2057\cgrid\langnp2057\langfenp2057 _x000d__x000a_\sbasedon0 \snext21 \spriority0 \styrsid9588753 AmJustTitle;}{\s24\qr \li0\ri0\sb240\sa240\nowidctlpar\wrapdefault\aspalpha\aspnum\faauto\adjustright\rin0\lin0\itap0 \rtlch\fcs1 \af0\afs20\alang1025 \ltrch\fcs0 _x000d__x000a_\fs24\lang2057\langfe2057\cgrid\langnp2057\langfenp2057 \sbasedon0 \snext24 \spriority0 \styrsid9588753 AmOrLang;}{\s25\qc \li0\ri0\sa240\nowidctlpar\wrapdefault\aspalpha\aspnum\faauto\adjustright\rin0\lin0\itap0 \rtlch\fcs1 \af0\afs20\alang1025 _x000d__x000a_\ltrch\fcs0 \i\fs24\lang2057\langfe2057\cgrid\langnp2057\langfenp2057 \sbasedon0 \snext25 \spriority0 \styrsid958875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588753 AmNumberTabs;}{\s27\ql \li0\ri0\sb240\nowidctlpar\wrapdefault\aspalpha\aspnum\faauto\adjustright\rin0\lin0\itap0 \rtlch\fcs1 _x000d__x000a_\af0\afs20\alang1025 \ltrch\fcs0 \b\fs24\lang2057\langfe2057\cgrid\langnp2057\langfenp2057 \sbasedon0 \snext27 \spriority0 \styrsid9588753 NormalBold12b;}}{\*\rsidtbl \rsid24658\rsid223860\rsid735077\rsid1718133\rsid2892074\rsid3565327\rsid4666813_x000d__x000a_\rsid6641733\rsid7823322\rsid9588753\rsid9636012\rsid10377208\rsid11215221\rsid11549030\rsid12154954\rsid14382809\rsid14424199\rsid15204470\rsid15285974\rsid15950462\rsid16147958\rsid16324206\rsid16662270}{\mmathPr\mmathFont34\mbrkBin0\mbrkBinSub0_x000d__x000a_\msmallFrac0\mdispDef1\mlMargin0\mrMargin0\mdefJc1\mwrapIndent1440\mintLim0\mnaryLim1}{\info{\author BARSTYTE Lina}{\operator BARSTYTE Lina}{\creatim\yr2023\mo6\dy29\hr16\min35}{\revtim\yr2023\mo6\dy29\hr16\min35}{\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88753\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16147958 \chftnsep _x000d__x000a_\par }}{\*\ftnsepc \ltrpar \pard\plain \ltrpar\ql \li0\ri0\widctlpar\wrapdefault\aspalpha\aspnum\faauto\adjustright\rin0\lin0\itap0 \rtlch\fcs1 \af0\afs20\alang1025 \ltrch\fcs0 \fs24\lang2057\langfe2057\cgrid\langnp2057\langfenp2057 {\rtlch\fcs1 \af0 _x000d__x000a_\ltrch\fcs0 \insrsid16147958 \chftnsepc _x000d__x000a_\par }}{\*\aftnsep \ltrpar \pard\plain \ltrpar\ql \li0\ri0\widctlpar\wrapdefault\aspalpha\aspnum\faauto\adjustright\rin0\lin0\itap0 \rtlch\fcs1 \af0\afs20\alang1025 \ltrch\fcs0 \fs24\lang2057\langfe2057\cgrid\langnp2057\langfenp2057 {\rtlch\fcs1 \af0 _x000d__x000a_\ltrch\fcs0 \insrsid16147958 \chftnsep _x000d__x000a_\par }}{\*\aftnsepc \ltrpar \pard\plain \ltrpar\ql \li0\ri0\widctlpar\wrapdefault\aspalpha\aspnum\faauto\adjustright\rin0\lin0\itap0 \rtlch\fcs1 \af0\afs20\alang1025 \ltrch\fcs0 \fs24\lang2057\langfe2057\cgrid\langnp2057\langfenp2057 {\rtlch\fcs1 \af0 _x000d__x000a_\ltrch\fcs0 \insrsid161479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588753 \rtlch\fcs1 _x000d__x000a_\af0\afs20\alang1025 \ltrch\fcs0 \b\fs24\lang2057\langfe2057\cgrid\langnp2057\langfenp2057 {\rtlch\fcs1 \af0 \ltrch\fcs0 \cs17\b0\v\fs20\cf9\lang1024\langfe1024\loch\af1\hich\af1\dbch\af31501\noproof\insrsid9588753\charrsid1972408 {\*\bkmkstart restart}_x000d__x000a_\hich\af1\dbch\af31501\loch\f1 &lt;Amend&gt;}{\rtlch\fcs1 \af0 \ltrch\fcs0 \insrsid9588753\charrsid1972408 Amendment\tab \tab }{\rtlch\fcs1 \af0 \ltrch\fcs0 _x000d__x000a_\cs17\b0\v\fs20\cf9\lang1024\langfe1024\loch\af1\hich\af1\dbch\af31501\noproof\insrsid9588753\charrsid1972408 \hich\af1\dbch\af31501\loch\f1 &lt;NumAm&gt;}{\rtlch\fcs1 \af0 \ltrch\fcs0 \insrsid9588753\charrsid1972408 #}{\rtlch\fcs1 \af1 \ltrch\fcs0 _x000d__x000a_\cs18\v\f1\fs20\cf15\insrsid9588753\charrsid1972408 ENMIENDA@NRAM@}{\rtlch\fcs1 \af0 \ltrch\fcs0 \insrsid9588753\charrsid1972408 #}{\rtlch\fcs1 \af0 \ltrch\fcs0 _x000d__x000a_\cs17\b0\v\fs20\cf9\lang1024\langfe1024\loch\af1\hich\af1\dbch\af31501\noproof\insrsid9588753\charrsid1972408 \hich\af1\dbch\af31501\loch\f1 &lt;/NumAm&gt;}{\rtlch\fcs1 \af0 \ltrch\fcs0 \insrsid9588753\charrsid1972408 _x000d__x000a_\par }\pard\plain \ltrpar\s27\ql \li0\ri0\sb240\keepn\nowidctlpar\wrapdefault\aspalpha\aspnum\faauto\adjustright\rin0\lin0\itap0\pararsid9588753 \rtlch\fcs1 \af0\afs20\alang1025 \ltrch\fcs0 \b\fs24\lang2057\langfe2057\cgrid\langnp2057\langfenp2057 {_x000d__x000a_\rtlch\fcs1 \af0 \ltrch\fcs0 \cs17\b0\v\fs20\cf9\lang1024\langfe1024\loch\af1\hich\af1\dbch\af31501\noproof\insrsid9588753\charrsid1972408 \hich\af1\dbch\af31501\loch\f1 &lt;DocAmend&gt;}{\rtlch\fcs1 \af0 \ltrch\fcs0 \insrsid9588753\charrsid1972408 _x000d__x000a_Proposal for a #}{\rtlch\fcs1 \af1 \ltrch\fcs0 \cs18\v\f1\fs20\cf15\insrsid9588753\charrsid1972408 MNU[DOC1][DOC2][DOC3]@DOCMSG@DOCMNU}{\rtlch\fcs1 \af0 \ltrch\fcs0 \insrsid9588753\charrsid1972408 ##}{\rtlch\fcs1 \af1 \ltrch\fcs0 _x000d__x000a_\cs18\v\f1\fs20\cf15\insrsid9588753\charrsid1972408 MNU[AMACTYES][NOTAPP]@CHOICE@AMACTMNU}{\rtlch\fcs1 \af0 \ltrch\fcs0 \insrsid9588753\charrsid1972408 #}{\rtlch\fcs1 \af0 \ltrch\fcs0 _x000d__x000a_\cs17\b0\v\fs20\cf9\lang1024\langfe1024\loch\af1\hich\af1\dbch\af31501\noproof\insrsid9588753\charrsid1972408 \hich\af1\dbch\af31501\loch\f1 &lt;/DocAmend&gt;}{\rtlch\fcs1 \af0 \ltrch\fcs0 \insrsid9588753\charrsid1972408 _x000d__x000a_\par }\pard\plain \ltrpar\s20\ql \li0\ri0\keepn\nowidctlpar\wrapdefault\aspalpha\aspnum\faauto\adjustright\rin0\lin0\itap0\pararsid9588753 \rtlch\fcs1 \af0\afs20\alang1025 \ltrch\fcs0 \b\fs24\lang2057\langfe2057\cgrid\langnp2057\langfenp2057 {\rtlch\fcs1 \af0 _x000d__x000a_\ltrch\fcs0 \cs17\b0\v\fs20\cf9\lang1024\langfe1024\loch\af1\hich\af1\dbch\af31501\noproof\insrsid9588753\charrsid1972408 \hich\af1\dbch\af31501\loch\f1 &lt;Article&gt;}{\rtlch\fcs1 \af0 \ltrch\fcs0 \insrsid9588753\charrsid1972408 #}{\rtlch\fcs1 \af1 _x000d__x000a_\ltrch\fcs0 \cs18\v\f1\fs20\cf15\insrsid9588753\charrsid1972408 MNU[AMACTPARTYES][AMACTPARTNO]@CHOICE@AMACTMNU}{\rtlch\fcs1 \af0 \ltrch\fcs0 \insrsid9588753\charrsid1972408 #}{\rtlch\fcs1 \af0 \ltrch\fcs0 _x000d__x000a_\cs17\b0\v\fs20\cf9\lang1024\langfe1024\loch\af1\hich\af1\dbch\af31501\noproof\insrsid9588753\charrsid1972408 \hich\af1\dbch\af31501\loch\f1 &lt;/Article&gt;}{\rtlch\fcs1 \af0 \ltrch\fcs0 \insrsid9588753\charrsid1972408 _x000d__x000a_\par }\pard\plain \ltrpar\ql \li0\ri0\keepn\widctlpar\wrapdefault\aspalpha\aspnum\faauto\adjustright\rin0\lin0\itap0\pararsid9588753 \rtlch\fcs1 \af0\afs20\alang1025 \ltrch\fcs0 \fs24\lang2057\langfe2057\cgrid\langnp2057\langfenp2057 {\rtlch\fcs1 \af0 _x000d__x000a_\ltrch\fcs0 \cs17\v\fs20\cf9\lang1024\langfe1024\loch\af1\hich\af1\dbch\af31501\noproof\insrsid9588753\charrsid1972408 \hich\af1\dbch\af31501\loch\f1 &lt;DocAmend2&gt;&lt;OptDel&gt;}{\rtlch\fcs1 \af0 \ltrch\fcs0 \insrsid9588753\charrsid1972408 #}{\rtlch\fcs1 \af1 _x000d__x000a_\ltrch\fcs0 \cs18\v\f1\fs20\cf15\insrsid9588753\charrsid1972408 MNU[OPTNRACTYES][NOTAPP]@CHOICE@AMACTMNU}{\rtlch\fcs1 \af0 \ltrch\fcs0 \insrsid9588753\charrsid1972408 #}{\rtlch\fcs1 \af0 \ltrch\fcs0 _x000d__x000a_\cs17\v\fs20\cf9\lang1024\langfe1024\loch\af1\hich\af1\dbch\af31501\noproof\insrsid9588753\charrsid1972408 \hich\af1\dbch\af31501\loch\f1 &lt;/OptDel&gt;&lt;/DocAmend2&gt;}{\rtlch\fcs1 \af0 \ltrch\fcs0 \insrsid9588753\charrsid1972408 _x000d__x000a_\par }\pard \ltrpar\ql \li0\ri0\widctlpar\wrapdefault\aspalpha\aspnum\faauto\adjustright\rin0\lin0\itap0\pararsid9588753 {\rtlch\fcs1 \af0 \ltrch\fcs0 \cs17\v\fs20\cf9\lang1024\langfe1024\loch\af1\hich\af1\dbch\af31501\noproof\insrsid9588753\charrsid1972408 _x000d__x000a_\hich\af1\dbch\af31501\loch\f1 &lt;Article2&gt;&lt;OptDel&gt;}{\rtlch\fcs1 \af0 \ltrch\fcs0 \insrsid9588753\charrsid1972408 #}{\rtlch\fcs1 \af1 \ltrch\fcs0 \cs18\v\f1\fs20\cf15\insrsid9588753\charrsid1972408 MNU[OPTACTPARTYES][NOTAPP]@CHOICE@AMACTMNU}{\rtlch\fcs1 _x000d__x000a_\af0 \ltrch\fcs0 \insrsid9588753\charrsid1972408 #}{\rtlch\fcs1 \af0 \ltrch\fcs0 \cs17\v\fs20\cf9\lang1024\langfe1024\loch\af1\hich\af1\dbch\af31501\noproof\insrsid9588753\charrsid1972408 \hich\af1\dbch\af31501\loch\f1 &lt;/OptDel&gt;&lt;/Article2&gt;}{\rtlch\fcs1 _x000d__x000a_\af0 \ltrch\fcs0 \insrsid9588753\charrsid1972408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9588753\charrsid1972408 \cell }\pard\plain \ltrpar\ql \li0\ri0\widctlpar\intbl\wrapdefault\aspalpha\aspnum\faauto\adjustright\rin0\lin0 \rtlch\fcs1 _x000d__x000a_\af0\afs20\alang1025 \ltrch\fcs0 \fs24\lang2057\langfe2057\cgrid\langnp2057\langfenp2057 {\rtlch\fcs1 \af0 \ltrch\fcs0 \insrsid9588753\charrsid1972408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9588753\charrsid1972408 #}{\rtlch\fcs1 \af1 \ltrch\fcs0 \cs18\v\f1\fs20\cf15\insrsid9588753\charrsid1972408 MNU[OPTLEFTAMACT][LEFTPROP]@CHOICE@AMACTMNU}{\rtlch\fcs1 \af0 \ltrch\fcs0 \insrsid9588753\charrsid1972408 #\cell Amendment\cell _x000d__x000a_}\pard\plain \ltrpar\ql \li0\ri0\widctlpar\intbl\wrapdefault\aspalpha\aspnum\faauto\adjustright\rin0\lin0 \rtlch\fcs1 \af0\afs20\alang1025 \ltrch\fcs0 \fs24\lang2057\langfe2057\cgrid\langnp2057\langfenp2057 {\rtlch\fcs1 \af0 \ltrch\fcs0 _x000d__x000a_\insrsid9588753\charrsid1972408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9588753\charrsid1972408 ##\cell ##}{\rtlch\fcs1 \af0\afs24 \ltrch\fcs0 \insrsid9588753\charrsid1972408 \cell }\pard\plain \ltrpar\ql \li0\ri0\widctlpar\intbl\wrapdefault\aspalpha\aspnum\faauto\adjustright\rin0\lin0 \rtlch\fcs1 _x000d__x000a_\af0\afs20\alang1025 \ltrch\fcs0 \fs24\lang2057\langfe2057\cgrid\langnp2057\langfenp2057 {\rtlch\fcs1 \af0 \ltrch\fcs0 \insrsid9588753\charrsid1972408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588753 \rtlch\fcs1 \af0\afs20\alang1025 \ltrch\fcs0 \fs24\lang2057\langfe2057\cgrid\langnp2057\langfenp2057 {\rtlch\fcs1 \af0 \ltrch\fcs0 _x000d__x000a_\insrsid9588753\charrsid1972408 Or. }{\rtlch\fcs1 \af0 \ltrch\fcs0 \cs17\v\fs20\cf9\lang1024\langfe1024\loch\af1\hich\af1\dbch\af31501\noproof\insrsid9588753\charrsid1972408 \hich\af1\dbch\af31501\loch\f1 &lt;Original&gt;}{\rtlch\fcs1 \af0 \ltrch\fcs0 _x000d__x000a_\insrsid9588753\charrsid1972408 #}{\rtlch\fcs1 \af1 \ltrch\fcs0 \cs18\v\f1\fs20\cf15\insrsid9588753\charrsid1972408 MNU[ORLANGONE][ORLANGMORE]@CHOICE@ORLANGMNU}{\rtlch\fcs1 \af0 \ltrch\fcs0 \insrsid9588753\charrsid1972408 #}{\rtlch\fcs1 \af0 \ltrch\fcs0 _x000d__x000a_\cs17\v\fs20\cf9\lang1024\langfe1024\loch\af1\hich\af1\dbch\af31501\noproof\insrsid9588753\charrsid1972408 \hich\af1\dbch\af31501\loch\f1 &lt;/Original&gt;}{\rtlch\fcs1 \af0 \ltrch\fcs0 \insrsid9588753\charrsid1972408 _x000d__x000a_\par }\pard\plain \ltrpar\s22\qc \li0\ri0\sb240\sa240\nowidctlpar\wrapdefault\aspalpha\aspnum\faauto\adjustright\rin0\lin0\itap0\pararsid9588753 \rtlch\fcs1 \af0\afs20\alang1025 \ltrch\fcs0 \i\fs24\lang2057\langfe2057\cgrid\langnp2057\langfenp2057 {_x000d__x000a_\rtlch\fcs1 \af0 \ltrch\fcs0 \cs17\i0\v\fs20\cf9\lang1024\langfe1024\loch\af1\hich\af1\dbch\af31501\noproof\insrsid9588753\charrsid1972408 \hich\af1\dbch\af31501\loch\f1 &lt;OptDel&gt;}{\rtlch\fcs1 \af0 \ltrch\fcs0 \insrsid9588753\charrsid1972408 #}{_x000d__x000a_\rtlch\fcs1 \af1 \ltrch\fcs0 \cs18\v\f1\fs20\cf15\insrsid9588753\charrsid1972408 MNU[CROSSREFNO][CROSSREFYES]@CHOICE@}{\rtlch\fcs1 \af0 \ltrch\fcs0 \insrsid9588753\charrsid1972408 #}{\rtlch\fcs1 \af0 \ltrch\fcs0 _x000d__x000a_\cs17\i0\v\fs20\cf9\lang1024\langfe1024\loch\af1\hich\af1\dbch\af31501\noproof\insrsid9588753\charrsid1972408 \hich\af1\dbch\af31501\loch\f1 &lt;/OptDel&gt;}{\rtlch\fcs1 \af0 \ltrch\fcs0 \insrsid9588753\charrsid1972408 _x000d__x000a_\par }\pard\plain \ltrpar\s23\qc \li0\ri0\sb240\sa240\keepn\nowidctlpar\wrapdefault\aspalpha\aspnum\faauto\adjustright\rin0\lin0\itap0\pararsid9588753 \rtlch\fcs1 \af0\afs20\alang1025 \ltrch\fcs0 \i\fs24\lang2057\langfe2057\cgrid\langnp2057\langfenp2057 {_x000d__x000a_\rtlch\fcs1 \af0 \ltrch\fcs0 \cs17\i0\v\fs20\cf9\lang1024\langfe1024\loch\af1\hich\af1\dbch\af31501\noproof\insrsid9588753\charrsid1972408 \hich\af1\dbch\af31501\loch\f1 &lt;TitreJust&gt;}{\rtlch\fcs1 \af0 \ltrch\fcs0 \insrsid9588753\charrsid1972408 _x000d__x000a_Justification}{\rtlch\fcs1 \af0 \ltrch\fcs0 \cs17\i0\v\fs20\cf9\lang1024\langfe1024\loch\af1\hich\af1\dbch\af31501\noproof\insrsid9588753\charrsid1972408 \hich\af1\dbch\af31501\loch\f1 &lt;/TitreJust&gt;}{\rtlch\fcs1 \af0 \ltrch\fcs0 _x000d__x000a_\insrsid9588753\charrsid1972408 _x000d__x000a_\par }\pard\plain \ltrpar\s21\ql \li0\ri0\sa240\nowidctlpar\wrapdefault\aspalpha\aspnum\faauto\adjustright\rin0\lin0\itap0\pararsid9588753 \rtlch\fcs1 \af0\afs20\alang1025 \ltrch\fcs0 \i\fs24\lang2057\langfe2057\cgrid\langnp2057\langfenp2057 {\rtlch\fcs1 \af0 _x000d__x000a_\ltrch\fcs0 \cs17\i0\v\fs20\cf9\lang1024\langfe1024\loch\af1\hich\af1\dbch\af31501\noproof\insrsid9588753\charrsid1972408 \hich\af1\dbch\af31501\loch\f1 &lt;OptDelPrev&gt;}{\rtlch\fcs1 \af0 \ltrch\fcs0 \insrsid9588753\charrsid1972408 #}{\rtlch\fcs1 \af1 _x000d__x000a_\ltrch\fcs0 \cs18\v\f1\fs20\cf15\insrsid9588753\charrsid1972408 MNU[TEXTJUSTYES][TEXTJUSTNO]@CHOICE@}{\rtlch\fcs1 \af0 \ltrch\fcs0 \insrsid9588753\charrsid1972408 #}{\rtlch\fcs1 \af0 \ltrch\fcs0 _x000d__x000a_\cs17\i0\v\fs20\cf9\lang1024\langfe1024\loch\af1\hich\af1\dbch\af31501\noproof\insrsid9588753\charrsid1972408 \hich\af1\dbch\af31501\loch\f1 &lt;/OptDelPrev&gt;}{\rtlch\fcs1 \af0 \ltrch\fcs0 \insrsid9588753\charrsid1972408 _x000d__x000a_\par }\pard\plain \ltrpar\ql \li0\ri0\widctlpar\wrapdefault\aspalpha\aspnum\faauto\adjustright\rin0\lin0\itap0\pararsid9588753 \rtlch\fcs1 \af0\afs20\alang1025 \ltrch\fcs0 \fs24\lang2057\langfe2057\cgrid\langnp2057\langfenp2057 {\rtlch\fcs1 \af0 \ltrch\fcs0 _x000d__x000a_\cs17\v\fs20\cf9\lang1024\langfe1024\loch\af1\hich\af1\dbch\af31501\noproof\insrsid9588753\charrsid197240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cf_x000d__x000a_c7ea96a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4"/>
    <w:docVar w:name="TVTAMPART" w:val="Paragraph 1"/>
    <w:docVar w:name="TXTAUTHOR" w:val="Clara Aguilera"/>
    <w:docVar w:name="TXTLANGUE" w:val="EN"/>
    <w:docVar w:name="TXTLANGUEMIN" w:val="en"/>
    <w:docVar w:name="TXTNRC" w:val="0151/2022"/>
    <w:docVar w:name="TXTNRCOD" w:val="2022/0111"/>
    <w:docVar w:name="TXTNRCOM" w:val="(2022)0171"/>
    <w:docVar w:name="TXTNRFIRSTAM" w:val="1"/>
    <w:docVar w:name="TXTNRLASTAM" w:val="87"/>
    <w:docVar w:name="TXTNRPE" w:val="750.194"/>
    <w:docVar w:name="TXTPEorAP" w:val="PE"/>
    <w:docVar w:name="TXTROUTE" w:val="PR\1284694EN.docx"/>
    <w:docVar w:name="TXTTITLE" w:val="amending Regulation (EU) 2017/2107 laying down management, conservation and control measures applicable in the Convention area of the International Commission for the Conservation of Atlantic Tunas (ICCAT) and Regulation (EU) .../2022 establishing a multiannual management plan for bluefin tuna in the eastern Atlantic and the Mediterranean"/>
    <w:docVar w:name="TXTVERSION" w:val="03-00"/>
  </w:docVars>
  <w:rsids>
    <w:rsidRoot w:val="001E18B8"/>
    <w:rsid w:val="00011AAB"/>
    <w:rsid w:val="00012351"/>
    <w:rsid w:val="000139E5"/>
    <w:rsid w:val="000641D5"/>
    <w:rsid w:val="00084DD2"/>
    <w:rsid w:val="00084E89"/>
    <w:rsid w:val="000A69A6"/>
    <w:rsid w:val="000A762D"/>
    <w:rsid w:val="000B7489"/>
    <w:rsid w:val="000C7C5C"/>
    <w:rsid w:val="000D2DEF"/>
    <w:rsid w:val="000F1096"/>
    <w:rsid w:val="00112DE2"/>
    <w:rsid w:val="00120948"/>
    <w:rsid w:val="00123DD5"/>
    <w:rsid w:val="001277AE"/>
    <w:rsid w:val="00142215"/>
    <w:rsid w:val="00165CA4"/>
    <w:rsid w:val="001767E2"/>
    <w:rsid w:val="00187008"/>
    <w:rsid w:val="001B3829"/>
    <w:rsid w:val="001C3BD8"/>
    <w:rsid w:val="001C5592"/>
    <w:rsid w:val="001C5B44"/>
    <w:rsid w:val="001C6FFC"/>
    <w:rsid w:val="001D7905"/>
    <w:rsid w:val="001E18B8"/>
    <w:rsid w:val="001F6334"/>
    <w:rsid w:val="001F7C7C"/>
    <w:rsid w:val="00207C4A"/>
    <w:rsid w:val="00212B84"/>
    <w:rsid w:val="0021462C"/>
    <w:rsid w:val="002346B0"/>
    <w:rsid w:val="00254B4E"/>
    <w:rsid w:val="002667C3"/>
    <w:rsid w:val="002669B6"/>
    <w:rsid w:val="002850BF"/>
    <w:rsid w:val="00290BED"/>
    <w:rsid w:val="002A21C5"/>
    <w:rsid w:val="002B76BA"/>
    <w:rsid w:val="002D13EE"/>
    <w:rsid w:val="002D3893"/>
    <w:rsid w:val="002E33EE"/>
    <w:rsid w:val="002F40BB"/>
    <w:rsid w:val="002F4B02"/>
    <w:rsid w:val="003024E3"/>
    <w:rsid w:val="00312B08"/>
    <w:rsid w:val="00323EF8"/>
    <w:rsid w:val="00325885"/>
    <w:rsid w:val="003316DD"/>
    <w:rsid w:val="003444E1"/>
    <w:rsid w:val="00353672"/>
    <w:rsid w:val="00357B9F"/>
    <w:rsid w:val="00366A46"/>
    <w:rsid w:val="00370AC3"/>
    <w:rsid w:val="003824EE"/>
    <w:rsid w:val="00397D57"/>
    <w:rsid w:val="003B4689"/>
    <w:rsid w:val="003C2068"/>
    <w:rsid w:val="003C37CF"/>
    <w:rsid w:val="004100B1"/>
    <w:rsid w:val="00422791"/>
    <w:rsid w:val="00426257"/>
    <w:rsid w:val="00426E47"/>
    <w:rsid w:val="00430C95"/>
    <w:rsid w:val="00455743"/>
    <w:rsid w:val="00460D5F"/>
    <w:rsid w:val="00461601"/>
    <w:rsid w:val="0049599D"/>
    <w:rsid w:val="004963D9"/>
    <w:rsid w:val="004B0D37"/>
    <w:rsid w:val="004B104E"/>
    <w:rsid w:val="004B110E"/>
    <w:rsid w:val="004C0915"/>
    <w:rsid w:val="004D2797"/>
    <w:rsid w:val="004D3CA0"/>
    <w:rsid w:val="004D424E"/>
    <w:rsid w:val="004E42C8"/>
    <w:rsid w:val="004E733D"/>
    <w:rsid w:val="004F2C0B"/>
    <w:rsid w:val="004F3FA5"/>
    <w:rsid w:val="0051271F"/>
    <w:rsid w:val="00521F46"/>
    <w:rsid w:val="0052315F"/>
    <w:rsid w:val="00534934"/>
    <w:rsid w:val="00551111"/>
    <w:rsid w:val="00551123"/>
    <w:rsid w:val="00561161"/>
    <w:rsid w:val="00570A6A"/>
    <w:rsid w:val="00586E50"/>
    <w:rsid w:val="005904E7"/>
    <w:rsid w:val="0059583D"/>
    <w:rsid w:val="005A42D9"/>
    <w:rsid w:val="005B7025"/>
    <w:rsid w:val="005C2BEF"/>
    <w:rsid w:val="005D09C0"/>
    <w:rsid w:val="005D1A99"/>
    <w:rsid w:val="005D7609"/>
    <w:rsid w:val="005D7EE8"/>
    <w:rsid w:val="005E7C3F"/>
    <w:rsid w:val="005F11E3"/>
    <w:rsid w:val="005F755B"/>
    <w:rsid w:val="00611043"/>
    <w:rsid w:val="00625C0E"/>
    <w:rsid w:val="00635D47"/>
    <w:rsid w:val="00642325"/>
    <w:rsid w:val="00644104"/>
    <w:rsid w:val="006942B3"/>
    <w:rsid w:val="006A2F5D"/>
    <w:rsid w:val="006F7907"/>
    <w:rsid w:val="00704275"/>
    <w:rsid w:val="00714966"/>
    <w:rsid w:val="00743189"/>
    <w:rsid w:val="00743D33"/>
    <w:rsid w:val="00762A92"/>
    <w:rsid w:val="00766216"/>
    <w:rsid w:val="007673BB"/>
    <w:rsid w:val="007932B3"/>
    <w:rsid w:val="00793EA9"/>
    <w:rsid w:val="007B7F19"/>
    <w:rsid w:val="007D600E"/>
    <w:rsid w:val="007D6F68"/>
    <w:rsid w:val="007E18E5"/>
    <w:rsid w:val="00801448"/>
    <w:rsid w:val="00823E6B"/>
    <w:rsid w:val="00826780"/>
    <w:rsid w:val="00837CCD"/>
    <w:rsid w:val="00841E9B"/>
    <w:rsid w:val="008633CC"/>
    <w:rsid w:val="00865190"/>
    <w:rsid w:val="008716AE"/>
    <w:rsid w:val="008719B9"/>
    <w:rsid w:val="00894ECE"/>
    <w:rsid w:val="00896BB4"/>
    <w:rsid w:val="008A248D"/>
    <w:rsid w:val="008A7FB8"/>
    <w:rsid w:val="008B2882"/>
    <w:rsid w:val="009022B8"/>
    <w:rsid w:val="00914537"/>
    <w:rsid w:val="00917CC4"/>
    <w:rsid w:val="009302ED"/>
    <w:rsid w:val="00937610"/>
    <w:rsid w:val="009763DA"/>
    <w:rsid w:val="009975B3"/>
    <w:rsid w:val="009A216D"/>
    <w:rsid w:val="009B4B93"/>
    <w:rsid w:val="009B503E"/>
    <w:rsid w:val="009D5C4C"/>
    <w:rsid w:val="009F24BE"/>
    <w:rsid w:val="009F6C2F"/>
    <w:rsid w:val="009F767A"/>
    <w:rsid w:val="00A22533"/>
    <w:rsid w:val="00A26F46"/>
    <w:rsid w:val="00A31D6F"/>
    <w:rsid w:val="00A3325E"/>
    <w:rsid w:val="00A34FD3"/>
    <w:rsid w:val="00A36929"/>
    <w:rsid w:val="00A50548"/>
    <w:rsid w:val="00A548A0"/>
    <w:rsid w:val="00A60EE7"/>
    <w:rsid w:val="00A81897"/>
    <w:rsid w:val="00A910C9"/>
    <w:rsid w:val="00AA35B0"/>
    <w:rsid w:val="00AB08CD"/>
    <w:rsid w:val="00AD08E1"/>
    <w:rsid w:val="00AD18C8"/>
    <w:rsid w:val="00AD7FA6"/>
    <w:rsid w:val="00AE4643"/>
    <w:rsid w:val="00AF0416"/>
    <w:rsid w:val="00AF0449"/>
    <w:rsid w:val="00AF3E1F"/>
    <w:rsid w:val="00B00B4E"/>
    <w:rsid w:val="00B10CB4"/>
    <w:rsid w:val="00B13D6F"/>
    <w:rsid w:val="00B16004"/>
    <w:rsid w:val="00B23B72"/>
    <w:rsid w:val="00B42702"/>
    <w:rsid w:val="00B57B8B"/>
    <w:rsid w:val="00B71E7B"/>
    <w:rsid w:val="00B82744"/>
    <w:rsid w:val="00B85407"/>
    <w:rsid w:val="00B95702"/>
    <w:rsid w:val="00BA29D6"/>
    <w:rsid w:val="00BC6489"/>
    <w:rsid w:val="00BC6556"/>
    <w:rsid w:val="00BD2408"/>
    <w:rsid w:val="00BD480C"/>
    <w:rsid w:val="00C052F6"/>
    <w:rsid w:val="00C20954"/>
    <w:rsid w:val="00C23324"/>
    <w:rsid w:val="00C317CB"/>
    <w:rsid w:val="00C42216"/>
    <w:rsid w:val="00C42A41"/>
    <w:rsid w:val="00C47E74"/>
    <w:rsid w:val="00C57A72"/>
    <w:rsid w:val="00C73602"/>
    <w:rsid w:val="00C84F42"/>
    <w:rsid w:val="00CA221E"/>
    <w:rsid w:val="00CF60C8"/>
    <w:rsid w:val="00D22A4F"/>
    <w:rsid w:val="00D30DE2"/>
    <w:rsid w:val="00D32924"/>
    <w:rsid w:val="00D503A3"/>
    <w:rsid w:val="00D618C2"/>
    <w:rsid w:val="00D71C36"/>
    <w:rsid w:val="00D767FF"/>
    <w:rsid w:val="00DA6ED0"/>
    <w:rsid w:val="00DC02B3"/>
    <w:rsid w:val="00DC2610"/>
    <w:rsid w:val="00DC5011"/>
    <w:rsid w:val="00DE4420"/>
    <w:rsid w:val="00E171B6"/>
    <w:rsid w:val="00E267B8"/>
    <w:rsid w:val="00E34C8B"/>
    <w:rsid w:val="00E62DFE"/>
    <w:rsid w:val="00E653DD"/>
    <w:rsid w:val="00E72695"/>
    <w:rsid w:val="00E82605"/>
    <w:rsid w:val="00EB1753"/>
    <w:rsid w:val="00EB60DA"/>
    <w:rsid w:val="00EB6CFF"/>
    <w:rsid w:val="00EC294B"/>
    <w:rsid w:val="00EE3996"/>
    <w:rsid w:val="00F026E7"/>
    <w:rsid w:val="00F07062"/>
    <w:rsid w:val="00F11FEE"/>
    <w:rsid w:val="00F23CFC"/>
    <w:rsid w:val="00F433E2"/>
    <w:rsid w:val="00F8135A"/>
    <w:rsid w:val="00F8331E"/>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C62F374-423A-4B26-AB19-9FF90E48B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14966"/>
    <w:rPr>
      <w:rFonts w:ascii="Arial" w:hAnsi="Arial"/>
      <w:b/>
      <w:kern w:val="28"/>
      <w:sz w:val="28"/>
      <w:lang w:val="el-GR"/>
    </w:rPr>
  </w:style>
  <w:style w:type="character" w:customStyle="1" w:styleId="Heading2Char">
    <w:name w:val="Heading 2 Char"/>
    <w:basedOn w:val="DefaultParagraphFont"/>
    <w:link w:val="Heading2"/>
    <w:semiHidden/>
    <w:rsid w:val="00714966"/>
    <w:rPr>
      <w:rFonts w:ascii="Arial" w:hAnsi="Arial"/>
      <w:b/>
      <w:i/>
      <w:sz w:val="24"/>
      <w:lang w:val="el-GR"/>
    </w:rPr>
  </w:style>
  <w:style w:type="character" w:customStyle="1" w:styleId="Heading3Char">
    <w:name w:val="Heading 3 Char"/>
    <w:basedOn w:val="DefaultParagraphFont"/>
    <w:link w:val="Heading3"/>
    <w:semiHidden/>
    <w:rsid w:val="00714966"/>
    <w:rPr>
      <w:rFonts w:ascii="Arial" w:hAnsi="Arial"/>
      <w:sz w:val="24"/>
      <w:lang w:val="el-GR"/>
    </w:rPr>
  </w:style>
  <w:style w:type="character" w:customStyle="1" w:styleId="Heading4Char">
    <w:name w:val="Heading 4 Char"/>
    <w:basedOn w:val="DefaultParagraphFont"/>
    <w:link w:val="Heading4"/>
    <w:semiHidden/>
    <w:rsid w:val="00714966"/>
    <w:rPr>
      <w:rFonts w:ascii="Arial" w:hAnsi="Arial"/>
      <w:b/>
      <w:sz w:val="24"/>
      <w:lang w:val="el-GR"/>
    </w:rPr>
  </w:style>
  <w:style w:type="character" w:customStyle="1" w:styleId="Heading5Char">
    <w:name w:val="Heading 5 Char"/>
    <w:basedOn w:val="DefaultParagraphFont"/>
    <w:link w:val="Heading5"/>
    <w:semiHidden/>
    <w:rsid w:val="00714966"/>
    <w:rPr>
      <w:sz w:val="22"/>
      <w:lang w:val="el-GR"/>
    </w:rPr>
  </w:style>
  <w:style w:type="character" w:customStyle="1" w:styleId="Heading6Char">
    <w:name w:val="Heading 6 Char"/>
    <w:basedOn w:val="DefaultParagraphFont"/>
    <w:link w:val="Heading6"/>
    <w:semiHidden/>
    <w:rsid w:val="00714966"/>
    <w:rPr>
      <w:i/>
      <w:sz w:val="22"/>
      <w:lang w:val="el-GR"/>
    </w:rPr>
  </w:style>
  <w:style w:type="character" w:customStyle="1" w:styleId="Heading7Char">
    <w:name w:val="Heading 7 Char"/>
    <w:basedOn w:val="DefaultParagraphFont"/>
    <w:link w:val="Heading7"/>
    <w:semiHidden/>
    <w:rsid w:val="00714966"/>
    <w:rPr>
      <w:rFonts w:ascii="Arial" w:hAnsi="Arial"/>
      <w:sz w:val="24"/>
      <w:lang w:val="el-GR"/>
    </w:rPr>
  </w:style>
  <w:style w:type="character" w:customStyle="1" w:styleId="Heading8Char">
    <w:name w:val="Heading 8 Char"/>
    <w:basedOn w:val="DefaultParagraphFont"/>
    <w:link w:val="Heading8"/>
    <w:semiHidden/>
    <w:rsid w:val="00714966"/>
    <w:rPr>
      <w:rFonts w:ascii="Arial" w:hAnsi="Arial"/>
      <w:i/>
      <w:sz w:val="24"/>
      <w:lang w:val="el-GR"/>
    </w:rPr>
  </w:style>
  <w:style w:type="character" w:customStyle="1" w:styleId="Heading9Char">
    <w:name w:val="Heading 9 Char"/>
    <w:basedOn w:val="DefaultParagraphFont"/>
    <w:link w:val="Heading9"/>
    <w:semiHidden/>
    <w:rsid w:val="00714966"/>
    <w:rPr>
      <w:rFonts w:ascii="Arial" w:hAnsi="Arial"/>
      <w:b/>
      <w:i/>
      <w:sz w:val="18"/>
      <w:lang w:val="el-GR"/>
    </w:rPr>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49599D"/>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5E7C3F"/>
    <w:pPr>
      <w:tabs>
        <w:tab w:val="right" w:pos="454"/>
        <w:tab w:val="left" w:pos="737"/>
      </w:tabs>
      <w:ind w:left="737" w:hanging="737"/>
    </w:pPr>
    <w:rPr>
      <w:snapToGrid w:val="0"/>
      <w:sz w:val="18"/>
      <w:lang w:eastAsia="en-US"/>
    </w:rPr>
  </w:style>
  <w:style w:type="paragraph" w:customStyle="1" w:styleId="Lgendetitre">
    <w:name w:val="Légende titre"/>
    <w:basedOn w:val="Normal"/>
    <w:rsid w:val="005E7C3F"/>
    <w:pPr>
      <w:spacing w:before="240" w:after="240"/>
    </w:pPr>
    <w:rPr>
      <w:b/>
      <w:i/>
      <w:snapToGrid w:val="0"/>
      <w:lang w:eastAsia="en-US"/>
    </w:rPr>
  </w:style>
  <w:style w:type="paragraph" w:customStyle="1" w:styleId="Lgendestandard">
    <w:name w:val="Légende standard"/>
    <w:basedOn w:val="Normal"/>
    <w:rsid w:val="005E7C3F"/>
    <w:rPr>
      <w:sz w:val="18"/>
    </w:rPr>
  </w:style>
  <w:style w:type="paragraph" w:styleId="FootnoteText">
    <w:name w:val="footnote text"/>
    <w:basedOn w:val="Normal"/>
    <w:link w:val="FootnoteTextChar"/>
    <w:rsid w:val="003444E1"/>
    <w:rPr>
      <w:sz w:val="20"/>
    </w:rPr>
  </w:style>
  <w:style w:type="character" w:customStyle="1" w:styleId="FootnoteTextChar">
    <w:name w:val="Footnote Text Char"/>
    <w:basedOn w:val="DefaultParagraphFont"/>
    <w:link w:val="FootnoteText"/>
    <w:rsid w:val="003444E1"/>
  </w:style>
  <w:style w:type="character" w:styleId="FootnoteReference">
    <w:name w:val="footnote reference"/>
    <w:basedOn w:val="DefaultParagraphFont"/>
    <w:rsid w:val="003444E1"/>
    <w:rPr>
      <w:vertAlign w:val="superscript"/>
    </w:rPr>
  </w:style>
  <w:style w:type="paragraph" w:customStyle="1" w:styleId="EntPE">
    <w:name w:val="EntPE"/>
    <w:basedOn w:val="Normal12"/>
    <w:rsid w:val="0049599D"/>
    <w:pPr>
      <w:jc w:val="center"/>
    </w:pPr>
    <w:rPr>
      <w:noProof w:val="0"/>
      <w:sz w:val="56"/>
    </w:rPr>
  </w:style>
  <w:style w:type="paragraph" w:customStyle="1" w:styleId="Normal12">
    <w:name w:val="Normal12"/>
    <w:basedOn w:val="Normal"/>
    <w:link w:val="Normal12Char"/>
    <w:rsid w:val="0049599D"/>
    <w:pPr>
      <w:spacing w:after="240"/>
    </w:pPr>
    <w:rPr>
      <w:noProof/>
    </w:rPr>
  </w:style>
  <w:style w:type="character" w:customStyle="1" w:styleId="Normal12Char">
    <w:name w:val="Normal12 Char"/>
    <w:basedOn w:val="DefaultParagraphFont"/>
    <w:link w:val="Normal12"/>
    <w:locked/>
    <w:rsid w:val="0049599D"/>
    <w:rPr>
      <w:noProof/>
      <w:sz w:val="24"/>
    </w:rPr>
  </w:style>
  <w:style w:type="paragraph" w:customStyle="1" w:styleId="Normal6">
    <w:name w:val="Normal6"/>
    <w:basedOn w:val="Normal"/>
    <w:link w:val="Normal6Char"/>
    <w:rsid w:val="0049599D"/>
    <w:pPr>
      <w:spacing w:after="120"/>
    </w:pPr>
  </w:style>
  <w:style w:type="character" w:customStyle="1" w:styleId="Normal6Char">
    <w:name w:val="Normal6 Char"/>
    <w:basedOn w:val="DefaultParagraphFont"/>
    <w:link w:val="Normal6"/>
    <w:rsid w:val="0049599D"/>
    <w:rPr>
      <w:sz w:val="24"/>
      <w:lang w:val="el-GR"/>
    </w:rPr>
  </w:style>
  <w:style w:type="paragraph" w:customStyle="1" w:styleId="Normal12Italic">
    <w:name w:val="Normal12Italic"/>
    <w:basedOn w:val="Normal12"/>
    <w:rsid w:val="0049599D"/>
    <w:rPr>
      <w:i/>
    </w:rPr>
  </w:style>
  <w:style w:type="character" w:customStyle="1" w:styleId="FooterChar">
    <w:name w:val="Footer Char"/>
    <w:basedOn w:val="DefaultParagraphFont"/>
    <w:link w:val="Footer"/>
    <w:rsid w:val="0049599D"/>
    <w:rPr>
      <w:sz w:val="22"/>
    </w:rPr>
  </w:style>
  <w:style w:type="paragraph" w:styleId="Footer">
    <w:name w:val="footer"/>
    <w:link w:val="FooterChar"/>
    <w:rsid w:val="0049599D"/>
    <w:pPr>
      <w:tabs>
        <w:tab w:val="center" w:pos="4536"/>
        <w:tab w:val="right" w:pos="9072"/>
      </w:tabs>
      <w:spacing w:before="240" w:after="240" w:line="221" w:lineRule="auto"/>
    </w:pPr>
    <w:rPr>
      <w:sz w:val="22"/>
    </w:rPr>
  </w:style>
  <w:style w:type="character" w:customStyle="1" w:styleId="FooterChar1">
    <w:name w:val="Footer Char1"/>
    <w:basedOn w:val="DefaultParagraphFont"/>
    <w:semiHidden/>
    <w:rsid w:val="0049599D"/>
    <w:rPr>
      <w:sz w:val="24"/>
    </w:rPr>
  </w:style>
  <w:style w:type="paragraph" w:customStyle="1" w:styleId="Footer2">
    <w:name w:val="Footer2"/>
    <w:basedOn w:val="Normal12"/>
    <w:rsid w:val="0049599D"/>
    <w:pPr>
      <w:tabs>
        <w:tab w:val="center" w:pos="4535"/>
        <w:tab w:val="right" w:pos="9923"/>
      </w:tabs>
      <w:spacing w:line="480" w:lineRule="auto"/>
      <w:ind w:left="-851"/>
    </w:pPr>
    <w:rPr>
      <w:rFonts w:ascii="Arial" w:cs="Arial"/>
      <w:b/>
      <w:sz w:val="48"/>
    </w:rPr>
  </w:style>
  <w:style w:type="character" w:customStyle="1" w:styleId="BalloonTextChar">
    <w:name w:val="Balloon Text Char"/>
    <w:basedOn w:val="DefaultParagraphFont"/>
    <w:link w:val="BalloonText"/>
    <w:semiHidden/>
    <w:rsid w:val="0049599D"/>
    <w:rPr>
      <w:rFonts w:ascii="Segoe UI" w:hAnsi="Segoe UI" w:cs="Segoe UI"/>
      <w:sz w:val="18"/>
      <w:szCs w:val="18"/>
    </w:rPr>
  </w:style>
  <w:style w:type="paragraph" w:styleId="BalloonText">
    <w:name w:val="Balloon Text"/>
    <w:basedOn w:val="Normal"/>
    <w:link w:val="BalloonTextChar"/>
    <w:semiHidden/>
    <w:unhideWhenUsed/>
    <w:rsid w:val="0049599D"/>
    <w:pPr>
      <w:widowControl/>
    </w:pPr>
    <w:rPr>
      <w:rFonts w:ascii="Segoe UI" w:hAnsi="Segoe UI" w:cs="Segoe UI"/>
      <w:sz w:val="18"/>
      <w:szCs w:val="18"/>
    </w:rPr>
  </w:style>
  <w:style w:type="character" w:customStyle="1" w:styleId="BalloonTextChar1">
    <w:name w:val="Balloon Text Char1"/>
    <w:basedOn w:val="DefaultParagraphFont"/>
    <w:semiHidden/>
    <w:rsid w:val="0049599D"/>
    <w:rPr>
      <w:rFonts w:ascii="Segoe UI" w:hAnsi="Segoe UI" w:cs="Segoe UI"/>
      <w:sz w:val="18"/>
      <w:szCs w:val="18"/>
    </w:rPr>
  </w:style>
  <w:style w:type="paragraph" w:customStyle="1" w:styleId="AMNumberTabs0">
    <w:name w:val="AMNumberTabs"/>
    <w:basedOn w:val="Normal"/>
    <w:rsid w:val="0049599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49599D"/>
    <w:pPr>
      <w:spacing w:after="240"/>
      <w:jc w:val="center"/>
    </w:pPr>
    <w:rPr>
      <w:i/>
    </w:rPr>
  </w:style>
  <w:style w:type="paragraph" w:customStyle="1" w:styleId="Olang">
    <w:name w:val="Olang"/>
    <w:basedOn w:val="Normal"/>
    <w:rsid w:val="0049599D"/>
    <w:pPr>
      <w:spacing w:before="240" w:after="240"/>
      <w:jc w:val="right"/>
    </w:pPr>
    <w:rPr>
      <w:noProof/>
      <w:szCs w:val="24"/>
    </w:rPr>
  </w:style>
  <w:style w:type="paragraph" w:customStyle="1" w:styleId="JustificationTitle">
    <w:name w:val="JustificationTitle"/>
    <w:basedOn w:val="Normal"/>
    <w:next w:val="Normal12"/>
    <w:rsid w:val="0049599D"/>
    <w:pPr>
      <w:keepNext/>
      <w:spacing w:before="240" w:after="240"/>
      <w:jc w:val="center"/>
    </w:pPr>
    <w:rPr>
      <w:i/>
      <w:noProof/>
    </w:rPr>
  </w:style>
  <w:style w:type="character" w:styleId="Hyperlink">
    <w:name w:val="Hyperlink"/>
    <w:basedOn w:val="DefaultParagraphFont"/>
    <w:uiPriority w:val="99"/>
    <w:unhideWhenUsed/>
    <w:rsid w:val="0049599D"/>
    <w:rPr>
      <w:color w:val="0563C1" w:themeColor="hyperlink"/>
      <w:u w:val="single"/>
    </w:rPr>
  </w:style>
  <w:style w:type="paragraph" w:customStyle="1" w:styleId="Normal1">
    <w:name w:val="Normal1"/>
    <w:basedOn w:val="Normal"/>
    <w:rsid w:val="0049599D"/>
    <w:pPr>
      <w:widowControl/>
      <w:spacing w:before="100" w:beforeAutospacing="1" w:after="100" w:afterAutospacing="1"/>
    </w:pPr>
    <w:rPr>
      <w:szCs w:val="24"/>
    </w:rPr>
  </w:style>
  <w:style w:type="character" w:customStyle="1" w:styleId="CommentTextChar">
    <w:name w:val="Comment Text Char"/>
    <w:basedOn w:val="DefaultParagraphFont"/>
    <w:link w:val="CommentText"/>
    <w:rsid w:val="0049599D"/>
  </w:style>
  <w:style w:type="paragraph" w:styleId="CommentText">
    <w:name w:val="annotation text"/>
    <w:basedOn w:val="Normal"/>
    <w:link w:val="CommentTextChar"/>
    <w:unhideWhenUsed/>
    <w:rsid w:val="0049599D"/>
    <w:pPr>
      <w:widowControl/>
    </w:pPr>
    <w:rPr>
      <w:sz w:val="20"/>
    </w:rPr>
  </w:style>
  <w:style w:type="character" w:customStyle="1" w:styleId="CommentSubjectChar">
    <w:name w:val="Comment Subject Char"/>
    <w:basedOn w:val="CommentTextChar"/>
    <w:link w:val="CommentSubject"/>
    <w:semiHidden/>
    <w:rsid w:val="0049599D"/>
    <w:rPr>
      <w:b/>
      <w:bCs/>
    </w:rPr>
  </w:style>
  <w:style w:type="paragraph" w:styleId="CommentSubject">
    <w:name w:val="annotation subject"/>
    <w:basedOn w:val="CommentText"/>
    <w:next w:val="CommentText"/>
    <w:link w:val="CommentSubjectChar"/>
    <w:semiHidden/>
    <w:unhideWhenUsed/>
    <w:rsid w:val="0049599D"/>
    <w:rPr>
      <w:b/>
      <w:bCs/>
    </w:rPr>
  </w:style>
  <w:style w:type="character" w:styleId="CommentReference">
    <w:name w:val="annotation reference"/>
    <w:basedOn w:val="DefaultParagraphFont"/>
    <w:unhideWhenUsed/>
    <w:rsid w:val="0049599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uroparl.europa.eu/oeil/popups/ficheprocedure.do?reference=2011/0195(COD)&amp;l=en"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1115C5-646C-4D78-880F-32D903EA7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118</Pages>
  <Words>25527</Words>
  <Characters>148061</Characters>
  <Application>Microsoft Office Word</Application>
  <DocSecurity>0</DocSecurity>
  <Lines>6437</Lines>
  <Paragraphs>1972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171616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BARSTYTE Lina</dc:creator>
  <cp:lastModifiedBy>ANGELOPOULOU Christina</cp:lastModifiedBy>
  <cp:revision>2</cp:revision>
  <cp:lastPrinted>2004-11-04T09:41:00Z</cp:lastPrinted>
  <dcterms:created xsi:type="dcterms:W3CDTF">2023-09-11T12:44:00Z</dcterms:created>
  <dcterms:modified xsi:type="dcterms:W3CDTF">2023-09-11T12:44:00Z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1284694</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9.15.0 Build [20230501]</vt:lpwstr>
  </property>
  <property fmtid="{D5CDD505-2E9C-101B-9397-08002B2CF9AE}" pid="9" name="FooterPath">
    <vt:lpwstr>PR\1284694EL.docx</vt:lpwstr>
  </property>
  <property fmtid="{D5CDD505-2E9C-101B-9397-08002B2CF9AE}" pid="10" name="LastEdited with">
    <vt:lpwstr>9.14.1 Build [20230315]</vt:lpwstr>
  </property>
  <property fmtid="{D5CDD505-2E9C-101B-9397-08002B2CF9AE}" pid="11" name="PE number">
    <vt:lpwstr>750.194</vt:lpwstr>
  </property>
  <property fmtid="{D5CDD505-2E9C-101B-9397-08002B2CF9AE}" pid="12" name="SDLStudio">
    <vt:lpwstr/>
  </property>
  <property fmtid="{D5CDD505-2E9C-101B-9397-08002B2CF9AE}" pid="13" name="SendToEpades">
    <vt:lpwstr>OK(AMNUM) - 2023/08/28 13:18</vt:lpwstr>
  </property>
  <property fmtid="{D5CDD505-2E9C-101B-9397-08002B2CF9AE}" pid="14" name="Bookout">
    <vt:lpwstr>OK - 2023/09/11 14:44</vt:lpwstr>
  </property>
</Properties>
</file>