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071D" w:rsidRPr="00A514B5" w:rsidTr="004B110E">
        <w:trPr>
          <w:trHeight w:hRule="exact" w:val="1418"/>
        </w:trPr>
        <w:tc>
          <w:tcPr>
            <w:tcW w:w="6804" w:type="dxa"/>
            <w:shd w:val="clear" w:color="auto" w:fill="auto"/>
            <w:vAlign w:val="center"/>
          </w:tcPr>
          <w:p w:rsidR="0049599D" w:rsidRPr="00A514B5" w:rsidRDefault="00B71BA7" w:rsidP="004B110E">
            <w:pPr>
              <w:pStyle w:val="EPName"/>
            </w:pPr>
            <w:r w:rsidRPr="00A514B5">
              <w:t>Europees Parlement</w:t>
            </w:r>
          </w:p>
          <w:p w:rsidR="0049599D" w:rsidRPr="00A514B5" w:rsidRDefault="00B71BA7" w:rsidP="004B110E">
            <w:pPr>
              <w:pStyle w:val="EPTerm"/>
            </w:pPr>
            <w:r w:rsidRPr="00A514B5">
              <w:t>2019-2024</w:t>
            </w:r>
          </w:p>
        </w:tc>
        <w:tc>
          <w:tcPr>
            <w:tcW w:w="2268" w:type="dxa"/>
            <w:shd w:val="clear" w:color="auto" w:fill="auto"/>
          </w:tcPr>
          <w:p w:rsidR="0049599D" w:rsidRPr="00A514B5" w:rsidRDefault="00B71BA7" w:rsidP="004B110E">
            <w:pPr>
              <w:pStyle w:val="EPLogo"/>
            </w:pPr>
            <w:r w:rsidRPr="00A514B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A514B5" w:rsidRDefault="0049599D" w:rsidP="0049599D">
      <w:pPr>
        <w:pStyle w:val="LineTop"/>
      </w:pPr>
    </w:p>
    <w:p w:rsidR="0049599D" w:rsidRPr="00A514B5" w:rsidRDefault="00B71BA7" w:rsidP="0049599D">
      <w:pPr>
        <w:pStyle w:val="EPBody"/>
      </w:pPr>
      <w:r w:rsidRPr="00A514B5">
        <w:rPr>
          <w:rStyle w:val="HideTWBExt"/>
        </w:rPr>
        <w:t>&lt;</w:t>
      </w:r>
      <w:r w:rsidRPr="00A514B5">
        <w:rPr>
          <w:rStyle w:val="HideTWBExt"/>
          <w:i w:val="0"/>
        </w:rPr>
        <w:t>Commission</w:t>
      </w:r>
      <w:r w:rsidRPr="00A514B5">
        <w:rPr>
          <w:rStyle w:val="HideTWBExt"/>
        </w:rPr>
        <w:t>&gt;</w:t>
      </w:r>
      <w:r w:rsidRPr="00A514B5">
        <w:rPr>
          <w:rStyle w:val="HideTWBInt"/>
          <w:color w:val="auto"/>
        </w:rPr>
        <w:t>{PECH}</w:t>
      </w:r>
      <w:r w:rsidRPr="00A514B5">
        <w:t>Commissie visserij</w:t>
      </w:r>
      <w:r w:rsidRPr="00A514B5">
        <w:rPr>
          <w:rStyle w:val="HideTWBExt"/>
        </w:rPr>
        <w:t>&lt;/</w:t>
      </w:r>
      <w:r w:rsidRPr="00A514B5">
        <w:rPr>
          <w:rStyle w:val="HideTWBExt"/>
          <w:i w:val="0"/>
        </w:rPr>
        <w:t>Commission</w:t>
      </w:r>
      <w:r w:rsidRPr="00A514B5">
        <w:rPr>
          <w:rStyle w:val="HideTWBExt"/>
        </w:rPr>
        <w:t>&gt;</w:t>
      </w:r>
    </w:p>
    <w:p w:rsidR="0049599D" w:rsidRPr="00A514B5" w:rsidRDefault="0049599D" w:rsidP="0049599D">
      <w:pPr>
        <w:pStyle w:val="LineBottom"/>
      </w:pPr>
    </w:p>
    <w:p w:rsidR="0049599D" w:rsidRPr="00A514B5" w:rsidRDefault="00B71BA7" w:rsidP="0049599D">
      <w:pPr>
        <w:pStyle w:val="CoverReference"/>
      </w:pPr>
      <w:r w:rsidRPr="00A514B5">
        <w:rPr>
          <w:rStyle w:val="HideTWBExt"/>
          <w:b w:val="0"/>
        </w:rPr>
        <w:t>&lt;RefProc&gt;</w:t>
      </w:r>
      <w:r w:rsidRPr="00A514B5">
        <w:t>2022/0111</w:t>
      </w:r>
      <w:r w:rsidRPr="00A514B5">
        <w:rPr>
          <w:rStyle w:val="HideTWBExt"/>
          <w:b w:val="0"/>
        </w:rPr>
        <w:t>&lt;/RefProc&gt;&lt;RefTypeProc&gt;</w:t>
      </w:r>
      <w:r w:rsidRPr="00A514B5">
        <w:t>(COD)</w:t>
      </w:r>
      <w:r w:rsidRPr="00A514B5">
        <w:rPr>
          <w:rStyle w:val="HideTWBExt"/>
          <w:b w:val="0"/>
        </w:rPr>
        <w:t>&lt;/RefTypeProc&gt;</w:t>
      </w:r>
    </w:p>
    <w:p w:rsidR="0049599D" w:rsidRPr="00A514B5" w:rsidRDefault="00B71BA7" w:rsidP="0049599D">
      <w:pPr>
        <w:pStyle w:val="CoverDate"/>
      </w:pPr>
      <w:r w:rsidRPr="00A514B5">
        <w:rPr>
          <w:rStyle w:val="HideTWBExt"/>
        </w:rPr>
        <w:t>&lt;Date&gt;</w:t>
      </w:r>
      <w:r w:rsidRPr="00A514B5">
        <w:rPr>
          <w:rStyle w:val="HideTWBInt"/>
          <w:color w:val="auto"/>
        </w:rPr>
        <w:t>{2</w:t>
      </w:r>
      <w:r w:rsidR="00202957">
        <w:rPr>
          <w:rStyle w:val="HideTWBInt"/>
          <w:color w:val="auto"/>
        </w:rPr>
        <w:t>8</w:t>
      </w:r>
      <w:r w:rsidRPr="00A514B5">
        <w:rPr>
          <w:rStyle w:val="HideTWBInt"/>
          <w:color w:val="auto"/>
        </w:rPr>
        <w:t>/0</w:t>
      </w:r>
      <w:r w:rsidR="00202957">
        <w:rPr>
          <w:rStyle w:val="HideTWBInt"/>
          <w:color w:val="auto"/>
        </w:rPr>
        <w:t>8</w:t>
      </w:r>
      <w:r w:rsidRPr="00A514B5">
        <w:rPr>
          <w:rStyle w:val="HideTWBInt"/>
          <w:color w:val="auto"/>
        </w:rPr>
        <w:t>/2023}</w:t>
      </w:r>
      <w:r w:rsidRPr="00A514B5">
        <w:t>2</w:t>
      </w:r>
      <w:r w:rsidR="00202957">
        <w:t>8</w:t>
      </w:r>
      <w:r w:rsidRPr="00A514B5">
        <w:t>.</w:t>
      </w:r>
      <w:r w:rsidR="00202957">
        <w:t>8</w:t>
      </w:r>
      <w:r w:rsidRPr="00A514B5">
        <w:t>.2023</w:t>
      </w:r>
      <w:r w:rsidRPr="00A514B5">
        <w:rPr>
          <w:rStyle w:val="HideTWBExt"/>
        </w:rPr>
        <w:t>&lt;/Date&gt;</w:t>
      </w:r>
    </w:p>
    <w:p w:rsidR="0049599D" w:rsidRPr="00A514B5" w:rsidRDefault="00B71BA7" w:rsidP="0049599D">
      <w:pPr>
        <w:pStyle w:val="CoverDocType"/>
      </w:pPr>
      <w:r w:rsidRPr="00A514B5">
        <w:rPr>
          <w:rStyle w:val="HideTWBExt"/>
          <w:b w:val="0"/>
        </w:rPr>
        <w:t>&lt;RefProcLect&gt;</w:t>
      </w:r>
      <w:r w:rsidRPr="00A514B5">
        <w:t>***I</w:t>
      </w:r>
      <w:r w:rsidRPr="00A514B5">
        <w:rPr>
          <w:rStyle w:val="HideTWBExt"/>
          <w:b w:val="0"/>
        </w:rPr>
        <w:t>&lt;/RefProcLect&gt;</w:t>
      </w:r>
    </w:p>
    <w:p w:rsidR="0049599D" w:rsidRPr="00A514B5" w:rsidRDefault="00B71BA7" w:rsidP="0049599D">
      <w:pPr>
        <w:pStyle w:val="CoverDocType24a"/>
      </w:pPr>
      <w:r w:rsidRPr="00A514B5">
        <w:rPr>
          <w:rStyle w:val="HideTWBExt"/>
          <w:b w:val="0"/>
        </w:rPr>
        <w:t>&lt;TitreType&gt;</w:t>
      </w:r>
      <w:r w:rsidRPr="00A514B5">
        <w:t>ONTWERPVERSLAG</w:t>
      </w:r>
      <w:r w:rsidRPr="00A514B5">
        <w:rPr>
          <w:rStyle w:val="HideTWBExt"/>
          <w:b w:val="0"/>
        </w:rPr>
        <w:t>&lt;/TitreType&gt;</w:t>
      </w:r>
    </w:p>
    <w:p w:rsidR="0049599D" w:rsidRPr="00A514B5" w:rsidRDefault="00B71BA7" w:rsidP="0049599D">
      <w:pPr>
        <w:pStyle w:val="CoverNormal"/>
      </w:pPr>
      <w:r w:rsidRPr="00A514B5">
        <w:rPr>
          <w:rStyle w:val="HideTWBExt"/>
        </w:rPr>
        <w:t>&lt;Titre&gt;</w:t>
      </w:r>
      <w:r w:rsidRPr="00A514B5">
        <w:t>over het voorstel voor een Verordening van het Europees Parlement en de Raad tot wijziging van Verordening (EU) 2017/2107 tot vaststelling van in het verdragsgebied van de Internationale Commissie voor de instandhouding van Atlantische tonijnen (Iccat) geldende beheers-, instandhoudings- en controlemaatregelen en van Verordening (EU) 2022/... tot vaststelling van een meerjarig beheersplan voor blauwvintonijn in het oostelijke deel van de Atlantische Oceaan en de Middellandse Zee</w:t>
      </w:r>
      <w:r w:rsidRPr="00A514B5">
        <w:rPr>
          <w:rStyle w:val="HideTWBExt"/>
        </w:rPr>
        <w:t>&lt;/Titre&gt;</w:t>
      </w:r>
    </w:p>
    <w:p w:rsidR="0049599D" w:rsidRPr="00A514B5" w:rsidRDefault="00B71BA7" w:rsidP="0049599D">
      <w:pPr>
        <w:pStyle w:val="CoverNormal24a"/>
      </w:pPr>
      <w:r w:rsidRPr="00A514B5">
        <w:rPr>
          <w:rStyle w:val="HideTWBExt"/>
        </w:rPr>
        <w:t>&lt;DocRef&gt;</w:t>
      </w:r>
      <w:r w:rsidRPr="00A514B5">
        <w:t>(COM(2022)0171 – C9</w:t>
      </w:r>
      <w:r w:rsidRPr="00A514B5">
        <w:noBreakHyphen/>
        <w:t>0151/2022 – 2022/0111(COD))</w:t>
      </w:r>
      <w:r w:rsidRPr="00A514B5">
        <w:rPr>
          <w:rStyle w:val="HideTWBExt"/>
        </w:rPr>
        <w:t>&lt;/DocRef&gt;</w:t>
      </w:r>
    </w:p>
    <w:p w:rsidR="0049599D" w:rsidRPr="00A514B5" w:rsidRDefault="00B71BA7" w:rsidP="0049599D">
      <w:pPr>
        <w:pStyle w:val="CoverNormal24a"/>
      </w:pPr>
      <w:r w:rsidRPr="00A514B5">
        <w:rPr>
          <w:rStyle w:val="HideTWBExt"/>
        </w:rPr>
        <w:t>&lt;Commission&gt;</w:t>
      </w:r>
      <w:r w:rsidRPr="00A514B5">
        <w:rPr>
          <w:rStyle w:val="HideTWBInt"/>
          <w:color w:val="auto"/>
        </w:rPr>
        <w:t>{PECH}</w:t>
      </w:r>
      <w:r w:rsidRPr="00A514B5">
        <w:t>Commissie visserij</w:t>
      </w:r>
      <w:r w:rsidRPr="00A514B5">
        <w:rPr>
          <w:rStyle w:val="HideTWBExt"/>
        </w:rPr>
        <w:t>&lt;/Commission&gt;</w:t>
      </w:r>
    </w:p>
    <w:p w:rsidR="0049599D" w:rsidRPr="00A514B5" w:rsidRDefault="00B71BA7" w:rsidP="0049599D">
      <w:pPr>
        <w:pStyle w:val="CoverNormal24a"/>
      </w:pPr>
      <w:r w:rsidRPr="00A514B5">
        <w:t xml:space="preserve">Rapporteur: </w:t>
      </w:r>
      <w:r w:rsidRPr="00A514B5">
        <w:rPr>
          <w:rStyle w:val="HideTWBExt"/>
        </w:rPr>
        <w:t>&lt;Depute&gt;</w:t>
      </w:r>
      <w:r w:rsidRPr="00A514B5">
        <w:t>Clara Aguilera</w:t>
      </w:r>
      <w:r w:rsidRPr="00A514B5">
        <w:rPr>
          <w:rStyle w:val="HideTWBExt"/>
        </w:rPr>
        <w:t>&lt;/Depute&gt;</w:t>
      </w:r>
    </w:p>
    <w:p w:rsidR="0049599D" w:rsidRPr="00A514B5" w:rsidRDefault="0049599D" w:rsidP="0049599D">
      <w:pPr>
        <w:pStyle w:val="CoverNormal"/>
      </w:pPr>
    </w:p>
    <w:p w:rsidR="0049599D" w:rsidRPr="00A514B5" w:rsidRDefault="00B71BA7" w:rsidP="0049599D">
      <w:r w:rsidRPr="00A514B5">
        <w:br w:type="page"/>
      </w:r>
      <w:fldSimple w:instr=" TITLE  \* MERGEFORMAT ">
        <w:r w:rsidR="00B93BE9">
          <w:t>PR_COD_1amCom</w:t>
        </w:r>
      </w:fldSimple>
    </w:p>
    <w:p w:rsidR="0049599D" w:rsidRPr="00A514B5" w:rsidRDefault="0049599D" w:rsidP="0049599D"/>
    <w:p w:rsidR="0049599D" w:rsidRPr="00A514B5"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9071D" w:rsidRPr="00A514B5" w:rsidTr="004B110E">
        <w:tc>
          <w:tcPr>
            <w:tcW w:w="5811" w:type="dxa"/>
          </w:tcPr>
          <w:p w:rsidR="0049599D" w:rsidRPr="00A514B5" w:rsidRDefault="00B71BA7" w:rsidP="004B110E">
            <w:pPr>
              <w:pStyle w:val="Lgendetitre"/>
            </w:pPr>
            <w:r w:rsidRPr="00A514B5">
              <w:t>Verklaring van de gebruikte tekens</w:t>
            </w:r>
          </w:p>
        </w:tc>
      </w:tr>
      <w:tr w:rsidR="00B9071D" w:rsidRPr="00A514B5" w:rsidTr="004B110E">
        <w:trPr>
          <w:cantSplit/>
          <w:trHeight w:val="1807"/>
        </w:trPr>
        <w:tc>
          <w:tcPr>
            <w:tcW w:w="5811" w:type="dxa"/>
            <w:tcBorders>
              <w:bottom w:val="single" w:sz="4" w:space="0" w:color="auto"/>
            </w:tcBorders>
          </w:tcPr>
          <w:p w:rsidR="0049599D" w:rsidRPr="00A514B5" w:rsidRDefault="00B71BA7" w:rsidP="004B110E">
            <w:pPr>
              <w:pStyle w:val="Lgendesigne"/>
            </w:pPr>
            <w:r w:rsidRPr="00A514B5">
              <w:tab/>
              <w:t>*</w:t>
            </w:r>
            <w:r w:rsidRPr="00A514B5">
              <w:tab/>
              <w:t>Raadplegingsprocedure</w:t>
            </w:r>
          </w:p>
          <w:p w:rsidR="0049599D" w:rsidRPr="00A514B5" w:rsidRDefault="00B71BA7" w:rsidP="004B110E">
            <w:pPr>
              <w:pStyle w:val="Lgendesigne"/>
            </w:pPr>
            <w:r w:rsidRPr="00A514B5">
              <w:tab/>
              <w:t>***</w:t>
            </w:r>
            <w:r w:rsidRPr="00A514B5">
              <w:tab/>
              <w:t>Goedkeuringsprocedure</w:t>
            </w:r>
          </w:p>
          <w:p w:rsidR="0049599D" w:rsidRPr="00A514B5" w:rsidRDefault="00B71BA7" w:rsidP="004B110E">
            <w:pPr>
              <w:pStyle w:val="Lgendesigne"/>
            </w:pPr>
            <w:r w:rsidRPr="00A514B5">
              <w:tab/>
              <w:t>***I</w:t>
            </w:r>
            <w:r w:rsidRPr="00A514B5">
              <w:tab/>
              <w:t>Gewone wetgevingsprocedure (eerste lezing)</w:t>
            </w:r>
          </w:p>
          <w:p w:rsidR="0049599D" w:rsidRPr="00A514B5" w:rsidRDefault="00B71BA7" w:rsidP="004B110E">
            <w:pPr>
              <w:pStyle w:val="Lgendesigne"/>
            </w:pPr>
            <w:r w:rsidRPr="00A514B5">
              <w:tab/>
              <w:t>***II</w:t>
            </w:r>
            <w:r w:rsidRPr="00A514B5">
              <w:tab/>
              <w:t>Gewone wetgevingsprocedure (tweede lezing)</w:t>
            </w:r>
          </w:p>
          <w:p w:rsidR="0049599D" w:rsidRPr="00A514B5" w:rsidRDefault="00B71BA7" w:rsidP="004B110E">
            <w:pPr>
              <w:pStyle w:val="Lgendesigne"/>
            </w:pPr>
            <w:r w:rsidRPr="00A514B5">
              <w:tab/>
              <w:t>***III</w:t>
            </w:r>
            <w:r w:rsidRPr="00A514B5">
              <w:tab/>
              <w:t>Gewone wetgevingsprocedure (derde lezing)</w:t>
            </w:r>
          </w:p>
          <w:p w:rsidR="0049599D" w:rsidRPr="00A514B5" w:rsidRDefault="0049599D" w:rsidP="004B110E">
            <w:pPr>
              <w:pStyle w:val="Lgendestandard"/>
            </w:pPr>
          </w:p>
          <w:p w:rsidR="0049599D" w:rsidRPr="00A514B5" w:rsidRDefault="00B71BA7" w:rsidP="004B110E">
            <w:pPr>
              <w:pStyle w:val="Lgendestandard"/>
            </w:pPr>
            <w:r w:rsidRPr="00A514B5">
              <w:t>(De aangeduide procedure is gebaseerd op de in de ontwerptekst voorgestelde rechtsgrond.)</w:t>
            </w:r>
          </w:p>
          <w:p w:rsidR="0049599D" w:rsidRPr="00A514B5" w:rsidRDefault="0049599D" w:rsidP="004B110E">
            <w:pPr>
              <w:pStyle w:val="Lgendestandard"/>
            </w:pPr>
          </w:p>
        </w:tc>
      </w:tr>
    </w:tbl>
    <w:p w:rsidR="0049599D" w:rsidRPr="00A514B5" w:rsidRDefault="0049599D" w:rsidP="0049599D"/>
    <w:p w:rsidR="0049599D" w:rsidRPr="00A514B5" w:rsidRDefault="0049599D" w:rsidP="0049599D"/>
    <w:p w:rsidR="0049599D" w:rsidRPr="00A514B5" w:rsidRDefault="0049599D" w:rsidP="0049599D"/>
    <w:p w:rsidR="0049599D" w:rsidRPr="00A514B5"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9071D" w:rsidRPr="00A514B5" w:rsidTr="004B110E">
        <w:tc>
          <w:tcPr>
            <w:tcW w:w="5811" w:type="dxa"/>
          </w:tcPr>
          <w:p w:rsidR="0049599D" w:rsidRPr="00A514B5" w:rsidRDefault="00B71BA7" w:rsidP="004B110E">
            <w:pPr>
              <w:pStyle w:val="Lgendetitre"/>
            </w:pPr>
            <w:r w:rsidRPr="00A514B5">
              <w:t>Amendementen op een ontwerphandeling</w:t>
            </w:r>
          </w:p>
        </w:tc>
      </w:tr>
      <w:tr w:rsidR="00B9071D" w:rsidRPr="00A514B5" w:rsidTr="004B110E">
        <w:trPr>
          <w:trHeight w:val="4496"/>
        </w:trPr>
        <w:tc>
          <w:tcPr>
            <w:tcW w:w="5811" w:type="dxa"/>
          </w:tcPr>
          <w:p w:rsidR="0049599D" w:rsidRPr="00A514B5" w:rsidRDefault="00B71BA7" w:rsidP="004B110E">
            <w:pPr>
              <w:pStyle w:val="Lgendestandard"/>
              <w:rPr>
                <w:szCs w:val="24"/>
              </w:rPr>
            </w:pPr>
            <w:r w:rsidRPr="00A514B5">
              <w:rPr>
                <w:b/>
              </w:rPr>
              <w:t>Amendementen van het Parlement in twee kolommen</w:t>
            </w:r>
          </w:p>
          <w:p w:rsidR="0049599D" w:rsidRPr="00A514B5" w:rsidRDefault="0049599D" w:rsidP="004B110E">
            <w:pPr>
              <w:pStyle w:val="Lgendestandard"/>
              <w:rPr>
                <w:szCs w:val="24"/>
              </w:rPr>
            </w:pPr>
          </w:p>
          <w:p w:rsidR="0049599D" w:rsidRPr="00A514B5" w:rsidRDefault="00B71BA7" w:rsidP="004B110E">
            <w:pPr>
              <w:pStyle w:val="Lgendestandard"/>
              <w:rPr>
                <w:szCs w:val="24"/>
              </w:rPr>
            </w:pPr>
            <w:r w:rsidRPr="00A514B5">
              <w:t xml:space="preserve">Geschrapte tekstdelen worden in de linkerkolom in </w:t>
            </w:r>
            <w:r w:rsidRPr="00A514B5">
              <w:rPr>
                <w:b/>
                <w:bCs/>
                <w:i/>
                <w:iCs/>
              </w:rPr>
              <w:t>vet cursief</w:t>
            </w:r>
            <w:r w:rsidRPr="00A514B5">
              <w:t xml:space="preserve"> aangegeven. Vervangen tekstdelen worden in beide kolommen in </w:t>
            </w:r>
            <w:r w:rsidRPr="00A514B5">
              <w:rPr>
                <w:b/>
                <w:bCs/>
                <w:i/>
              </w:rPr>
              <w:t>vet cursief</w:t>
            </w:r>
            <w:r w:rsidRPr="00A514B5">
              <w:t xml:space="preserve"> aangegeven. Nieuwe tekst wordt in de rechterkolom in </w:t>
            </w:r>
            <w:r w:rsidRPr="00A514B5">
              <w:rPr>
                <w:b/>
                <w:bCs/>
                <w:i/>
              </w:rPr>
              <w:t>vet cursief</w:t>
            </w:r>
            <w:r w:rsidRPr="00A514B5">
              <w:t xml:space="preserve"> aangegeven.</w:t>
            </w:r>
          </w:p>
          <w:p w:rsidR="0049599D" w:rsidRPr="00A514B5" w:rsidRDefault="0049599D" w:rsidP="004B110E">
            <w:pPr>
              <w:pStyle w:val="Lgendestandard"/>
              <w:rPr>
                <w:szCs w:val="24"/>
              </w:rPr>
            </w:pPr>
          </w:p>
          <w:p w:rsidR="0049599D" w:rsidRPr="00A514B5" w:rsidRDefault="00B71BA7" w:rsidP="004B110E">
            <w:pPr>
              <w:pStyle w:val="Lgendestandard"/>
              <w:rPr>
                <w:szCs w:val="24"/>
              </w:rPr>
            </w:pPr>
            <w:r w:rsidRPr="00A514B5">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die verwijzen naar de bestaande handeling respectievelijk naar de bepaling in kwestie.</w:t>
            </w:r>
          </w:p>
          <w:p w:rsidR="0049599D" w:rsidRPr="00A514B5" w:rsidRDefault="0049599D" w:rsidP="004B110E">
            <w:pPr>
              <w:pStyle w:val="Lgendestandard"/>
              <w:rPr>
                <w:szCs w:val="24"/>
              </w:rPr>
            </w:pPr>
          </w:p>
          <w:p w:rsidR="0049599D" w:rsidRPr="00A514B5" w:rsidRDefault="00B71BA7" w:rsidP="004B110E">
            <w:pPr>
              <w:pStyle w:val="Lgendestandard"/>
              <w:rPr>
                <w:b/>
                <w:szCs w:val="24"/>
              </w:rPr>
            </w:pPr>
            <w:r w:rsidRPr="00A514B5">
              <w:rPr>
                <w:b/>
              </w:rPr>
              <w:t>Amendementen van het Parlement in de vorm van een geconsolideerde tekst</w:t>
            </w:r>
          </w:p>
          <w:p w:rsidR="0049599D" w:rsidRPr="00A514B5" w:rsidRDefault="0049599D" w:rsidP="004B110E">
            <w:pPr>
              <w:pStyle w:val="Lgendestandard"/>
              <w:rPr>
                <w:szCs w:val="24"/>
              </w:rPr>
            </w:pPr>
          </w:p>
          <w:p w:rsidR="0049599D" w:rsidRPr="00A514B5" w:rsidRDefault="00B71BA7" w:rsidP="004B110E">
            <w:pPr>
              <w:pStyle w:val="Lgendestandard"/>
              <w:rPr>
                <w:szCs w:val="24"/>
              </w:rPr>
            </w:pPr>
            <w:r w:rsidRPr="00A514B5">
              <w:t xml:space="preserve">Nieuwe tekstdelen worden in </w:t>
            </w:r>
            <w:r w:rsidRPr="00A514B5">
              <w:rPr>
                <w:b/>
                <w:bCs/>
                <w:i/>
              </w:rPr>
              <w:t>vet cursief</w:t>
            </w:r>
            <w:r w:rsidRPr="00A514B5">
              <w:t xml:space="preserve"> aangegeven. Geschrapte tekstdelen worden aangegeven met het symbool ▌ of worden doorgestreept. Waar tekstdelen vervangen worden, wordt de nieuwe tekst in </w:t>
            </w:r>
            <w:r w:rsidRPr="00A514B5">
              <w:rPr>
                <w:b/>
                <w:bCs/>
                <w:i/>
              </w:rPr>
              <w:t>vet cursief</w:t>
            </w:r>
            <w:r w:rsidRPr="00A514B5">
              <w:t xml:space="preserve"> aangegeven, terwijl de vervangen tekst wordt geschrapt of doorgestreept. </w:t>
            </w:r>
          </w:p>
          <w:p w:rsidR="0049599D" w:rsidRPr="00A514B5" w:rsidRDefault="00B71BA7" w:rsidP="004B110E">
            <w:pPr>
              <w:pStyle w:val="Lgendestandard"/>
            </w:pPr>
            <w:r w:rsidRPr="00A514B5">
              <w:t>Bij wijze van uitzondering worden zuiver technische wijzigingen die de diensten aanbrengen met het oog op de opstelling van de definitieve tekst, niet gemarkeerd.</w:t>
            </w:r>
          </w:p>
          <w:p w:rsidR="0049599D" w:rsidRPr="00A514B5" w:rsidRDefault="0049599D" w:rsidP="004B110E">
            <w:pPr>
              <w:pStyle w:val="Lgendestandard"/>
            </w:pPr>
          </w:p>
        </w:tc>
      </w:tr>
    </w:tbl>
    <w:p w:rsidR="0049599D" w:rsidRPr="00A514B5" w:rsidRDefault="0049599D" w:rsidP="0049599D"/>
    <w:p w:rsidR="0049599D" w:rsidRPr="00A514B5" w:rsidRDefault="0049599D" w:rsidP="0049599D">
      <w:pPr>
        <w:widowControl/>
        <w:tabs>
          <w:tab w:val="center" w:pos="4677"/>
        </w:tabs>
      </w:pPr>
    </w:p>
    <w:p w:rsidR="0049599D" w:rsidRPr="00A514B5" w:rsidRDefault="00B71BA7" w:rsidP="0049599D">
      <w:pPr>
        <w:pStyle w:val="TOCHeading"/>
      </w:pPr>
      <w:r w:rsidRPr="00A514B5">
        <w:br w:type="page"/>
      </w:r>
      <w:r w:rsidRPr="00A514B5">
        <w:lastRenderedPageBreak/>
        <w:t>INHOUD</w:t>
      </w:r>
    </w:p>
    <w:p w:rsidR="0049599D" w:rsidRPr="00A514B5" w:rsidRDefault="00B71BA7" w:rsidP="0049599D">
      <w:pPr>
        <w:pStyle w:val="TOCPage"/>
      </w:pPr>
      <w:r w:rsidRPr="00A514B5">
        <w:t>Blz.</w:t>
      </w:r>
    </w:p>
    <w:p w:rsidR="00B93BE9" w:rsidRDefault="00B71BA7">
      <w:pPr>
        <w:pStyle w:val="TOC1"/>
        <w:tabs>
          <w:tab w:val="right" w:leader="dot" w:pos="9060"/>
        </w:tabs>
        <w:rPr>
          <w:rFonts w:asciiTheme="minorHAnsi" w:eastAsiaTheme="minorEastAsia" w:hAnsiTheme="minorHAnsi" w:cstheme="minorBidi"/>
          <w:noProof/>
          <w:sz w:val="22"/>
          <w:szCs w:val="22"/>
          <w:lang w:val="en-GB"/>
        </w:rPr>
      </w:pPr>
      <w:r w:rsidRPr="00A514B5">
        <w:rPr>
          <w:b/>
        </w:rPr>
        <w:fldChar w:fldCharType="begin"/>
      </w:r>
      <w:r w:rsidRPr="00A514B5">
        <w:rPr>
          <w:b/>
        </w:rPr>
        <w:instrText xml:space="preserve"> TOC \t "PageHeading</w:instrText>
      </w:r>
      <w:r w:rsidR="00A548A0" w:rsidRPr="00A514B5">
        <w:rPr>
          <w:b/>
        </w:rPr>
        <w:instrText>;</w:instrText>
      </w:r>
      <w:r w:rsidRPr="00A514B5">
        <w:rPr>
          <w:b/>
        </w:rPr>
        <w:instrText xml:space="preserve">1" </w:instrText>
      </w:r>
      <w:r w:rsidRPr="00A514B5">
        <w:rPr>
          <w:b/>
        </w:rPr>
        <w:fldChar w:fldCharType="separate"/>
      </w:r>
      <w:r w:rsidR="00B93BE9">
        <w:rPr>
          <w:noProof/>
        </w:rPr>
        <w:t>ONTWERPWETGEVINGSRESOLUTIE VAN HET EUROPEES PARLEMENT</w:t>
      </w:r>
      <w:r w:rsidR="00B93BE9">
        <w:rPr>
          <w:noProof/>
        </w:rPr>
        <w:tab/>
      </w:r>
      <w:r w:rsidR="00B93BE9">
        <w:rPr>
          <w:noProof/>
        </w:rPr>
        <w:fldChar w:fldCharType="begin"/>
      </w:r>
      <w:r w:rsidR="00B93BE9">
        <w:rPr>
          <w:noProof/>
        </w:rPr>
        <w:instrText xml:space="preserve"> PAGEREF _Toc144998795 \h </w:instrText>
      </w:r>
      <w:r w:rsidR="00B93BE9">
        <w:rPr>
          <w:noProof/>
        </w:rPr>
      </w:r>
      <w:r w:rsidR="00B93BE9">
        <w:rPr>
          <w:noProof/>
        </w:rPr>
        <w:fldChar w:fldCharType="separate"/>
      </w:r>
      <w:r w:rsidR="00B93BE9">
        <w:rPr>
          <w:noProof/>
        </w:rPr>
        <w:t>5</w:t>
      </w:r>
      <w:r w:rsidR="00B93BE9">
        <w:rPr>
          <w:noProof/>
        </w:rPr>
        <w:fldChar w:fldCharType="end"/>
      </w:r>
    </w:p>
    <w:p w:rsidR="00B93BE9" w:rsidRDefault="00B93BE9">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_Toc144998796 \h </w:instrText>
      </w:r>
      <w:r>
        <w:rPr>
          <w:noProof/>
        </w:rPr>
      </w:r>
      <w:r>
        <w:rPr>
          <w:noProof/>
        </w:rPr>
        <w:fldChar w:fldCharType="separate"/>
      </w:r>
      <w:r>
        <w:rPr>
          <w:noProof/>
        </w:rPr>
        <w:t>110</w:t>
      </w:r>
      <w:r>
        <w:rPr>
          <w:noProof/>
        </w:rPr>
        <w:fldChar w:fldCharType="end"/>
      </w:r>
    </w:p>
    <w:p w:rsidR="0049599D" w:rsidRPr="00A514B5" w:rsidRDefault="00B71BA7" w:rsidP="0049599D">
      <w:r w:rsidRPr="00A514B5">
        <w:rPr>
          <w:b/>
        </w:rPr>
        <w:fldChar w:fldCharType="end"/>
      </w:r>
    </w:p>
    <w:p w:rsidR="0049599D" w:rsidRPr="00A514B5" w:rsidRDefault="00B71BA7" w:rsidP="0049599D">
      <w:pPr>
        <w:pStyle w:val="PageHeading"/>
      </w:pPr>
      <w:r w:rsidRPr="00A514B5">
        <w:br w:type="page"/>
      </w:r>
      <w:r w:rsidRPr="00A514B5">
        <w:lastRenderedPageBreak/>
        <w:br w:type="page"/>
      </w:r>
      <w:bookmarkStart w:id="0" w:name="_Toc144998795"/>
      <w:r w:rsidRPr="00A514B5">
        <w:lastRenderedPageBreak/>
        <w:t>ONTWERPWETGEVINGSRESOLUTIE VAN HET EUROPEES PARLEMENT</w:t>
      </w:r>
      <w:bookmarkEnd w:id="0"/>
    </w:p>
    <w:p w:rsidR="0049599D" w:rsidRPr="00A514B5" w:rsidRDefault="00B71BA7" w:rsidP="0049599D">
      <w:pPr>
        <w:pStyle w:val="NormalBold"/>
      </w:pPr>
      <w:r w:rsidRPr="00A514B5">
        <w:t>over het voorstel voor een Verordening van het Europees Parlement en de Raad tot wijziging van Verordening (EU) 2017/2107 tot vaststelling van in het verdragsgebied van de Internationale Commissie voor de instandhouding van Atlantische tonijnen (Iccat) geldende beheers-, instandhoudings- en controlemaatregelen en van Verordening (EU) 2022/... tot vaststelling van een meerjarig beheersplan voor blauwvintonijn in het oostelijke deel van de Atlantische Oceaan en de Middellandse Zee</w:t>
      </w:r>
    </w:p>
    <w:p w:rsidR="0049599D" w:rsidRPr="00A514B5" w:rsidRDefault="00B71BA7" w:rsidP="0049599D">
      <w:pPr>
        <w:pStyle w:val="NormalBold12a"/>
      </w:pPr>
      <w:r w:rsidRPr="00A514B5">
        <w:t>(COM(2022)0171 – C9</w:t>
      </w:r>
      <w:r w:rsidRPr="00A514B5">
        <w:noBreakHyphen/>
        <w:t>0151/2022 – 2022/0111(COD))</w:t>
      </w:r>
    </w:p>
    <w:p w:rsidR="0049599D" w:rsidRPr="00A514B5" w:rsidRDefault="00B71BA7" w:rsidP="0049599D">
      <w:pPr>
        <w:pStyle w:val="NormalBold"/>
      </w:pPr>
      <w:r w:rsidRPr="00A514B5">
        <w:t>(Gewone wetgevingsprocedure: eerste lezing)</w:t>
      </w:r>
    </w:p>
    <w:p w:rsidR="0049599D" w:rsidRPr="00A514B5" w:rsidRDefault="00B71BA7" w:rsidP="0049599D">
      <w:pPr>
        <w:pStyle w:val="EPComma"/>
      </w:pPr>
      <w:r w:rsidRPr="00A514B5">
        <w:rPr>
          <w:i/>
          <w:iCs/>
        </w:rPr>
        <w:t>Het Europees Parlement</w:t>
      </w:r>
      <w:r w:rsidRPr="00A514B5">
        <w:t>,</w:t>
      </w:r>
    </w:p>
    <w:p w:rsidR="0049599D" w:rsidRPr="00A514B5" w:rsidRDefault="00B71BA7" w:rsidP="0049599D">
      <w:pPr>
        <w:pStyle w:val="NormalHanging12a"/>
      </w:pPr>
      <w:r w:rsidRPr="00A514B5">
        <w:t>–</w:t>
      </w:r>
      <w:r w:rsidRPr="00A514B5">
        <w:tab/>
        <w:t>gezien het voorstel van de Commissie aan het Europees Parlement en de Raad (COM(2022)0171),</w:t>
      </w:r>
    </w:p>
    <w:p w:rsidR="0049599D" w:rsidRPr="00A514B5" w:rsidRDefault="00B71BA7" w:rsidP="0049599D">
      <w:pPr>
        <w:pStyle w:val="NormalHanging12a"/>
      </w:pPr>
      <w:r w:rsidRPr="00A514B5">
        <w:t>–</w:t>
      </w:r>
      <w:r w:rsidRPr="00A514B5">
        <w:tab/>
        <w:t>gezien artikel 294, lid 2, en artikel 43, lid 2, van het Verdrag betreffende de werking van de Europese Unie, op grond waarvan het voorstel door de Commissie bij het Parlement is ingediend (C9</w:t>
      </w:r>
      <w:r w:rsidRPr="00A514B5">
        <w:noBreakHyphen/>
        <w:t>0151/2022),</w:t>
      </w:r>
    </w:p>
    <w:p w:rsidR="0049599D" w:rsidRPr="00A514B5" w:rsidRDefault="00B71BA7" w:rsidP="0049599D">
      <w:pPr>
        <w:pStyle w:val="NormalHanging12a"/>
      </w:pPr>
      <w:r w:rsidRPr="00A514B5">
        <w:t>–</w:t>
      </w:r>
      <w:r w:rsidRPr="00A514B5">
        <w:tab/>
        <w:t>gezien artikel 294, lid 3, van het Verdrag betreffende de werking van de Europese Unie,</w:t>
      </w:r>
    </w:p>
    <w:p w:rsidR="0049599D" w:rsidRPr="00A514B5" w:rsidRDefault="00B71BA7" w:rsidP="0049599D">
      <w:pPr>
        <w:pStyle w:val="NormalHanging12a"/>
      </w:pPr>
      <w:r w:rsidRPr="00A514B5">
        <w:t>–</w:t>
      </w:r>
      <w:r w:rsidRPr="00A514B5">
        <w:tab/>
        <w:t>gezien het advies van het Europees Economisch en Sociaal Comité</w:t>
      </w:r>
      <w:r w:rsidRPr="00A514B5">
        <w:rPr>
          <w:rStyle w:val="FootnoteReference"/>
        </w:rPr>
        <w:footnoteReference w:id="1"/>
      </w:r>
      <w:r w:rsidRPr="00A514B5">
        <w:t>,</w:t>
      </w:r>
    </w:p>
    <w:p w:rsidR="0049599D" w:rsidRPr="00A514B5" w:rsidRDefault="00B71BA7" w:rsidP="0049599D">
      <w:pPr>
        <w:pStyle w:val="NormalHanging12a"/>
      </w:pPr>
      <w:r w:rsidRPr="00A514B5">
        <w:t>–</w:t>
      </w:r>
      <w:r w:rsidRPr="00A514B5">
        <w:tab/>
        <w:t>gezien artikel 59 van zijn Reglement,</w:t>
      </w:r>
    </w:p>
    <w:p w:rsidR="0049599D" w:rsidRPr="00A514B5" w:rsidRDefault="00B71BA7" w:rsidP="0049599D">
      <w:pPr>
        <w:pStyle w:val="NormalHanging12a"/>
      </w:pPr>
      <w:r w:rsidRPr="00A514B5">
        <w:t>–</w:t>
      </w:r>
      <w:r w:rsidRPr="00A514B5">
        <w:tab/>
        <w:t>gezien het verslag van de Commissie visserij (A9</w:t>
      </w:r>
      <w:r w:rsidRPr="00A514B5">
        <w:noBreakHyphen/>
        <w:t>0000/2023),</w:t>
      </w:r>
    </w:p>
    <w:p w:rsidR="0049599D" w:rsidRPr="00A514B5" w:rsidRDefault="00B71BA7" w:rsidP="0049599D">
      <w:pPr>
        <w:pStyle w:val="NormalHanging12a"/>
      </w:pPr>
      <w:r w:rsidRPr="00A514B5">
        <w:t>1.</w:t>
      </w:r>
      <w:r w:rsidRPr="00A514B5">
        <w:tab/>
        <w:t>stelt onderstaand standpunt in eerste lezing vast;</w:t>
      </w:r>
    </w:p>
    <w:p w:rsidR="0049599D" w:rsidRPr="00A514B5" w:rsidRDefault="00B71BA7" w:rsidP="0049599D">
      <w:pPr>
        <w:pStyle w:val="NormalHanging12a"/>
      </w:pPr>
      <w:r w:rsidRPr="00A514B5">
        <w:t>2.</w:t>
      </w:r>
      <w:r w:rsidRPr="00A514B5">
        <w:tab/>
        <w:t>verzoekt de Commissie om hernieuwde voorlegging aan het Parlement indien zij haar voorstel vervangt, ingrijpend wijzigt of voornemens is het ingrijpend te wijzigen;</w:t>
      </w:r>
    </w:p>
    <w:p w:rsidR="0049599D" w:rsidRPr="00A514B5" w:rsidRDefault="00B71BA7" w:rsidP="0049599D">
      <w:pPr>
        <w:pStyle w:val="NormalHanging12a"/>
      </w:pPr>
      <w:r w:rsidRPr="00A514B5">
        <w:t>3.</w:t>
      </w:r>
      <w:r w:rsidRPr="00A514B5">
        <w:tab/>
        <w:t>verzoekt zijn Voorzitter het standpunt van het Parlement te doen toekomen aan de Raad en aan de Commissie alsmede aan de nationale parlementen.</w:t>
      </w:r>
    </w:p>
    <w:p w:rsidR="0049599D" w:rsidRPr="00A514B5" w:rsidRDefault="00B71BA7">
      <w:pPr>
        <w:widowControl/>
      </w:pPr>
      <w:r w:rsidRPr="00A514B5">
        <w:br w:type="page"/>
      </w:r>
    </w:p>
    <w:p w:rsidR="0049599D" w:rsidRPr="00A514B5" w:rsidRDefault="0049599D" w:rsidP="0049599D"/>
    <w:p w:rsidR="0049599D" w:rsidRPr="00A514B5" w:rsidRDefault="00B71BA7" w:rsidP="0049599D">
      <w:pPr>
        <w:pStyle w:val="AMNumberTabs0"/>
        <w:keepNext/>
      </w:pPr>
      <w:r w:rsidRPr="00A514B5">
        <w:rPr>
          <w:rStyle w:val="HideTWBExt"/>
          <w:b w:val="0"/>
        </w:rPr>
        <w:t>&lt;RepeatBlock-Amend&gt;&lt;Amend&gt;</w:t>
      </w:r>
      <w:r w:rsidRPr="00A514B5">
        <w:t>Amendement</w:t>
      </w:r>
      <w:r w:rsidRPr="00A514B5">
        <w:tab/>
      </w:r>
      <w:r w:rsidRPr="00A514B5">
        <w:tab/>
      </w:r>
      <w:r w:rsidRPr="00A514B5">
        <w:rPr>
          <w:rStyle w:val="HideTWBExt"/>
          <w:b w:val="0"/>
        </w:rPr>
        <w:t>&lt;NumAm&gt;</w:t>
      </w:r>
      <w:r w:rsidRPr="00A514B5">
        <w:t>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Overweging 1</w:t>
      </w:r>
      <w:r w:rsidRPr="00A514B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(1)</w:t>
            </w:r>
            <w:r w:rsidRPr="00A514B5">
              <w:tab/>
              <w:t>Sinds de vaststelling van Verordening (EU) 2017/2107 van het Europees Parlement en de Raad</w:t>
            </w:r>
            <w:r w:rsidRPr="00A514B5">
              <w:rPr>
                <w:vertAlign w:val="superscript"/>
              </w:rPr>
              <w:t>2</w:t>
            </w:r>
            <w:r w:rsidRPr="00A514B5">
              <w:t xml:space="preserve"> heeft de Internationale Commissie voor de instandhouding van Atlantische tonijnen (de Iccat) tijdens haar jaarvergaderingen van 2017, 2018, 2019 </w:t>
            </w:r>
            <w:r w:rsidRPr="00A514B5">
              <w:rPr>
                <w:b/>
                <w:i/>
              </w:rPr>
              <w:t>en</w:t>
            </w:r>
            <w:r w:rsidRPr="00A514B5">
              <w:t xml:space="preserve"> 2021 een aantal juridisch bindende maatregelen voor de instandhouding van de onder haar bevoegdheid vallende visbestanden aangenomen. </w:t>
            </w:r>
            <w:r w:rsidRPr="00A514B5">
              <w:rPr>
                <w:b/>
                <w:i/>
              </w:rPr>
              <w:t>Daarnaast heeft de EU nog geen uitvoering gegeven aan juridisch bindende maatregelen met betrekking tot kweekactiviteiten voor blauwvintonijn die tijdens de Iccat-jaarvergadering van 2006 zijn aangenomen.</w:t>
            </w:r>
          </w:p>
        </w:tc>
        <w:tc>
          <w:tcPr>
            <w:tcW w:w="4876" w:type="dxa"/>
          </w:tcPr>
          <w:p w:rsidR="0049599D" w:rsidRPr="00A514B5" w:rsidRDefault="00B71BA7" w:rsidP="004B110E">
            <w:pPr>
              <w:pStyle w:val="Normal6"/>
              <w:rPr>
                <w:szCs w:val="24"/>
              </w:rPr>
            </w:pPr>
            <w:r w:rsidRPr="00A514B5">
              <w:t>(1)</w:t>
            </w:r>
            <w:r w:rsidRPr="00A514B5">
              <w:tab/>
              <w:t>Sinds de vaststelling van Verordening (EU) 2017/2107 van het Europees Parlement en de Raad</w:t>
            </w:r>
            <w:r w:rsidRPr="00A514B5">
              <w:rPr>
                <w:vertAlign w:val="superscript"/>
              </w:rPr>
              <w:t>2</w:t>
            </w:r>
            <w:r w:rsidRPr="00A514B5">
              <w:t xml:space="preserve"> heeft de Internationale Commissie voor de instandhouding van Atlantische tonijnen (de Iccat) tijdens haar jaarvergaderingen van 2017, 2018, 2019</w:t>
            </w:r>
            <w:r w:rsidRPr="00A514B5">
              <w:rPr>
                <w:b/>
                <w:i/>
              </w:rPr>
              <w:t>,</w:t>
            </w:r>
            <w:r w:rsidRPr="00A514B5">
              <w:t xml:space="preserve"> 2021 </w:t>
            </w:r>
            <w:r w:rsidRPr="00A514B5">
              <w:rPr>
                <w:b/>
                <w:bCs/>
                <w:i/>
                <w:iCs/>
              </w:rPr>
              <w:t>en 2022</w:t>
            </w:r>
            <w:r w:rsidRPr="00A514B5">
              <w:t xml:space="preserve"> een aantal juridisch bindende maatregelen voor de instandhouding van de onder haar bevoegdheid vallende visbestanden aangenomen.</w:t>
            </w:r>
          </w:p>
        </w:tc>
      </w:tr>
      <w:tr w:rsidR="00B9071D" w:rsidRPr="00A514B5" w:rsidTr="004B110E">
        <w:trPr>
          <w:jc w:val="center"/>
        </w:trPr>
        <w:tc>
          <w:tcPr>
            <w:tcW w:w="4876" w:type="dxa"/>
          </w:tcPr>
          <w:p w:rsidR="0049599D" w:rsidRPr="00A514B5" w:rsidRDefault="00B71BA7" w:rsidP="004B110E">
            <w:pPr>
              <w:pStyle w:val="Normal6"/>
            </w:pPr>
            <w:r w:rsidRPr="00A514B5">
              <w:t>__________________</w:t>
            </w:r>
          </w:p>
        </w:tc>
        <w:tc>
          <w:tcPr>
            <w:tcW w:w="4876" w:type="dxa"/>
          </w:tcPr>
          <w:p w:rsidR="0049599D" w:rsidRPr="00A514B5" w:rsidRDefault="00B71BA7" w:rsidP="004B110E">
            <w:pPr>
              <w:pStyle w:val="Normal6"/>
              <w:rPr>
                <w:szCs w:val="24"/>
              </w:rPr>
            </w:pPr>
            <w:r w:rsidRPr="00A514B5">
              <w:t>__________________</w:t>
            </w:r>
          </w:p>
        </w:tc>
      </w:tr>
      <w:tr w:rsidR="00B9071D" w:rsidRPr="00A514B5" w:rsidTr="004B110E">
        <w:trPr>
          <w:jc w:val="center"/>
        </w:trPr>
        <w:tc>
          <w:tcPr>
            <w:tcW w:w="4876" w:type="dxa"/>
          </w:tcPr>
          <w:p w:rsidR="0049599D" w:rsidRPr="00A514B5" w:rsidRDefault="00B71BA7" w:rsidP="004B110E">
            <w:pPr>
              <w:pStyle w:val="Normal6"/>
            </w:pPr>
            <w:r w:rsidRPr="00A514B5">
              <w:rPr>
                <w:vertAlign w:val="superscript"/>
              </w:rPr>
              <w:t xml:space="preserve">2 </w:t>
            </w:r>
            <w:r w:rsidRPr="00A514B5">
              <w:t>Verordening (EU) 2017/2107 van het Europees Parlement en de Raad van 15 november 2017 tot vaststelling van in het verdragsgebied van de Internationale Commissie voor de instandhouding van Atlantische tonijnen (Iccat) geldende beheers-, instandhoudings- en controlemaatregelen en tot wijziging van de Verordeningen (EG) nr. 1936/2001, (EG) nr. 1984/2003 en (EG) nr. 520/2007 van de Raad (PB L 315 van 30.11.2017, blz. 1).</w:t>
            </w:r>
          </w:p>
        </w:tc>
        <w:tc>
          <w:tcPr>
            <w:tcW w:w="4876" w:type="dxa"/>
          </w:tcPr>
          <w:p w:rsidR="0049599D" w:rsidRPr="00A514B5" w:rsidRDefault="00B71BA7" w:rsidP="004B110E">
            <w:pPr>
              <w:pStyle w:val="Normal6"/>
              <w:rPr>
                <w:szCs w:val="24"/>
              </w:rPr>
            </w:pPr>
            <w:r w:rsidRPr="00A514B5">
              <w:rPr>
                <w:vertAlign w:val="superscript"/>
              </w:rPr>
              <w:t xml:space="preserve">2 </w:t>
            </w:r>
            <w:r w:rsidRPr="00A514B5">
              <w:t>Verordening (EU) 2017/2107 van het Europees Parlement en de Raad van 15 november 2017 tot vaststelling van in het verdragsgebied van de Internationale Commissie voor de instandhouding van Atlantische tonijnen (Iccat) geldende beheers-, instandhoudings- en controlemaatregelen en tot wijziging van de Verordeningen (EG) nr. 1936/2001, (EG) nr. 1984/2003 en (EG) nr. 520/2007 van de Raad (PB L 315 van 30.11.2017, blz. 1).</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Dit ontwerpverslag omvat tevens een voorstel voor de omzetting van de Iccat-aanbevelingen van de jaarvergaderingen van 2021 en 2022.</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Overweging 2</w:t>
      </w:r>
      <w:r w:rsidRPr="00A514B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w:t>
            </w:r>
            <w:r w:rsidRPr="00A514B5">
              <w:tab/>
              <w:t xml:space="preserve">Verordening (EU) 2017/2107 moet daarom worden gewijzigd om in het recht van de Unie uitvoering te geven aan de Iccat-maatregelen inzake tropische tonijn, Noord- en Zuid-Atlantische witte tonijn, Atlantische zeilvis, blauwe marlijn en witte marlijn, rapportage van gegevens over Istiophoridae, kortvinmakreelhaai, </w:t>
            </w:r>
            <w:r w:rsidRPr="00A514B5">
              <w:rPr>
                <w:b/>
                <w:bCs/>
                <w:i/>
                <w:iCs/>
              </w:rPr>
              <w:t>waarnemersprogramma’s,</w:t>
            </w:r>
            <w:r w:rsidRPr="00A514B5">
              <w:t xml:space="preserve"> verantwoordelijkheden van wetenschappelijke waarnemers en een bijgewerkte lijst van Iccat-soorten.</w:t>
            </w:r>
          </w:p>
        </w:tc>
        <w:tc>
          <w:tcPr>
            <w:tcW w:w="4876" w:type="dxa"/>
          </w:tcPr>
          <w:p w:rsidR="0049599D" w:rsidRPr="00A514B5" w:rsidRDefault="00B71BA7" w:rsidP="004B110E">
            <w:pPr>
              <w:pStyle w:val="Normal6"/>
              <w:rPr>
                <w:szCs w:val="24"/>
              </w:rPr>
            </w:pPr>
            <w:r w:rsidRPr="00A514B5">
              <w:t>(2)</w:t>
            </w:r>
            <w:r w:rsidRPr="00A514B5">
              <w:tab/>
              <w:t xml:space="preserve">Verordening (EU) 2017/2107 moet daarom worden gewijzigd om in het recht van de Unie uitvoering te geven aan de Iccat-maatregelen inzake tropische tonijn, </w:t>
            </w:r>
            <w:r w:rsidRPr="00A514B5">
              <w:rPr>
                <w:b/>
                <w:i/>
              </w:rPr>
              <w:t>mediterrane witte tonijn,</w:t>
            </w:r>
            <w:r w:rsidRPr="00A514B5">
              <w:t xml:space="preserve"> Noord- en Zuid-Atlantische witte tonijn, Atlantische zeilvis, blauwe marlijn en witte marlijn, rapportage van gegevens over Istiophoridae, </w:t>
            </w:r>
            <w:r w:rsidRPr="00A514B5">
              <w:rPr>
                <w:b/>
                <w:i/>
              </w:rPr>
              <w:t xml:space="preserve">Noord- en Zuid-Atlantische </w:t>
            </w:r>
            <w:r w:rsidRPr="00A514B5">
              <w:t xml:space="preserve">kortvinmakreelhaai, </w:t>
            </w:r>
            <w:r w:rsidRPr="00A514B5">
              <w:rPr>
                <w:b/>
                <w:i/>
              </w:rPr>
              <w:t xml:space="preserve">bijvangst van schildpadden, alsmede bepalingen inzake illegale, ongemelde en ongereglementeerde (IOO-) visserij, en een waarnemersprogramma dat </w:t>
            </w:r>
            <w:r w:rsidRPr="00A514B5">
              <w:t xml:space="preserve">verantwoordelijkheden van wetenschappelijke waarnemers en een bijgewerkte lijst van Iccat-soorten </w:t>
            </w:r>
            <w:r w:rsidRPr="00A514B5">
              <w:rPr>
                <w:b/>
                <w:i/>
              </w:rPr>
              <w:t>inhoudt</w:t>
            </w:r>
            <w:r w:rsidRPr="00A514B5">
              <w: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In dit ontwerpverslag zijn nieuwe bepalingen opgenomen over de Iccat-verordening om de omzetting van de meest recente in de Iccat overeengekomen aanbevelingen te actualiseren.</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Overweging 3</w:t>
      </w:r>
      <w:r w:rsidRPr="00A514B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(3)</w:t>
            </w:r>
            <w:r w:rsidRPr="00A514B5">
              <w:tab/>
              <w:t>Verordening (EU) 2022/XX</w:t>
            </w:r>
            <w:r w:rsidRPr="00A514B5">
              <w:rPr>
                <w:vertAlign w:val="superscript"/>
              </w:rPr>
              <w:t>3</w:t>
            </w:r>
            <w:r w:rsidRPr="00A514B5">
              <w:t xml:space="preserve"> moet worden gewijzigd om in het recht van de Unie uitvoering te geven aan </w:t>
            </w:r>
            <w:r w:rsidRPr="00A514B5">
              <w:rPr>
                <w:b/>
                <w:bCs/>
                <w:i/>
                <w:iCs/>
              </w:rPr>
              <w:t>[</w:t>
            </w:r>
            <w:r w:rsidRPr="00A514B5">
              <w:t>bepalingen inzake</w:t>
            </w:r>
            <w:r w:rsidRPr="00A514B5">
              <w:rPr>
                <w:b/>
                <w:bCs/>
                <w:i/>
                <w:iCs/>
              </w:rPr>
              <w:t>]</w:t>
            </w:r>
            <w:r w:rsidRPr="00A514B5">
              <w:rPr>
                <w:b/>
                <w:bCs/>
                <w:i/>
              </w:rPr>
              <w:t xml:space="preserve"> jaarlijkse overdrachtaangiftes van kwekerijlidstaten en bepaalde kooiverplichtingen</w:t>
            </w:r>
            <w:r w:rsidRPr="00A514B5">
              <w:t>.</w:t>
            </w:r>
          </w:p>
        </w:tc>
        <w:tc>
          <w:tcPr>
            <w:tcW w:w="4876" w:type="dxa"/>
          </w:tcPr>
          <w:p w:rsidR="0049599D" w:rsidRPr="00A514B5" w:rsidRDefault="00B71BA7" w:rsidP="004B110E">
            <w:pPr>
              <w:pStyle w:val="Normal6"/>
              <w:rPr>
                <w:szCs w:val="24"/>
              </w:rPr>
            </w:pPr>
            <w:r w:rsidRPr="00A514B5">
              <w:t>(3)</w:t>
            </w:r>
            <w:r w:rsidRPr="00A514B5">
              <w:tab/>
              <w:t>Verordening (EU) 2022/XX</w:t>
            </w:r>
            <w:r w:rsidRPr="00A514B5">
              <w:rPr>
                <w:vertAlign w:val="superscript"/>
              </w:rPr>
              <w:t>3</w:t>
            </w:r>
            <w:r w:rsidRPr="00A514B5">
              <w:t xml:space="preserve"> moet worden gewijzigd om in het recht van de Unie uitvoering te geven aan bepalingen inzake </w:t>
            </w:r>
            <w:r w:rsidRPr="00A514B5">
              <w:rPr>
                <w:b/>
                <w:i/>
              </w:rPr>
              <w:t xml:space="preserve">het beheer van blauwvintonijn met betrekking tot definities, quotaoverdrachten, een verbod op het aan boord houden, sport- en recreatievisserij, een register van kwekerijen, rapportage, </w:t>
            </w:r>
            <w:r w:rsidRPr="00A514B5">
              <w:rPr>
                <w:b/>
                <w:i/>
              </w:rPr>
              <w:lastRenderedPageBreak/>
              <w:t>overhevelingstoestemming, kooi-identificatie, toestemmingen om te kooien, kooiverrichtingen en de videobewaking ervan, controle van kooien alsmede activiteiten op het gebied van oogstcontrole op de kwekerijen na het kooien</w:t>
            </w:r>
            <w:r w:rsidRPr="00A514B5">
              <w:t>.</w:t>
            </w:r>
          </w:p>
        </w:tc>
      </w:tr>
      <w:tr w:rsidR="00B9071D" w:rsidRPr="00A514B5" w:rsidTr="004B110E">
        <w:trPr>
          <w:jc w:val="center"/>
        </w:trPr>
        <w:tc>
          <w:tcPr>
            <w:tcW w:w="4876" w:type="dxa"/>
          </w:tcPr>
          <w:p w:rsidR="0049599D" w:rsidRPr="00A514B5" w:rsidRDefault="00B71BA7" w:rsidP="004B110E">
            <w:pPr>
              <w:pStyle w:val="Normal6"/>
            </w:pPr>
            <w:r w:rsidRPr="00A514B5">
              <w:lastRenderedPageBreak/>
              <w:t>__________________</w:t>
            </w:r>
          </w:p>
        </w:tc>
        <w:tc>
          <w:tcPr>
            <w:tcW w:w="4876" w:type="dxa"/>
          </w:tcPr>
          <w:p w:rsidR="0049599D" w:rsidRPr="00A514B5" w:rsidRDefault="00B71BA7" w:rsidP="004B110E">
            <w:pPr>
              <w:pStyle w:val="Normal6"/>
              <w:rPr>
                <w:szCs w:val="24"/>
              </w:rPr>
            </w:pPr>
            <w:r w:rsidRPr="00A514B5">
              <w:t>__________________</w:t>
            </w:r>
          </w:p>
        </w:tc>
      </w:tr>
      <w:tr w:rsidR="00B9071D" w:rsidRPr="00A514B5" w:rsidTr="004B110E">
        <w:trPr>
          <w:jc w:val="center"/>
        </w:trPr>
        <w:tc>
          <w:tcPr>
            <w:tcW w:w="4876" w:type="dxa"/>
          </w:tcPr>
          <w:p w:rsidR="0049599D" w:rsidRPr="00A514B5" w:rsidRDefault="00B71BA7" w:rsidP="004B110E">
            <w:pPr>
              <w:pStyle w:val="Normal6"/>
            </w:pPr>
            <w:r w:rsidRPr="00A514B5">
              <w:rPr>
                <w:vertAlign w:val="superscript"/>
              </w:rPr>
              <w:t>3</w:t>
            </w:r>
            <w:r w:rsidRPr="00A514B5">
              <w:t xml:space="preserve"> </w:t>
            </w:r>
            <w:r w:rsidRPr="00A514B5">
              <w:rPr>
                <w:b/>
                <w:i/>
              </w:rPr>
              <w:t>Het voorstel is nog niet goedgekeurd door de medewetgevers — COM(2019) 619 final van 28.11.2019.</w:t>
            </w:r>
          </w:p>
        </w:tc>
        <w:tc>
          <w:tcPr>
            <w:tcW w:w="4876" w:type="dxa"/>
          </w:tcPr>
          <w:p w:rsidR="0049599D" w:rsidRPr="00A514B5" w:rsidRDefault="00B71BA7" w:rsidP="004B110E">
            <w:pPr>
              <w:pStyle w:val="Normal6"/>
              <w:rPr>
                <w:szCs w:val="24"/>
              </w:rPr>
            </w:pPr>
            <w:r w:rsidRPr="00A514B5">
              <w:rPr>
                <w:vertAlign w:val="superscript"/>
              </w:rPr>
              <w:t>3</w:t>
            </w:r>
            <w:r w:rsidRPr="00A514B5">
              <w:t xml:space="preserve"> </w:t>
            </w:r>
            <w:r w:rsidRPr="00A514B5">
              <w:rPr>
                <w:b/>
                <w:i/>
              </w:rPr>
              <w:t>PB C […] van […], blz. […].</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In dit ontwerpverslag zijn nieuwe bepalingen opgenomen over het meerjarig beheersplan voor blauwvintonijn om de verordening bij te werken met de meest recente in de Iccat overeengekomen aanbevelingen.</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Overweging 4</w:t>
      </w:r>
      <w:r w:rsidRPr="00A514B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(4)</w:t>
            </w:r>
            <w:r w:rsidRPr="00A514B5">
              <w:tab/>
              <w:t xml:space="preserve">Sommige bepalingen van de Iccat-aanbevelingen zullen waarschijnlijk tijdens volgende Iccat-jaarvergaderingen worden gewijzigd als gevolg van de invoering van nieuwe technische en beheersmaatregelen voor visserijtakken die onder het Iccat-verdrag vallen. Teneinde de toekomstige wijzigingen van de Iccat-aanbevelingen snel, vóór het begin van het visseizoen, in het recht van de Unie om te zetten, moet daarom aan de Commissie de bevoegdheid worden overgedragen om overeenkomstig artikel 290 van het Verdrag betreffende de werking van de Europese Unie handelingen vast te stellen met betrekking tot de </w:t>
            </w:r>
            <w:r w:rsidRPr="00A514B5">
              <w:rPr>
                <w:b/>
                <w:bCs/>
                <w:i/>
                <w:iCs/>
              </w:rPr>
              <w:t>volgende aspecten:</w:t>
            </w:r>
            <w:r w:rsidRPr="00A514B5">
              <w:rPr>
                <w:b/>
                <w:i/>
              </w:rPr>
              <w:t xml:space="preserve"> capaciteitsbeperkingen voor tropische tonijn en de verslaglegging over het jaarlijks capaciteits- en visserijplan voor </w:t>
            </w:r>
            <w:r w:rsidRPr="00A514B5">
              <w:rPr>
                <w:b/>
                <w:i/>
              </w:rPr>
              <w:lastRenderedPageBreak/>
              <w:t>tropische tonijn; de jaarlijkse overdracht voor grootoogtonijn, Noord- en Zuid-Atlantische witte tonijn en Noord- en Zuid-Atlantische zwaardvis; beheersplannen inzake visaantrekkende voorzieningen (FAD’s); het aantal instrumentboeien; de FAD-voorschriften; door vaartuigen in te dienen informatie voor FAD’s; verbodsperioden voor het gebruik van FAD’s; beperkingen van het aantal vaartuigen dat op Noord-Atlantische witte tonijn vist; het beheersplan voor Noord-Atlantische zwaardvis;</w:t>
            </w:r>
            <w:r w:rsidRPr="00A514B5">
              <w:t xml:space="preserve"> voorwaarden voor het toestaan van het vangen en aan boord houden van kortvinmakreelhaaien</w:t>
            </w:r>
            <w:r w:rsidRPr="00A514B5">
              <w:rPr>
                <w:b/>
                <w:bCs/>
                <w:i/>
                <w:iCs/>
              </w:rPr>
              <w:t>;</w:t>
            </w:r>
            <w:r w:rsidRPr="00A514B5">
              <w:rPr>
                <w:b/>
                <w:i/>
              </w:rPr>
              <w:t xml:space="preserve"> vereisten voor het maximaliseren van de overlevingskansen van zeeschildpadden; het minimumpercentage van waarnemersdekking en de meting van het dekkingspercentage; en de wijziging van de lijst van Iccat-soorten</w:t>
            </w:r>
            <w:r w:rsidRPr="00A514B5">
              <w:t>.</w:t>
            </w:r>
          </w:p>
        </w:tc>
        <w:tc>
          <w:tcPr>
            <w:tcW w:w="4876" w:type="dxa"/>
          </w:tcPr>
          <w:p w:rsidR="0049599D" w:rsidRPr="00A514B5" w:rsidRDefault="00B71BA7" w:rsidP="005904E7">
            <w:pPr>
              <w:pStyle w:val="Normal6"/>
              <w:rPr>
                <w:szCs w:val="24"/>
              </w:rPr>
            </w:pPr>
            <w:r w:rsidRPr="00A514B5">
              <w:lastRenderedPageBreak/>
              <w:t>(4)</w:t>
            </w:r>
            <w:r w:rsidRPr="00A514B5">
              <w:tab/>
              <w:t>Sommige bepalingen van de Iccat-aanbevelingen zullen waarschijnlijk tijdens volgende Iccat-jaarvergaderingen worden gewijzigd als gevolg van de invoering van nieuwe technische en beheersmaatregelen voor visserijtakken die onder het Iccat-verdrag vallen. Teneinde de toekomstige wijzigingen van de Iccat-aanbevelingen snel, vóór het begin van het visseizoen, in het recht van de Unie om te zetten, moet daarom aan de Commissie de bevoegdheid worden overgedragen om overeenkomstig artikel 290 van het Verdrag betreffende de werking van de Europese Unie handelingen vast te stellen met betrekking tot de voorwaarden voor het toestaan van het vangen en aan boord houden van kortvinmakreelhaaien</w:t>
            </w:r>
            <w:r w:rsidRPr="00A514B5">
              <w:rPr>
                <w:b/>
                <w:i/>
              </w:rPr>
              <w:t xml:space="preserve">, alsmede voor het beheer van blauwvintonijn, </w:t>
            </w:r>
            <w:r w:rsidRPr="00A514B5">
              <w:rPr>
                <w:b/>
                <w:i/>
              </w:rPr>
              <w:lastRenderedPageBreak/>
              <w:t>rapportagetermijnen, perioden voor visseizoenen, de inhoud van overdrachtaangiftes en bepalingen inzake de verzorging, afwijkingen voor de aanwijzing van visserijgebieden, vissersvaartuigen en vistuig, en afwijkingen voor de visserij op blauwvintonijn voor kweekdoeleinden, voorwaarden voor de toewijzing van regionale waarnemers aan kwekerijen, de verplichtingen van de lidstaten en de inhoud van de jaarlijkse kooirapporten</w:t>
            </w:r>
            <w:r w:rsidRPr="00A514B5">
              <w:t>.</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Actualisering met nieuwe bepalingen.</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 – b</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4 – alinea 1 – punt 24</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24)</w:t>
            </w:r>
            <w:r w:rsidRPr="00A514B5">
              <w:tab/>
              <w:t xml:space="preserve">“visaantrekkende voorziening (FAD)”: een permanent, semipermanent of tijdelijk voorwerp of een permanente, semipermanente of tijdelijke structuur of voorziening van om het even welk materiaal, door de mens gemaakt of van natuurlijke oorsprong, dat/die wordt ingezet en/of gevolgd met het oog op het </w:t>
            </w:r>
            <w:r w:rsidRPr="00A514B5">
              <w:lastRenderedPageBreak/>
              <w:t>samendrijven en vervolgens vangen van vis. FAD’s kunnen verankerd (aFAD’s – anchored FAD’s) of niet-verankerd (dFAD’s – drifting FAD’s) zijn;</w:t>
            </w:r>
          </w:p>
        </w:tc>
        <w:tc>
          <w:tcPr>
            <w:tcW w:w="4876" w:type="dxa"/>
          </w:tcPr>
          <w:p w:rsidR="0049599D" w:rsidRPr="00A514B5" w:rsidRDefault="00B71BA7" w:rsidP="004B110E">
            <w:pPr>
              <w:pStyle w:val="Normal6"/>
              <w:rPr>
                <w:szCs w:val="24"/>
              </w:rPr>
            </w:pPr>
            <w:r w:rsidRPr="00A514B5">
              <w:rPr>
                <w:i/>
                <w:iCs/>
              </w:rPr>
              <w:lastRenderedPageBreak/>
              <w:t>(Niet van toepassing op de Nederlandse versie)</w:t>
            </w:r>
            <w:r w:rsidRPr="00A514B5">
              <w:tab/>
              <w:t xml:space="preserve">   </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49599D" w:rsidP="0049599D">
      <w:pPr>
        <w:pStyle w:val="Normal12Italic"/>
        <w:rPr>
          <w:noProof w:val="0"/>
        </w:rPr>
      </w:pP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 – d</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4 – alinea 1 – punt 31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31)</w:t>
            </w:r>
            <w:r w:rsidRPr="00A514B5">
              <w:tab/>
              <w:t>“drijvend voorwerp (floating object – FOB)”: een natuurlijk of kunstmatig drijvend object (d.w.z. aan of net onder het wateroppervlak) dat zich niet zelfstandig kan voortbewegen;</w:t>
            </w:r>
          </w:p>
        </w:tc>
        <w:tc>
          <w:tcPr>
            <w:tcW w:w="4876" w:type="dxa"/>
          </w:tcPr>
          <w:p w:rsidR="0049599D" w:rsidRPr="00A514B5" w:rsidRDefault="00B71BA7" w:rsidP="005904E7">
            <w:pPr>
              <w:pStyle w:val="Normal6"/>
              <w:rPr>
                <w:szCs w:val="24"/>
              </w:rPr>
            </w:pPr>
            <w:r w:rsidRPr="00A514B5">
              <w:t>31)</w:t>
            </w:r>
            <w:r w:rsidRPr="00A514B5">
              <w:tab/>
              <w:t>“drijvend voorwerp (floating object – FOB)”: een natuurlijk of kunstmatig drijvend object (d.w.z. aan of net onder het wateroppervlak) dat zich niet zelfstandig kan voortbewegen</w:t>
            </w:r>
            <w:r w:rsidRPr="00A514B5">
              <w:rPr>
                <w:b/>
                <w:bCs/>
                <w:i/>
                <w:iCs/>
              </w:rPr>
              <w:t>.</w:t>
            </w:r>
            <w:r w:rsidRPr="00A514B5">
              <w:rPr>
                <w:b/>
                <w:i/>
              </w:rPr>
              <w:t xml:space="preserve"> FAD’s zijn door de mens gemaakte FOB’s die opzettelijk worden ingezet en/of gevolgd. Boomstammen zijn FOB’s uit antropogene en natuurlijke bronnen die onopzettelijk zijn verloren</w:t>
            </w:r>
            <w:r w:rsidRPr="00A514B5">
              <w: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21-01 omvat de bovenstaande toevoeging in de definitie van FOB.</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 – f bis (nieuw)</w:t>
      </w:r>
      <w:r w:rsidRPr="00A514B5">
        <w:rPr>
          <w:rStyle w:val="HideTWBExt"/>
          <w:b w:val="0"/>
        </w:rPr>
        <w:t>&lt;/Article&gt;</w:t>
      </w:r>
    </w:p>
    <w:p w:rsidR="00254B4E" w:rsidRPr="00A514B5" w:rsidRDefault="00B71BA7" w:rsidP="00254B4E">
      <w:pPr>
        <w:keepNext/>
      </w:pPr>
      <w:r w:rsidRPr="00A514B5">
        <w:rPr>
          <w:rStyle w:val="HideTWBExt"/>
        </w:rPr>
        <w:lastRenderedPageBreak/>
        <w:t>&lt;DocAmend2&gt;</w:t>
      </w:r>
      <w:r w:rsidRPr="00A514B5">
        <w:t>Verordening (EU) 2017/2107</w:t>
      </w:r>
      <w:r w:rsidRPr="00A514B5">
        <w:rPr>
          <w:rStyle w:val="HideTWBExt"/>
        </w:rPr>
        <w:t>&lt;/DocAmend2&gt;</w:t>
      </w:r>
    </w:p>
    <w:p w:rsidR="00254B4E" w:rsidRPr="00A514B5" w:rsidRDefault="00B71BA7" w:rsidP="00254B4E">
      <w:pPr>
        <w:keepNext/>
      </w:pPr>
      <w:r w:rsidRPr="00A514B5">
        <w:rPr>
          <w:rStyle w:val="HideTWBExt"/>
        </w:rPr>
        <w:t>&lt;Article2&gt;</w:t>
      </w:r>
      <w:r w:rsidRPr="00A514B5">
        <w:t>Artikel 4 – alinea 1 – punt 34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254B4E">
        <w:trPr>
          <w:jc w:val="center"/>
        </w:trPr>
        <w:tc>
          <w:tcPr>
            <w:tcW w:w="9752" w:type="dxa"/>
            <w:gridSpan w:val="2"/>
          </w:tcPr>
          <w:p w:rsidR="0049599D" w:rsidRPr="00A514B5" w:rsidRDefault="0049599D" w:rsidP="00254B4E">
            <w:pPr>
              <w:keepNext/>
            </w:pPr>
          </w:p>
        </w:tc>
      </w:tr>
      <w:tr w:rsidR="00B9071D" w:rsidRPr="00A514B5" w:rsidTr="00254B4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254B4E">
        <w:trPr>
          <w:jc w:val="center"/>
        </w:trPr>
        <w:tc>
          <w:tcPr>
            <w:tcW w:w="4876" w:type="dxa"/>
          </w:tcPr>
          <w:p w:rsidR="0049599D" w:rsidRPr="00A514B5" w:rsidRDefault="0049599D" w:rsidP="004B110E">
            <w:pPr>
              <w:pStyle w:val="Normal6"/>
            </w:pPr>
          </w:p>
        </w:tc>
        <w:tc>
          <w:tcPr>
            <w:tcW w:w="4876" w:type="dxa"/>
          </w:tcPr>
          <w:p w:rsidR="0049599D" w:rsidRPr="00A514B5" w:rsidRDefault="00B71BA7" w:rsidP="005904E7">
            <w:pPr>
              <w:pStyle w:val="Normal6"/>
              <w:rPr>
                <w:szCs w:val="24"/>
              </w:rPr>
            </w:pPr>
            <w:r w:rsidRPr="00A514B5">
              <w:rPr>
                <w:b/>
                <w:i/>
              </w:rPr>
              <w:t>f bis)</w:t>
            </w:r>
            <w:r w:rsidRPr="00A514B5">
              <w:rPr>
                <w:b/>
                <w:i/>
              </w:rPr>
              <w:tab/>
              <w:t>Het volgende punt wordt toegevoegd:</w:t>
            </w:r>
          </w:p>
        </w:tc>
      </w:tr>
      <w:tr w:rsidR="00B9071D" w:rsidRPr="00A514B5" w:rsidTr="00254B4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“34)</w:t>
            </w:r>
            <w:r w:rsidRPr="00A514B5">
              <w:rPr>
                <w:b/>
                <w:i/>
              </w:rPr>
              <w:tab/>
              <w:t>“ondiep uitgezette beuglijnen”: beuglijnen die zo worden uitgezet dat de meerderheid van de haken op een diepte van minder dan 100 meter hangt;”;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Aanbeveling 22-12.</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 – f ter (nieuw)</w:t>
      </w:r>
      <w:r w:rsidRPr="00A514B5">
        <w:rPr>
          <w:rStyle w:val="HideTWBExt"/>
          <w:b w:val="0"/>
        </w:rPr>
        <w:t>&lt;/Article&gt;</w:t>
      </w:r>
    </w:p>
    <w:p w:rsidR="00254B4E" w:rsidRPr="00A514B5" w:rsidRDefault="00B71BA7" w:rsidP="00254B4E">
      <w:pPr>
        <w:keepNext/>
      </w:pPr>
      <w:r w:rsidRPr="00A514B5">
        <w:rPr>
          <w:rStyle w:val="HideTWBExt"/>
        </w:rPr>
        <w:t>&lt;DocAmend2&gt;</w:t>
      </w:r>
      <w:r w:rsidRPr="00A514B5">
        <w:t>Verordening (EU) 2017/2107</w:t>
      </w:r>
      <w:r w:rsidRPr="00A514B5">
        <w:rPr>
          <w:rStyle w:val="HideTWBExt"/>
        </w:rPr>
        <w:t>&lt;/DocAmend2&gt;</w:t>
      </w:r>
    </w:p>
    <w:p w:rsidR="00254B4E" w:rsidRPr="00A514B5" w:rsidRDefault="00B71BA7" w:rsidP="00254B4E">
      <w:pPr>
        <w:keepNext/>
      </w:pPr>
      <w:r w:rsidRPr="00A514B5">
        <w:rPr>
          <w:rStyle w:val="HideTWBExt"/>
        </w:rPr>
        <w:t>&lt;Article2&gt;</w:t>
      </w:r>
      <w:r w:rsidRPr="00A514B5">
        <w:t>Artikel 4 – alinea 1 – punt 35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254B4E">
        <w:trPr>
          <w:jc w:val="center"/>
        </w:trPr>
        <w:tc>
          <w:tcPr>
            <w:tcW w:w="9752" w:type="dxa"/>
            <w:gridSpan w:val="2"/>
          </w:tcPr>
          <w:p w:rsidR="0049599D" w:rsidRPr="00A514B5" w:rsidRDefault="0049599D" w:rsidP="00254B4E">
            <w:pPr>
              <w:keepNext/>
            </w:pPr>
          </w:p>
        </w:tc>
      </w:tr>
      <w:tr w:rsidR="00B9071D" w:rsidRPr="00A514B5" w:rsidTr="00254B4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254B4E">
        <w:trPr>
          <w:jc w:val="center"/>
        </w:trPr>
        <w:tc>
          <w:tcPr>
            <w:tcW w:w="4876" w:type="dxa"/>
          </w:tcPr>
          <w:p w:rsidR="0049599D" w:rsidRPr="00A514B5" w:rsidRDefault="0049599D" w:rsidP="004B110E">
            <w:pPr>
              <w:pStyle w:val="Normal6"/>
            </w:pPr>
          </w:p>
        </w:tc>
        <w:tc>
          <w:tcPr>
            <w:tcW w:w="4876" w:type="dxa"/>
          </w:tcPr>
          <w:p w:rsidR="0049599D" w:rsidRPr="00A514B5" w:rsidRDefault="00B71BA7" w:rsidP="005904E7">
            <w:pPr>
              <w:pStyle w:val="Normal6"/>
              <w:rPr>
                <w:szCs w:val="24"/>
              </w:rPr>
            </w:pPr>
            <w:r w:rsidRPr="00A514B5">
              <w:rPr>
                <w:b/>
                <w:i/>
              </w:rPr>
              <w:t>f ter)</w:t>
            </w:r>
            <w:r w:rsidRPr="00A514B5">
              <w:rPr>
                <w:b/>
                <w:i/>
              </w:rPr>
              <w:tab/>
              <w:t>Het volgende punt wordt toegevoegd:</w:t>
            </w:r>
          </w:p>
        </w:tc>
      </w:tr>
      <w:tr w:rsidR="00B9071D" w:rsidRPr="00A514B5" w:rsidTr="00254B4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“35)</w:t>
            </w:r>
            <w:r w:rsidRPr="00A514B5">
              <w:rPr>
                <w:b/>
                <w:i/>
              </w:rPr>
              <w:tab/>
              <w:t>“cirkelhaak”: een haak waarvan de punt naar binnen is gebogen en loodrecht op de schacht is georiënteerd en die zo min of meer een cirkel of ovaal vormt, waarbij de punt van de haak maximaal 10° gedraaid staat ten opzichte van de schacht.”.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Aanbeveling 22-12.</w:t>
      </w:r>
    </w:p>
    <w:p w:rsidR="004B110E" w:rsidRPr="00A514B5" w:rsidRDefault="00B71BA7" w:rsidP="004B110E">
      <w:r w:rsidRPr="00A514B5">
        <w:rPr>
          <w:rStyle w:val="HideTWBExt"/>
        </w:rPr>
        <w:t>&lt;/Amend&gt;</w:t>
      </w:r>
    </w:p>
    <w:p w:rsidR="004B110E" w:rsidRPr="00A514B5" w:rsidRDefault="004B110E" w:rsidP="0049599D">
      <w:pPr>
        <w:pStyle w:val="Normal12Italic"/>
        <w:rPr>
          <w:noProof w:val="0"/>
        </w:rPr>
      </w:pP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5 bis – lid 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1.</w:t>
            </w:r>
            <w:r w:rsidRPr="00A514B5">
              <w:tab/>
              <w:t xml:space="preserve">Uiterlijk op 31 januari van elk jaar stellen de lidstaten </w:t>
            </w:r>
            <w:r w:rsidRPr="00A514B5">
              <w:rPr>
                <w:b/>
                <w:i/>
              </w:rPr>
              <w:t>een jaarlijks</w:t>
            </w:r>
            <w:r w:rsidRPr="00A514B5">
              <w:t xml:space="preserve"> capaciteits-/</w:t>
            </w:r>
            <w:r w:rsidRPr="00A514B5">
              <w:rPr>
                <w:b/>
                <w:i/>
              </w:rPr>
              <w:t>visserijplan op</w:t>
            </w:r>
            <w:r w:rsidRPr="00A514B5">
              <w:t>.</w:t>
            </w:r>
          </w:p>
        </w:tc>
        <w:tc>
          <w:tcPr>
            <w:tcW w:w="4876" w:type="dxa"/>
          </w:tcPr>
          <w:p w:rsidR="0049599D" w:rsidRPr="00A514B5" w:rsidRDefault="00B71BA7" w:rsidP="004B110E">
            <w:pPr>
              <w:pStyle w:val="Normal6"/>
              <w:rPr>
                <w:szCs w:val="24"/>
              </w:rPr>
            </w:pPr>
            <w:r w:rsidRPr="00A514B5">
              <w:t>1.</w:t>
            </w:r>
            <w:r w:rsidRPr="00A514B5">
              <w:tab/>
              <w:t xml:space="preserve">Uiterlijk op 31 januari van elk jaar stellen de lidstaten </w:t>
            </w:r>
            <w:r w:rsidRPr="00A514B5">
              <w:rPr>
                <w:b/>
                <w:i/>
              </w:rPr>
              <w:t>jaarlijkse</w:t>
            </w:r>
            <w:r w:rsidRPr="00A514B5">
              <w:t xml:space="preserve"> capaciteits-/</w:t>
            </w:r>
            <w:r w:rsidRPr="00A514B5">
              <w:rPr>
                <w:b/>
                <w:i/>
              </w:rPr>
              <w:t>visserijplannen vast</w:t>
            </w:r>
            <w:r w:rsidRPr="00A514B5">
              <w: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w:t>
      </w:r>
      <w:r w:rsidRPr="00A514B5">
        <w:rPr>
          <w:rStyle w:val="HideTWBExt"/>
          <w:b w:val="0"/>
        </w:rPr>
        <w:t>&lt;/Article&gt;</w:t>
      </w:r>
    </w:p>
    <w:p w:rsidR="0049599D" w:rsidRPr="00A514B5" w:rsidRDefault="00B71BA7" w:rsidP="0049599D">
      <w:pPr>
        <w:keepNext/>
      </w:pPr>
      <w:r w:rsidRPr="00A514B5">
        <w:rPr>
          <w:rStyle w:val="HideTWBExt"/>
        </w:rPr>
        <w:t>&lt;DocAmend2&gt;</w:t>
      </w:r>
      <w:r w:rsidRPr="00A514B5">
        <w:t xml:space="preserve"> Verordening (EU) 2017/2107 </w:t>
      </w:r>
      <w:r w:rsidRPr="00A514B5">
        <w:rPr>
          <w:rStyle w:val="HideTWBExt"/>
        </w:rPr>
        <w:t>&lt;/DocAmend2&gt;</w:t>
      </w:r>
    </w:p>
    <w:p w:rsidR="0049599D" w:rsidRPr="00A514B5" w:rsidRDefault="00B71BA7" w:rsidP="0049599D">
      <w:r w:rsidRPr="00A514B5">
        <w:rPr>
          <w:rStyle w:val="HideTWBExt"/>
        </w:rPr>
        <w:t>&lt;Article2&gt;</w:t>
      </w:r>
      <w:r w:rsidRPr="00A514B5">
        <w:t xml:space="preserve"> Artikel 5 bis – lid 5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5 bis.</w:t>
            </w:r>
            <w:r w:rsidRPr="00A514B5">
              <w:rPr>
                <w:b/>
                <w:i/>
              </w:rPr>
              <w:tab/>
              <w:t xml:space="preserve">De lidstaten rapporteren aan de Commissie om de drie maanden de hoeveelheid tropische tonijnen per soort die is gevangen door vaartuigen die hun vlag voeren binnen 15 kalenderdagen na afloop van de periode waarin de vangsten werden gedaan, te weten uiterlijk op 15 april, 15 juli en 15 oktober van elk jaar en uiterlijk op 15 januari van het volgende jaar, tenzij die informatie maandelijks aan de Commissie wordt toegezonden. Die kwartaalrapporten worden onder gebruikmaking van het model van een verslag met geaggregeerde vangstgegevens verzonden. De Commissie zendt die informatie uiterlijk op 30 april, 30 juli en 30 oktober van elk jaar en op 30 januari van het volgende jaar door aan </w:t>
            </w:r>
            <w:r w:rsidRPr="00A514B5">
              <w:rPr>
                <w:b/>
                <w:i/>
              </w:rPr>
              <w:lastRenderedPageBreak/>
              <w:t>het Iccat-secretariaat.</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22-01.</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 bis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 xml:space="preserve"> Verordening (EU) 2017/2107 </w:t>
      </w:r>
      <w:r w:rsidRPr="00A514B5">
        <w:rPr>
          <w:rStyle w:val="HideTWBExt"/>
        </w:rPr>
        <w:t>&lt;/DocAmend2&gt;</w:t>
      </w:r>
    </w:p>
    <w:p w:rsidR="0049599D" w:rsidRPr="00A514B5" w:rsidRDefault="00B71BA7" w:rsidP="0049599D">
      <w:r w:rsidRPr="00A514B5">
        <w:rPr>
          <w:rStyle w:val="HideTWBExt"/>
        </w:rPr>
        <w:t>&lt;Article2&gt;</w:t>
      </w:r>
      <w:r w:rsidRPr="00A514B5">
        <w:t xml:space="preserve">Artikel 5 ter (nieuw) </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5904E7">
            <w:pPr>
              <w:pStyle w:val="Normal6"/>
              <w:rPr>
                <w:szCs w:val="24"/>
              </w:rPr>
            </w:pPr>
            <w:r w:rsidRPr="00A514B5">
              <w:rPr>
                <w:b/>
                <w:i/>
              </w:rPr>
              <w:t>2 bis)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 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Recreatievisserij op mediterrane witte 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Natuurlijke of rechtspersonen die aan recreatievisserij doen, mogen niet meer dan drie exemplaren mediterrane witte tonijn per vaartuig per dag vangen, aan boord houden, overladen of aanlanden.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Het is verboden om in de recreatievisserij gevangen mediterrane witte tonijn in de handel te brengen of te verkopen.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DC02B3">
            <w:pPr>
              <w:pStyle w:val="Normal6"/>
              <w:rPr>
                <w:szCs w:val="24"/>
              </w:rPr>
            </w:pPr>
            <w:r w:rsidRPr="00A514B5">
              <w:rPr>
                <w:b/>
                <w:i/>
              </w:rPr>
              <w:t>3.</w:t>
            </w:r>
            <w:r w:rsidRPr="00A514B5">
              <w:rPr>
                <w:b/>
                <w:i/>
              </w:rPr>
              <w:tab/>
              <w:t>De lidstaten verstrekken aan de Commissie en aan het Iccat-secretariaat de lijst van alle vaartuigen voor de recreatievisserij die gemachtigd zijn om mediterrane witte tonijn te vangen, ten minste 15 dagen voor uitvoering van de activiteiten. Vaartuigen die niet in die lijst zijn opgenomen, zijn niet gemachtigd om mediterrane witte tonijn te vangen.”.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lastRenderedPageBreak/>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22-05 overeenkomstig artikel 55, lid 3, van Verordening (EG) nr. 1224/2009.</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3</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6 bis – lid 2</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w:t>
            </w:r>
            <w:r w:rsidRPr="00A514B5">
              <w:tab/>
              <w:t xml:space="preserve">Het is verboden de tropische tonijn die door een ringzegenvaartuig van de Unie is gevangen, tijdens de trek terug te gooien zodra het net volledig is gesloten en meer dan de helft van het net is opgehaald. </w:t>
            </w:r>
            <w:r w:rsidRPr="00A514B5">
              <w:rPr>
                <w:b/>
                <w:i/>
              </w:rPr>
              <w:t>Indien zich bij</w:t>
            </w:r>
            <w:r w:rsidRPr="00A514B5">
              <w:t xml:space="preserve"> het sluiten of ophalen van het net </w:t>
            </w:r>
            <w:r w:rsidRPr="00A514B5">
              <w:rPr>
                <w:b/>
                <w:i/>
              </w:rPr>
              <w:t>een technisch probleem voordoet zodat deze regel niet kan worden toegepast</w:t>
            </w:r>
            <w:r w:rsidRPr="00A514B5">
              <w:t xml:space="preserve">, </w:t>
            </w:r>
            <w:r w:rsidRPr="00A514B5">
              <w:rPr>
                <w:b/>
                <w:i/>
              </w:rPr>
              <w:t>stelt</w:t>
            </w:r>
            <w:r w:rsidRPr="00A514B5">
              <w:t xml:space="preserve"> de bemanning alles in het werk om de tonijnen zo snel mogelijk terug in het water te zetten.</w:t>
            </w:r>
          </w:p>
        </w:tc>
        <w:tc>
          <w:tcPr>
            <w:tcW w:w="4876" w:type="dxa"/>
          </w:tcPr>
          <w:p w:rsidR="0049599D" w:rsidRPr="00A514B5" w:rsidRDefault="00B71BA7" w:rsidP="00DC02B3">
            <w:pPr>
              <w:pStyle w:val="Normal6"/>
              <w:rPr>
                <w:szCs w:val="24"/>
              </w:rPr>
            </w:pPr>
            <w:r w:rsidRPr="00A514B5">
              <w:t>2.</w:t>
            </w:r>
            <w:r w:rsidRPr="00A514B5">
              <w:tab/>
              <w:t xml:space="preserve">Het is verboden de tropische tonijn die door een ringzegenvaartuig van de Unie is gevangen, tijdens de trek terug te gooien zodra het net volledig is gesloten en meer dan de helft van het net is opgehaald. </w:t>
            </w:r>
            <w:r w:rsidRPr="00A514B5">
              <w:rPr>
                <w:b/>
                <w:i/>
              </w:rPr>
              <w:t xml:space="preserve">In het geval van een technisch probleem met </w:t>
            </w:r>
            <w:r w:rsidRPr="00A514B5">
              <w:t xml:space="preserve">het sluiten of ophalen van het net, </w:t>
            </w:r>
            <w:r w:rsidRPr="00A514B5">
              <w:rPr>
                <w:b/>
                <w:i/>
              </w:rPr>
              <w:t xml:space="preserve">stellen de kapiteins, of </w:t>
            </w:r>
            <w:r w:rsidRPr="00A514B5">
              <w:t xml:space="preserve">de bemanning </w:t>
            </w:r>
            <w:r w:rsidRPr="00A514B5">
              <w:rPr>
                <w:b/>
                <w:i/>
              </w:rPr>
              <w:t xml:space="preserve">namens hen, </w:t>
            </w:r>
            <w:r w:rsidRPr="00A514B5">
              <w:t>alles in het werk om de tonijnen zo snel mogelijk terug in het water te zetten.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Voorstel tot taalkundige wijzigingen om deze bepaling te verduidelijken. Bovendien mag de bemanning niet verantwoordelijk zijn voor de naleving van deze bepaling; dat moet de kapitein zijn.</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7 – a</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9 – lid 4</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4.</w:t>
            </w:r>
            <w:r w:rsidRPr="00A514B5">
              <w:tab/>
              <w:t xml:space="preserve">De lidstaten zorgen ervoor dat per vaartuig </w:t>
            </w:r>
            <w:r w:rsidRPr="00A514B5">
              <w:rPr>
                <w:b/>
                <w:i/>
              </w:rPr>
              <w:t>te allen tijde</w:t>
            </w:r>
            <w:r w:rsidRPr="00A514B5">
              <w:t xml:space="preserve"> niet meer dan 300 </w:t>
            </w:r>
            <w:r w:rsidRPr="00A514B5">
              <w:lastRenderedPageBreak/>
              <w:t>FAD’s met operationele boeien actief zijn.</w:t>
            </w:r>
          </w:p>
        </w:tc>
        <w:tc>
          <w:tcPr>
            <w:tcW w:w="4876" w:type="dxa"/>
          </w:tcPr>
          <w:p w:rsidR="0049599D" w:rsidRPr="00A514B5" w:rsidRDefault="00B71BA7" w:rsidP="004B110E">
            <w:pPr>
              <w:pStyle w:val="Normal6"/>
              <w:rPr>
                <w:szCs w:val="24"/>
              </w:rPr>
            </w:pPr>
            <w:r w:rsidRPr="00A514B5">
              <w:lastRenderedPageBreak/>
              <w:t>4.</w:t>
            </w:r>
            <w:r w:rsidRPr="00A514B5">
              <w:tab/>
              <w:t xml:space="preserve">De lidstaten zorgen ervoor dat per vaartuig niet meer dan 300 FAD’s met </w:t>
            </w:r>
            <w:r w:rsidRPr="00A514B5">
              <w:lastRenderedPageBreak/>
              <w:t xml:space="preserve">operationele boeien </w:t>
            </w:r>
            <w:r w:rsidRPr="00A514B5">
              <w:rPr>
                <w:b/>
                <w:i/>
              </w:rPr>
              <w:t xml:space="preserve">tegelijk </w:t>
            </w:r>
            <w:r w:rsidRPr="00A514B5">
              <w:t>actief zijn.</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8</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10 – lid 2 – inleidende formule</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w:t>
            </w:r>
            <w:r w:rsidRPr="00A514B5">
              <w:tab/>
              <w:t xml:space="preserve">Bij het gebruik of het ontwerp van FAD’s </w:t>
            </w:r>
            <w:r w:rsidRPr="00A514B5">
              <w:rPr>
                <w:b/>
                <w:i/>
              </w:rPr>
              <w:t>zorgen</w:t>
            </w:r>
            <w:r w:rsidRPr="00A514B5">
              <w:t xml:space="preserve"> de lidstaten</w:t>
            </w:r>
            <w:r w:rsidRPr="00A514B5">
              <w:rPr>
                <w:b/>
                <w:i/>
              </w:rPr>
              <w:t xml:space="preserve"> ervoor dat</w:t>
            </w:r>
            <w:r w:rsidRPr="00A514B5">
              <w:t>:</w:t>
            </w:r>
          </w:p>
        </w:tc>
        <w:tc>
          <w:tcPr>
            <w:tcW w:w="4876" w:type="dxa"/>
          </w:tcPr>
          <w:p w:rsidR="0049599D" w:rsidRPr="00A514B5" w:rsidRDefault="00B71BA7" w:rsidP="004B110E">
            <w:pPr>
              <w:pStyle w:val="Normal6"/>
              <w:rPr>
                <w:szCs w:val="24"/>
              </w:rPr>
            </w:pPr>
            <w:r w:rsidRPr="00A514B5">
              <w:t>2.</w:t>
            </w:r>
            <w:r w:rsidRPr="00A514B5">
              <w:tab/>
              <w:t xml:space="preserve">Bij het gebruik of het ontwerp van FAD’s </w:t>
            </w:r>
            <w:r w:rsidRPr="00A514B5">
              <w:rPr>
                <w:b/>
                <w:i/>
              </w:rPr>
              <w:t>moeten</w:t>
            </w:r>
            <w:r w:rsidRPr="00A514B5">
              <w:t xml:space="preserve"> de lidstaten: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tekst van Iccat-aanbeveling 21-01 wordt nauwkeuriger omgezet.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8</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10 – lid 2 – punt a</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a)</w:t>
            </w:r>
            <w:r w:rsidRPr="00A514B5">
              <w:tab/>
              <w:t>alle ingezette FAD’s niet-verstrikkende FAD’s zijn overeenkomstig de richtsnoeren in bijlage 5 bij aanbeveling 19-02;</w:t>
            </w:r>
          </w:p>
        </w:tc>
        <w:tc>
          <w:tcPr>
            <w:tcW w:w="4876" w:type="dxa"/>
          </w:tcPr>
          <w:p w:rsidR="0049599D" w:rsidRPr="00A514B5" w:rsidRDefault="00B71BA7" w:rsidP="00DC02B3">
            <w:pPr>
              <w:pStyle w:val="Normal6"/>
              <w:rPr>
                <w:szCs w:val="24"/>
              </w:rPr>
            </w:pPr>
            <w:r w:rsidRPr="00A514B5">
              <w:t>a)</w:t>
            </w:r>
            <w:r w:rsidRPr="00A514B5">
              <w:tab/>
            </w:r>
            <w:r w:rsidRPr="00A514B5">
              <w:rPr>
                <w:b/>
                <w:i/>
              </w:rPr>
              <w:t xml:space="preserve">ervoor zorgen dat </w:t>
            </w:r>
            <w:r w:rsidRPr="00A514B5">
              <w:t>alle ingezette FAD’s niet-verstrikkende FAD’s zijn overeenkomstig de richtsnoeren in bijlage 5 bij aanbeveling 19-02;</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tekst van Iccat-aanbeveling 21-01 wordt nauwkeuriger omgezet.</w:t>
      </w:r>
    </w:p>
    <w:p w:rsidR="0049599D" w:rsidRPr="00A514B5" w:rsidRDefault="00B71BA7" w:rsidP="0049599D">
      <w:r w:rsidRPr="00A514B5">
        <w:rPr>
          <w:rStyle w:val="HideTWBExt"/>
        </w:rPr>
        <w:lastRenderedPageBreak/>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8</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10 – lid 2 – punt b</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b)</w:t>
            </w:r>
            <w:r w:rsidRPr="00A514B5">
              <w:tab/>
              <w:t>alle FAD’s zijn vervaardigd uit biologisch afbreekbare materialen, en niet uit kunststoffen, met uitzondering van materialen die worden gebruikt bij de bouw van FAD-volgboeien;</w:t>
            </w:r>
          </w:p>
        </w:tc>
        <w:tc>
          <w:tcPr>
            <w:tcW w:w="4876" w:type="dxa"/>
          </w:tcPr>
          <w:p w:rsidR="0049599D" w:rsidRPr="00A514B5" w:rsidRDefault="00B71BA7" w:rsidP="00C84F42">
            <w:pPr>
              <w:pStyle w:val="Normal6"/>
              <w:rPr>
                <w:szCs w:val="24"/>
              </w:rPr>
            </w:pPr>
            <w:r w:rsidRPr="00A514B5">
              <w:t>b)</w:t>
            </w:r>
            <w:r w:rsidRPr="00A514B5">
              <w:tab/>
            </w:r>
            <w:r w:rsidRPr="00A514B5">
              <w:rPr>
                <w:b/>
                <w:i/>
              </w:rPr>
              <w:t xml:space="preserve">ernaar streven dat </w:t>
            </w:r>
            <w:r w:rsidRPr="00A514B5">
              <w:t>alle FAD’s zijn vervaardigd uit biologisch afbreekbare materialen, en niet uit kunststoffen, met uitzondering van materialen die worden gebruikt bij de bouw van FAD-volgboeien;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tekst van Iccat-aanbeveling 21-01 wordt nauwkeuriger omgezet.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11</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14 – lid 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1.</w:t>
            </w:r>
            <w:r w:rsidRPr="00A514B5">
              <w:tab/>
              <w:t xml:space="preserve">De lidstaten zien erop toe dat </w:t>
            </w:r>
            <w:r w:rsidRPr="00A514B5">
              <w:rPr>
                <w:b/>
                <w:i/>
              </w:rPr>
              <w:t>hun</w:t>
            </w:r>
            <w:r w:rsidRPr="00A514B5">
              <w:t xml:space="preserve"> vaartuigen gedurende een periode van 15 dagen vóór het begin van de in het Unierecht vastgestelde sluitingsperioden geen niet-verankerde FAD’s gebruiken.</w:t>
            </w:r>
          </w:p>
        </w:tc>
        <w:tc>
          <w:tcPr>
            <w:tcW w:w="4876" w:type="dxa"/>
          </w:tcPr>
          <w:p w:rsidR="0049599D" w:rsidRPr="00A514B5" w:rsidRDefault="00B71BA7" w:rsidP="004B110E">
            <w:pPr>
              <w:pStyle w:val="Normal6"/>
              <w:rPr>
                <w:szCs w:val="24"/>
              </w:rPr>
            </w:pPr>
            <w:r w:rsidRPr="00A514B5">
              <w:t>1.</w:t>
            </w:r>
            <w:r w:rsidRPr="00A514B5">
              <w:tab/>
              <w:t xml:space="preserve">De lidstaten zien erop toe dat vaartuigen </w:t>
            </w:r>
            <w:r w:rsidRPr="00A514B5">
              <w:rPr>
                <w:b/>
                <w:i/>
              </w:rPr>
              <w:t xml:space="preserve">die hun vlag voeren </w:t>
            </w:r>
            <w:r w:rsidRPr="00A514B5">
              <w:t>gedurende een periode van 15 dagen vóór het begin van de in het Unierecht vastgestelde sluitingsperioden geen niet-verankerde FAD’s gebruiken.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18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11</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14 – lid 2 – inleidende formule</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w:t>
            </w:r>
            <w:r w:rsidRPr="00A514B5">
              <w:tab/>
              <w:t xml:space="preserve">De lidstaten </w:t>
            </w:r>
            <w:r w:rsidRPr="00A514B5">
              <w:rPr>
                <w:b/>
                <w:i/>
              </w:rPr>
              <w:t xml:space="preserve">waarvan </w:t>
            </w:r>
            <w:r w:rsidRPr="00A514B5">
              <w:t>vaartuigen op tropische tonijn vissen:</w:t>
            </w:r>
          </w:p>
        </w:tc>
        <w:tc>
          <w:tcPr>
            <w:tcW w:w="4876" w:type="dxa"/>
          </w:tcPr>
          <w:p w:rsidR="0049599D" w:rsidRPr="00A514B5" w:rsidRDefault="00B71BA7" w:rsidP="004B110E">
            <w:pPr>
              <w:pStyle w:val="Normal6"/>
              <w:rPr>
                <w:szCs w:val="24"/>
              </w:rPr>
            </w:pPr>
            <w:r w:rsidRPr="00A514B5">
              <w:t>2.</w:t>
            </w:r>
            <w:r w:rsidRPr="00A514B5">
              <w:tab/>
              <w:t xml:space="preserve">De lidstaten </w:t>
            </w:r>
            <w:r w:rsidRPr="00A514B5">
              <w:rPr>
                <w:b/>
                <w:i/>
              </w:rPr>
              <w:t xml:space="preserve">zien erop toe dat </w:t>
            </w:r>
            <w:r w:rsidRPr="00A514B5">
              <w:t xml:space="preserve">vaartuigen </w:t>
            </w:r>
            <w:r w:rsidRPr="00A514B5">
              <w:rPr>
                <w:b/>
                <w:i/>
              </w:rPr>
              <w:t xml:space="preserve">die hun vlag voeren en die gemachtigd zijn om </w:t>
            </w:r>
            <w:r w:rsidRPr="00A514B5">
              <w:t xml:space="preserve">op tropische tonijn </w:t>
            </w:r>
            <w:r w:rsidRPr="00A514B5">
              <w:rPr>
                <w:b/>
                <w:i/>
              </w:rPr>
              <w:t xml:space="preserve">te </w:t>
            </w:r>
            <w:r w:rsidRPr="00A514B5">
              <w:t>vissen</w:t>
            </w:r>
            <w:r w:rsidRPr="00A514B5">
              <w:rPr>
                <w:b/>
                <w:i/>
              </w:rPr>
              <w:t>, als volgt een minimale dekking door waarnemers vaststellen</w:t>
            </w:r>
            <w:r w:rsidRPr="00A514B5">
              <w: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19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20</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27 – titel</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Artikel 27</w:t>
            </w:r>
            <w:r w:rsidRPr="00A514B5">
              <w:rPr>
                <w:b/>
                <w:i/>
              </w:rPr>
              <w:t> bis</w:t>
            </w:r>
          </w:p>
        </w:tc>
        <w:tc>
          <w:tcPr>
            <w:tcW w:w="4876" w:type="dxa"/>
          </w:tcPr>
          <w:p w:rsidR="0049599D" w:rsidRPr="00A514B5" w:rsidRDefault="00B71BA7" w:rsidP="004B110E">
            <w:pPr>
              <w:pStyle w:val="Normal6"/>
              <w:rPr>
                <w:szCs w:val="24"/>
              </w:rPr>
            </w:pPr>
            <w:r w:rsidRPr="00A514B5">
              <w:t>Artikel 27</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20</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27 – lid 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1.</w:t>
            </w:r>
            <w:r w:rsidRPr="00A514B5">
              <w:tab/>
              <w:t xml:space="preserve">In afwijking van artikel 15, lid 1, van Verordening (EU) nr. 1380/2013 </w:t>
            </w:r>
            <w:r w:rsidRPr="00A514B5">
              <w:rPr>
                <w:b/>
                <w:bCs/>
                <w:i/>
                <w:iCs/>
              </w:rPr>
              <w:t>zorgen</w:t>
            </w:r>
            <w:r w:rsidRPr="00A514B5">
              <w:t xml:space="preserve"> de lidstaten ervoor dat, wanneer </w:t>
            </w:r>
            <w:r w:rsidRPr="00A514B5">
              <w:rPr>
                <w:b/>
                <w:i/>
              </w:rPr>
              <w:t>80 % van</w:t>
            </w:r>
            <w:r w:rsidRPr="00A514B5">
              <w:t xml:space="preserve"> hun quotum is opgebruikt, de vaartuigen die hun vlag voeren alle blauwe marlijn (Makaira nigricans), witte marlijn (Tetrapturus albidus) en degenspeervis (Tetrapturus georgei) die bij het aan boord brengen nog leeft, terugzetten.</w:t>
            </w:r>
          </w:p>
        </w:tc>
        <w:tc>
          <w:tcPr>
            <w:tcW w:w="4876" w:type="dxa"/>
          </w:tcPr>
          <w:p w:rsidR="0049599D" w:rsidRPr="00A514B5" w:rsidRDefault="00B71BA7" w:rsidP="004B110E">
            <w:pPr>
              <w:pStyle w:val="Normal6"/>
              <w:rPr>
                <w:szCs w:val="24"/>
              </w:rPr>
            </w:pPr>
            <w:r w:rsidRPr="00A514B5">
              <w:t>1.</w:t>
            </w:r>
            <w:r w:rsidRPr="00A514B5">
              <w:tab/>
              <w:t xml:space="preserve">In afwijking van artikel 15, lid 1, van Verordening (EU) nr. 1380/2013 </w:t>
            </w:r>
            <w:r w:rsidRPr="00A514B5">
              <w:rPr>
                <w:b/>
                <w:i/>
              </w:rPr>
              <w:t xml:space="preserve">treffen </w:t>
            </w:r>
            <w:r w:rsidRPr="00A514B5">
              <w:t xml:space="preserve">de lidstaten </w:t>
            </w:r>
            <w:r w:rsidRPr="00A514B5">
              <w:rPr>
                <w:b/>
                <w:i/>
              </w:rPr>
              <w:t xml:space="preserve">passende maatregelen om </w:t>
            </w:r>
            <w:r w:rsidRPr="00A514B5">
              <w:t xml:space="preserve">ervoor </w:t>
            </w:r>
            <w:r w:rsidRPr="00A514B5">
              <w:rPr>
                <w:b/>
                <w:bCs/>
                <w:i/>
                <w:iCs/>
              </w:rPr>
              <w:t xml:space="preserve">te zorgen </w:t>
            </w:r>
            <w:r w:rsidRPr="00A514B5">
              <w:t xml:space="preserve">dat, wanneer hun quotum </w:t>
            </w:r>
            <w:r w:rsidRPr="00A514B5">
              <w:rPr>
                <w:b/>
                <w:bCs/>
                <w:i/>
                <w:iCs/>
              </w:rPr>
              <w:t>bijna</w:t>
            </w:r>
            <w:r w:rsidRPr="00A514B5">
              <w:rPr>
                <w:b/>
                <w:bCs/>
              </w:rPr>
              <w:t xml:space="preserve"> </w:t>
            </w:r>
            <w:r w:rsidRPr="00A514B5">
              <w:t>is opgebruikt, de vaartuigen die hun vlag voeren alle blauwe marlijn (Makaira nigricans), witte marlijn (Tetrapturus albidus) en degenspeervis (Tetrapturus georgei) die bij het aan boord brengen nog leeft, terugzetten.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18-04 wordt nauwkeuriger omgezet.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20</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27 – lid 3</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3.</w:t>
            </w:r>
            <w:r w:rsidRPr="00A514B5">
              <w:tab/>
              <w:t>De lidstaten moedigen de toepassing aan van de in bijlage I bij aanbeveling 19-05 gespecificeerde minimumnormen voor voorzichtige behandeling en terugzetting door richtsnoeren voor hun vloot op te stellen. Een hefinrichting, een betonschaar, een onthaker/hakensteker en een lijnsnijder om de gevangen levende marlijn veilig terug te zetten, moeten onmiddellijk op het dek van de vissersvaartuigen beschikbaar zijn en moeten gemakkelijk bereikbaar zijn voor de bemanning.</w:t>
            </w:r>
          </w:p>
        </w:tc>
        <w:tc>
          <w:tcPr>
            <w:tcW w:w="4876" w:type="dxa"/>
          </w:tcPr>
          <w:p w:rsidR="0049599D" w:rsidRPr="00A514B5" w:rsidRDefault="00B71BA7" w:rsidP="004B110E">
            <w:pPr>
              <w:pStyle w:val="Normal6"/>
              <w:rPr>
                <w:szCs w:val="24"/>
              </w:rPr>
            </w:pPr>
            <w:r w:rsidRPr="00A514B5">
              <w:t>3.</w:t>
            </w:r>
            <w:r w:rsidRPr="00A514B5">
              <w:tab/>
              <w:t xml:space="preserve">De lidstaten moedigen de toepassing aan van de in bijlage I bij aanbeveling 19-05 gespecificeerde minimumnormen voor voorzichtige behandeling en terugzetting door richtsnoeren voor hun vloot op te stellen. Een hefinrichting, een betonschaar, een onthaker/hakensteker en een lijnsnijder om de gevangen levende marlijn veilig terug te zetten, moeten onmiddellijk op het dek van de vissersvaartuigen </w:t>
            </w:r>
            <w:r w:rsidRPr="00A514B5">
              <w:rPr>
                <w:b/>
                <w:i/>
              </w:rPr>
              <w:t xml:space="preserve">van de Unie </w:t>
            </w:r>
            <w:r w:rsidRPr="00A514B5">
              <w:t>beschikbaar zijn en moeten gemakkelijk bereikbaar zijn voor de bemanning.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lastRenderedPageBreak/>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20</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27 – lid 4</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4.</w:t>
            </w:r>
            <w:r w:rsidRPr="00A514B5">
              <w:tab/>
            </w:r>
            <w:r w:rsidRPr="00A514B5">
              <w:rPr>
                <w:b/>
                <w:i/>
              </w:rPr>
              <w:t xml:space="preserve">Door richtsnoeren voor hun vloot op te stellen, zorgen </w:t>
            </w:r>
            <w:r w:rsidRPr="00A514B5">
              <w:t xml:space="preserve">de lidstaten ervoor dat de kapitein en de bemanningsleden van hun vissersvaartuigen naar behoren zijn opgeleid, bekend zijn met passende technieken voor risicobeperking, identificatie, behandeling en terugzetting, en deze technieken toepassen en dat ze alle uitrusting die nodig is voor het terugzetten van marlijn aan boord houden overeenkomstig de in </w:t>
            </w:r>
            <w:r w:rsidRPr="00A514B5">
              <w:rPr>
                <w:b/>
                <w:i/>
              </w:rPr>
              <w:t>bijlage I bij aanbeveling 19-05 gespecificeerde</w:t>
            </w:r>
            <w:r w:rsidRPr="00A514B5">
              <w:t xml:space="preserve"> minimumnormen voor voorzichtige behandeling.</w:t>
            </w:r>
          </w:p>
        </w:tc>
        <w:tc>
          <w:tcPr>
            <w:tcW w:w="4876" w:type="dxa"/>
          </w:tcPr>
          <w:p w:rsidR="0049599D" w:rsidRPr="00A514B5" w:rsidRDefault="00B71BA7" w:rsidP="004B110E">
            <w:pPr>
              <w:pStyle w:val="Normal6"/>
              <w:rPr>
                <w:szCs w:val="24"/>
              </w:rPr>
            </w:pPr>
            <w:r w:rsidRPr="00A514B5">
              <w:t>4.</w:t>
            </w:r>
            <w:r w:rsidRPr="00A514B5">
              <w:tab/>
              <w:t xml:space="preserve">De lidstaten </w:t>
            </w:r>
            <w:r w:rsidRPr="00A514B5">
              <w:rPr>
                <w:b/>
                <w:bCs/>
                <w:i/>
                <w:iCs/>
              </w:rPr>
              <w:t>zorgen</w:t>
            </w:r>
            <w:r w:rsidRPr="00A514B5">
              <w:rPr>
                <w:b/>
                <w:bCs/>
              </w:rPr>
              <w:t xml:space="preserve"> </w:t>
            </w:r>
            <w:r w:rsidRPr="00A514B5">
              <w:t xml:space="preserve">ervoor dat de kapitein en de bemanningsleden van hun vissersvaartuigen naar behoren zijn opgeleid, bekend zijn met passende technieken voor risicobeperking, identificatie, behandeling en terugzetting, en deze technieken toepassen en dat ze alle uitrusting die nodig is voor het terugzetten van marlijn aan boord houden overeenkomstig de in </w:t>
            </w:r>
            <w:r w:rsidRPr="00A514B5">
              <w:rPr>
                <w:b/>
                <w:i/>
              </w:rPr>
              <w:t xml:space="preserve">lid 3 bedoelde richtsnoeren inzake </w:t>
            </w:r>
            <w:r w:rsidRPr="00A514B5">
              <w:t>minimumnormen voor voorzichtige behandeling.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richtsnoeren inzake minimumnormen voor voorzichtige behandeling worden reeds vermeld in lid 3.</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20</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27 – lid 6</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6.</w:t>
            </w:r>
            <w:r w:rsidRPr="00A514B5">
              <w:tab/>
              <w:t xml:space="preserve">De lidstaten kunnen </w:t>
            </w:r>
            <w:r w:rsidRPr="00A514B5">
              <w:rPr>
                <w:b/>
                <w:bCs/>
                <w:i/>
                <w:iCs/>
              </w:rPr>
              <w:t>hun</w:t>
            </w:r>
            <w:r w:rsidRPr="00A514B5">
              <w:t xml:space="preserve"> pelagische </w:t>
            </w:r>
            <w:r w:rsidRPr="00A514B5">
              <w:lastRenderedPageBreak/>
              <w:t>beugvisserijvaartuigen en ringzegenvaartuigen toestemming verlenen om dode blauwe marlijn en dode witte marlijn/degenspeervis binnen de grenzen van hun aanlandingsbeperking aan boord te houden, over te laden of aan te landen.</w:t>
            </w:r>
          </w:p>
        </w:tc>
        <w:tc>
          <w:tcPr>
            <w:tcW w:w="4876" w:type="dxa"/>
          </w:tcPr>
          <w:p w:rsidR="0049599D" w:rsidRPr="00A514B5" w:rsidRDefault="00B71BA7" w:rsidP="004B110E">
            <w:pPr>
              <w:pStyle w:val="Normal6"/>
              <w:rPr>
                <w:szCs w:val="24"/>
              </w:rPr>
            </w:pPr>
            <w:r w:rsidRPr="00A514B5">
              <w:lastRenderedPageBreak/>
              <w:t>6.</w:t>
            </w:r>
            <w:r w:rsidRPr="00A514B5">
              <w:tab/>
              <w:t xml:space="preserve">De lidstaten kunnen pelagische </w:t>
            </w:r>
            <w:r w:rsidRPr="00A514B5">
              <w:lastRenderedPageBreak/>
              <w:t xml:space="preserve">beugvisserijvaartuigen en ringzegenvaartuigen </w:t>
            </w:r>
            <w:r w:rsidRPr="00A514B5">
              <w:rPr>
                <w:b/>
                <w:i/>
              </w:rPr>
              <w:t xml:space="preserve">die hun vlag voeren </w:t>
            </w:r>
            <w:r w:rsidRPr="00A514B5">
              <w:t>toestemming verlenen om dode blauwe marlijn en dode witte marlijn/degenspeervis binnen de grenzen van hun aanlandingsbeperking aan boord te houden, over te laden of aan te landen.</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21</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29 – lid 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5.</w:t>
            </w:r>
            <w:r w:rsidRPr="00A514B5">
              <w:tab/>
              <w:t xml:space="preserve">In de recreatievisserij </w:t>
            </w:r>
            <w:r w:rsidRPr="00A514B5">
              <w:rPr>
                <w:b/>
                <w:bCs/>
                <w:i/>
                <w:iCs/>
              </w:rPr>
              <w:t>wordt</w:t>
            </w:r>
            <w:r w:rsidRPr="00A514B5">
              <w:t xml:space="preserve"> de vis op zodanige wijze teruggezet dat zo weinig mogelijk leed wordt berokkend.</w:t>
            </w:r>
          </w:p>
        </w:tc>
        <w:tc>
          <w:tcPr>
            <w:tcW w:w="4876" w:type="dxa"/>
          </w:tcPr>
          <w:p w:rsidR="0049599D" w:rsidRPr="00A514B5" w:rsidRDefault="00B71BA7" w:rsidP="004B110E">
            <w:pPr>
              <w:pStyle w:val="Normal6"/>
              <w:rPr>
                <w:szCs w:val="24"/>
              </w:rPr>
            </w:pPr>
            <w:r w:rsidRPr="00A514B5">
              <w:t>5.</w:t>
            </w:r>
            <w:r w:rsidRPr="00A514B5">
              <w:tab/>
            </w:r>
            <w:r w:rsidRPr="00A514B5">
              <w:rPr>
                <w:b/>
                <w:i/>
              </w:rPr>
              <w:t xml:space="preserve">De lidstaten treffen passende maatregelen om ervoor te zorgen dat </w:t>
            </w:r>
            <w:r w:rsidRPr="00A514B5">
              <w:t>in de recreatie</w:t>
            </w:r>
            <w:bookmarkStart w:id="1" w:name="_GoBack"/>
            <w:bookmarkEnd w:id="1"/>
            <w:r w:rsidRPr="00A514B5">
              <w:t xml:space="preserve">visserij de vis op zodanige wijze </w:t>
            </w:r>
            <w:r w:rsidRPr="00A514B5">
              <w:rPr>
                <w:b/>
                <w:i/>
              </w:rPr>
              <w:t xml:space="preserve">wordt </w:t>
            </w:r>
            <w:r w:rsidRPr="00A514B5">
              <w:t>teruggezet dat zo weinig mogelijk leed wordt berokkend.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Aanbeveling 19-05 bepaalt dat CPC’s passende maatregelen treffen om aan deze bepaling te voldoen.</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24</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33</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A31D6F">
        <w:trPr>
          <w:jc w:val="center"/>
        </w:trPr>
        <w:tc>
          <w:tcPr>
            <w:tcW w:w="9752" w:type="dxa"/>
            <w:gridSpan w:val="2"/>
          </w:tcPr>
          <w:p w:rsidR="0049599D" w:rsidRPr="00A514B5" w:rsidRDefault="0049599D" w:rsidP="004B110E">
            <w:pPr>
              <w:keepNext/>
            </w:pPr>
          </w:p>
        </w:tc>
      </w:tr>
      <w:tr w:rsidR="00B9071D" w:rsidRPr="00A514B5" w:rsidTr="00A31D6F">
        <w:trPr>
          <w:trHeight w:val="1228"/>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A31D6F">
        <w:trPr>
          <w:jc w:val="center"/>
        </w:trPr>
        <w:tc>
          <w:tcPr>
            <w:tcW w:w="4876" w:type="dxa"/>
          </w:tcPr>
          <w:p w:rsidR="0049599D" w:rsidRPr="00A514B5" w:rsidRDefault="00B71BA7" w:rsidP="00A31D6F">
            <w:pPr>
              <w:pStyle w:val="Normal6"/>
              <w:jc w:val="center"/>
            </w:pPr>
            <w:r w:rsidRPr="00A514B5">
              <w:t>Artikel 33</w:t>
            </w:r>
          </w:p>
        </w:tc>
        <w:tc>
          <w:tcPr>
            <w:tcW w:w="4876" w:type="dxa"/>
          </w:tcPr>
          <w:p w:rsidR="0049599D" w:rsidRPr="00A514B5" w:rsidRDefault="00B71BA7" w:rsidP="00A31D6F">
            <w:pPr>
              <w:pStyle w:val="Normal6"/>
              <w:jc w:val="center"/>
              <w:rPr>
                <w:szCs w:val="24"/>
              </w:rPr>
            </w:pPr>
            <w:r w:rsidRPr="00A514B5">
              <w:t>Artikel 33</w:t>
            </w:r>
          </w:p>
        </w:tc>
      </w:tr>
      <w:tr w:rsidR="00B9071D" w:rsidRPr="00A514B5" w:rsidTr="00A31D6F">
        <w:trPr>
          <w:jc w:val="center"/>
        </w:trPr>
        <w:tc>
          <w:tcPr>
            <w:tcW w:w="4876" w:type="dxa"/>
          </w:tcPr>
          <w:p w:rsidR="0049599D" w:rsidRPr="00A514B5" w:rsidRDefault="00B71BA7" w:rsidP="00A31D6F">
            <w:pPr>
              <w:pStyle w:val="Normal6"/>
              <w:jc w:val="center"/>
            </w:pPr>
            <w:r w:rsidRPr="00A514B5">
              <w:t>Kortvinmakreelhaaien (Isurus oxyrinchus)</w:t>
            </w:r>
          </w:p>
        </w:tc>
        <w:tc>
          <w:tcPr>
            <w:tcW w:w="4876" w:type="dxa"/>
          </w:tcPr>
          <w:p w:rsidR="0049599D" w:rsidRPr="00A514B5" w:rsidRDefault="00B71BA7" w:rsidP="00A31D6F">
            <w:pPr>
              <w:pStyle w:val="Normal6"/>
              <w:jc w:val="center"/>
              <w:rPr>
                <w:szCs w:val="24"/>
              </w:rPr>
            </w:pPr>
            <w:r w:rsidRPr="00A514B5">
              <w:rPr>
                <w:b/>
                <w:i/>
              </w:rPr>
              <w:t xml:space="preserve">Noord-Atlantische </w:t>
            </w:r>
            <w:r w:rsidRPr="00A514B5">
              <w:t>kortvinmakreelhaaien (Isurus oxyrinchus)</w:t>
            </w:r>
          </w:p>
        </w:tc>
      </w:tr>
      <w:tr w:rsidR="00B9071D" w:rsidRPr="00A514B5" w:rsidTr="00A31D6F">
        <w:trPr>
          <w:jc w:val="center"/>
        </w:trPr>
        <w:tc>
          <w:tcPr>
            <w:tcW w:w="4876" w:type="dxa"/>
          </w:tcPr>
          <w:p w:rsidR="0049599D" w:rsidRPr="00A514B5" w:rsidRDefault="00B71BA7" w:rsidP="004B110E">
            <w:pPr>
              <w:pStyle w:val="Normal6"/>
              <w:rPr>
                <w:b/>
                <w:i/>
              </w:rPr>
            </w:pPr>
            <w:r w:rsidRPr="00A514B5">
              <w:rPr>
                <w:b/>
                <w:i/>
              </w:rPr>
              <w:t xml:space="preserve">1. </w:t>
            </w:r>
            <w:r w:rsidRPr="00A514B5">
              <w:rPr>
                <w:b/>
                <w:i/>
              </w:rPr>
              <w:tab/>
              <w:t>De vissersvaartuigen van de Unie zetten</w:t>
            </w:r>
            <w:r w:rsidRPr="00A514B5">
              <w:t xml:space="preserve"> Noord-Atlantische kortvinmakreelhaaien onmiddellijk </w:t>
            </w:r>
            <w:r w:rsidRPr="00A514B5">
              <w:rPr>
                <w:b/>
                <w:i/>
              </w:rPr>
              <w:t>terug op zodanige wijze dat zo min mogelijk leed wordt veroorzaakt</w:t>
            </w:r>
            <w:r w:rsidRPr="00A514B5">
              <w:t>, waarbij terdege rekening wordt gehouden met de veiligheid van de bemanning.</w:t>
            </w:r>
          </w:p>
        </w:tc>
        <w:tc>
          <w:tcPr>
            <w:tcW w:w="4876" w:type="dxa"/>
          </w:tcPr>
          <w:p w:rsidR="0049599D" w:rsidRPr="00A514B5" w:rsidRDefault="00B71BA7" w:rsidP="004B110E">
            <w:pPr>
              <w:pStyle w:val="Normal6"/>
              <w:rPr>
                <w:szCs w:val="24"/>
              </w:rPr>
            </w:pPr>
            <w:r w:rsidRPr="00A514B5">
              <w:rPr>
                <w:b/>
                <w:i/>
              </w:rPr>
              <w:t>1.</w:t>
            </w:r>
            <w:r w:rsidRPr="00A514B5">
              <w:rPr>
                <w:b/>
                <w:i/>
              </w:rPr>
              <w:tab/>
            </w:r>
            <w:r w:rsidRPr="00A514B5">
              <w:t xml:space="preserve">Noord-Atlantische kortvinmakreelhaaien </w:t>
            </w:r>
            <w:r w:rsidRPr="00A514B5">
              <w:rPr>
                <w:b/>
                <w:i/>
              </w:rPr>
              <w:t xml:space="preserve">die door vissersvaartuigen van de Unie worden gevangen, worden ongedeerd </w:t>
            </w:r>
            <w:r w:rsidRPr="00A514B5">
              <w:t xml:space="preserve">en onmiddellijk </w:t>
            </w:r>
            <w:r w:rsidRPr="00A514B5">
              <w:rPr>
                <w:b/>
                <w:i/>
              </w:rPr>
              <w:t>teruggezet in zee</w:t>
            </w:r>
            <w:r w:rsidRPr="00A514B5">
              <w:t>, waarbij terdege rekening wordt gehouden met de veiligheid van de bemanning.</w:t>
            </w:r>
          </w:p>
        </w:tc>
      </w:tr>
      <w:tr w:rsidR="00B9071D" w:rsidRPr="00A514B5" w:rsidTr="00A31D6F">
        <w:trPr>
          <w:jc w:val="center"/>
        </w:trPr>
        <w:tc>
          <w:tcPr>
            <w:tcW w:w="4876" w:type="dxa"/>
          </w:tcPr>
          <w:p w:rsidR="0049599D" w:rsidRPr="00A514B5" w:rsidRDefault="00B71BA7" w:rsidP="004B110E">
            <w:pPr>
              <w:pStyle w:val="Normal6"/>
            </w:pPr>
            <w:r w:rsidRPr="00A514B5">
              <w:rPr>
                <w:b/>
                <w:i/>
              </w:rPr>
              <w:t xml:space="preserve">2. </w:t>
            </w:r>
            <w:r w:rsidRPr="00A514B5">
              <w:rPr>
                <w:b/>
                <w:i/>
              </w:rPr>
              <w:tab/>
              <w:t xml:space="preserve">Onverminderd lid 1 kunnen </w:t>
            </w:r>
            <w:r w:rsidRPr="00A514B5">
              <w:t>de lidstaten hun vaartuigen</w:t>
            </w:r>
            <w:r w:rsidRPr="00A514B5">
              <w:rPr>
                <w:b/>
                <w:i/>
              </w:rPr>
              <w:t xml:space="preserve"> toestemming geven om </w:t>
            </w:r>
            <w:r w:rsidRPr="00A514B5">
              <w:t>Noord-Atlantische kortvinmakreelhaaien</w:t>
            </w:r>
            <w:r w:rsidRPr="00A514B5">
              <w:rPr>
                <w:b/>
                <w:i/>
              </w:rPr>
              <w:t xml:space="preserve"> te bevissen en aan boord te houden, over te laden of aan te landen, mits:</w:t>
            </w:r>
          </w:p>
        </w:tc>
        <w:tc>
          <w:tcPr>
            <w:tcW w:w="4876" w:type="dxa"/>
          </w:tcPr>
          <w:p w:rsidR="0049599D" w:rsidRPr="00A514B5" w:rsidRDefault="00B71BA7">
            <w:pPr>
              <w:pStyle w:val="Normal6"/>
              <w:rPr>
                <w:szCs w:val="24"/>
              </w:rPr>
            </w:pPr>
            <w:r w:rsidRPr="00A514B5">
              <w:rPr>
                <w:b/>
                <w:i/>
              </w:rPr>
              <w:t>2.</w:t>
            </w:r>
            <w:r w:rsidRPr="00A514B5">
              <w:rPr>
                <w:b/>
                <w:i/>
              </w:rPr>
              <w:tab/>
            </w:r>
            <w:r w:rsidRPr="00A514B5">
              <w:t xml:space="preserve">De lidstaten </w:t>
            </w:r>
            <w:r w:rsidRPr="00A514B5">
              <w:rPr>
                <w:b/>
                <w:i/>
              </w:rPr>
              <w:t xml:space="preserve">zien erop toe dat </w:t>
            </w:r>
            <w:r w:rsidRPr="00A514B5">
              <w:t xml:space="preserve">hun vaartuigen </w:t>
            </w:r>
            <w:r w:rsidRPr="00A514B5">
              <w:rPr>
                <w:b/>
                <w:i/>
              </w:rPr>
              <w:t xml:space="preserve">de in bijlage IX vastgestelde minimumnormen voor voorzichtige behandeling en terugzetting van </w:t>
            </w:r>
            <w:r w:rsidRPr="00A514B5">
              <w:t xml:space="preserve">Noord-Atlantische kortvinmakreelhaaien </w:t>
            </w:r>
            <w:r w:rsidRPr="00A514B5">
              <w:rPr>
                <w:b/>
                <w:i/>
              </w:rPr>
              <w:t>toepassen.</w:t>
            </w:r>
          </w:p>
        </w:tc>
      </w:tr>
      <w:tr w:rsidR="00B9071D" w:rsidRPr="00A514B5" w:rsidTr="00704275">
        <w:trPr>
          <w:jc w:val="center"/>
        </w:trPr>
        <w:tc>
          <w:tcPr>
            <w:tcW w:w="4876" w:type="dxa"/>
          </w:tcPr>
          <w:p w:rsidR="00704275" w:rsidRPr="00A514B5" w:rsidRDefault="00B71BA7" w:rsidP="00704275">
            <w:pPr>
              <w:pStyle w:val="Normal6"/>
              <w:rPr>
                <w:b/>
                <w:i/>
              </w:rPr>
            </w:pPr>
            <w:r w:rsidRPr="00A514B5">
              <w:rPr>
                <w:b/>
                <w:i/>
              </w:rPr>
              <w:t xml:space="preserve">i) </w:t>
            </w:r>
            <w:r w:rsidRPr="00A514B5">
              <w:rPr>
                <w:b/>
                <w:i/>
              </w:rPr>
              <w:tab/>
              <w:t>de kortvinmakreelhaai dood is wanneer hij langszij wordt gebracht om aan boord van het vaartuig te worden gehaald;</w:t>
            </w:r>
          </w:p>
        </w:tc>
        <w:tc>
          <w:tcPr>
            <w:tcW w:w="4876" w:type="dxa"/>
          </w:tcPr>
          <w:p w:rsidR="00704275" w:rsidRPr="00A514B5" w:rsidRDefault="00704275" w:rsidP="004B110E">
            <w:pPr>
              <w:pStyle w:val="Normal6"/>
              <w:rPr>
                <w:b/>
                <w:i/>
              </w:rPr>
            </w:pP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ii) </w:t>
            </w:r>
            <w:r w:rsidRPr="00A514B5">
              <w:rPr>
                <w:b/>
                <w:i/>
              </w:rPr>
              <w:tab/>
              <w:t>het aantal aan boord gehouden kortvinmakreelhaaien niet hoger ligt dan de gemiddelde aanlandingen van kortvinmakreelhaaien door het vissersvaartuig terwijl een waarnemer aan boord is en dit wordt geverifieerd aan de hand van verplichte logboeken en aanlandingsinspecties die op basis van een risicobeoordeling worden uitgevoerd.</w:t>
            </w:r>
          </w:p>
        </w:tc>
        <w:tc>
          <w:tcPr>
            <w:tcW w:w="4876" w:type="dxa"/>
          </w:tcPr>
          <w:p w:rsidR="00704275" w:rsidRPr="00A514B5" w:rsidRDefault="00704275" w:rsidP="004B110E">
            <w:pPr>
              <w:pStyle w:val="Normal6"/>
              <w:rPr>
                <w:b/>
                <w:i/>
              </w:rPr>
            </w:pP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3. </w:t>
            </w:r>
            <w:r w:rsidRPr="00A514B5">
              <w:rPr>
                <w:b/>
                <w:i/>
              </w:rPr>
              <w:tab/>
              <w:t>Aan hun vaartuigen met een lengte van meer dan 12 meter mogen de lidstaten bovendien enkel toestemming verlenen om Noord-Atlantische kortvinmakreelhaaien te bevissen en aan boord te houden, over te laden of aan te landen, indien aan de in lid 2 vastgestelde en aan de volgende voorwaarden is voldaan:</w:t>
            </w:r>
          </w:p>
        </w:tc>
        <w:tc>
          <w:tcPr>
            <w:tcW w:w="4876" w:type="dxa"/>
          </w:tcPr>
          <w:p w:rsidR="00704275" w:rsidRPr="00A514B5" w:rsidRDefault="00B71BA7" w:rsidP="004B110E">
            <w:pPr>
              <w:pStyle w:val="Normal6"/>
              <w:rPr>
                <w:b/>
                <w:i/>
              </w:rPr>
            </w:pPr>
            <w:r w:rsidRPr="00A514B5">
              <w:rPr>
                <w:b/>
                <w:i/>
              </w:rPr>
              <w:t>3.</w:t>
            </w:r>
            <w:r w:rsidRPr="00A514B5">
              <w:rPr>
                <w:b/>
                <w:i/>
              </w:rPr>
              <w:tab/>
              <w:t>Met ingang van 2023 en daarna jaarlijks waarmerkt de Commissie de toegestane aan boord te houden hoeveelheid voor het daaropvolgende jaar, op basis van het beste beschikbare wetenschappelijke advies.</w:t>
            </w: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a) </w:t>
            </w:r>
            <w:r w:rsidRPr="00A514B5">
              <w:rPr>
                <w:b/>
                <w:i/>
              </w:rPr>
              <w:tab/>
              <w:t xml:space="preserve">het vaartuig heeft een waarnemer </w:t>
            </w:r>
            <w:r w:rsidRPr="00A514B5">
              <w:rPr>
                <w:b/>
                <w:i/>
              </w:rPr>
              <w:lastRenderedPageBreak/>
              <w:t xml:space="preserve">of een functionerend elektronisch volgsysteem aan boord waarmee kan worden geconstateerd of de vis dood of levend is; </w:t>
            </w:r>
          </w:p>
        </w:tc>
        <w:tc>
          <w:tcPr>
            <w:tcW w:w="4876" w:type="dxa"/>
          </w:tcPr>
          <w:p w:rsidR="00704275" w:rsidRPr="00A514B5" w:rsidRDefault="00704275" w:rsidP="004B110E">
            <w:pPr>
              <w:pStyle w:val="Normal6"/>
              <w:rPr>
                <w:b/>
                <w:i/>
              </w:rPr>
            </w:pP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b) </w:t>
            </w:r>
            <w:r w:rsidRPr="00A514B5">
              <w:rPr>
                <w:b/>
                <w:i/>
              </w:rPr>
              <w:tab/>
              <w:t xml:space="preserve">de waarnemer verzamelt gegevens over het aantal vastgehaakte exemplaren, de lengte van de dieren, het geslacht, de geslachtsrijpheid (of het exemplaar drachtig is en het aantal jongen) en het gewicht van de producten voor elke gevangen kortvinmakreelhaai, evenals de visserijinspanning, en </w:t>
            </w:r>
          </w:p>
        </w:tc>
        <w:tc>
          <w:tcPr>
            <w:tcW w:w="4876" w:type="dxa"/>
          </w:tcPr>
          <w:p w:rsidR="00704275" w:rsidRPr="00A514B5" w:rsidRDefault="00704275" w:rsidP="004B110E">
            <w:pPr>
              <w:pStyle w:val="Normal6"/>
              <w:rPr>
                <w:b/>
                <w:i/>
              </w:rPr>
            </w:pP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c) </w:t>
            </w:r>
            <w:r w:rsidRPr="00A514B5">
              <w:rPr>
                <w:b/>
                <w:i/>
              </w:rPr>
              <w:tab/>
              <w:t>wanneer de kortvinmakreelhaai niet aan boord wordt gehouden, wordt het aantal dood teruggegooide exemplaren en het aantal levend teruggezette exemplaren door de waarnemer geregistreerd of geraamd op basis van de gegevens van het elektronische volgsysteem.</w:t>
            </w:r>
          </w:p>
        </w:tc>
        <w:tc>
          <w:tcPr>
            <w:tcW w:w="4876" w:type="dxa"/>
          </w:tcPr>
          <w:p w:rsidR="00704275" w:rsidRPr="00A514B5" w:rsidRDefault="00704275" w:rsidP="004B110E">
            <w:pPr>
              <w:pStyle w:val="Normal6"/>
              <w:rPr>
                <w:b/>
                <w:i/>
              </w:rPr>
            </w:pPr>
          </w:p>
        </w:tc>
      </w:tr>
      <w:tr w:rsidR="00B9071D" w:rsidRPr="00A514B5" w:rsidTr="00A31D6F">
        <w:trPr>
          <w:jc w:val="center"/>
        </w:trPr>
        <w:tc>
          <w:tcPr>
            <w:tcW w:w="4876" w:type="dxa"/>
          </w:tcPr>
          <w:p w:rsidR="0049599D" w:rsidRPr="00A514B5" w:rsidRDefault="00B71BA7" w:rsidP="004B110E">
            <w:pPr>
              <w:pStyle w:val="Normal6"/>
              <w:rPr>
                <w:b/>
                <w:i/>
              </w:rPr>
            </w:pPr>
            <w:r w:rsidRPr="00A514B5">
              <w:rPr>
                <w:b/>
                <w:i/>
              </w:rPr>
              <w:t xml:space="preserve">4. </w:t>
            </w:r>
            <w:r w:rsidRPr="00A514B5">
              <w:rPr>
                <w:b/>
                <w:i/>
              </w:rPr>
              <w:tab/>
              <w:t xml:space="preserve">De waarnemer wordt ook aangemoedigd biologische monsters te nemen, zoals spierweefsel (voor de identificatie van het bestand), voortplantingsorgaan met embryo (voor de identificatie van de zwangerschapscyclus en het voortplantingsresultaat) en wervels (voor de raming van de groeicurve). De door de waarnemer genomen biologische monsters moeten door de betrokken lidstaten worden geanalyseerd en het resultaat moet door de Commissie aan het Permanent Comité voor onderzoek en statistiek worden voorgelegd. </w:t>
            </w:r>
          </w:p>
        </w:tc>
        <w:tc>
          <w:tcPr>
            <w:tcW w:w="4876" w:type="dxa"/>
          </w:tcPr>
          <w:p w:rsidR="0049599D" w:rsidRPr="00A514B5" w:rsidRDefault="0049599D" w:rsidP="004B110E">
            <w:pPr>
              <w:pStyle w:val="Normal6"/>
              <w:rPr>
                <w:szCs w:val="24"/>
              </w:rPr>
            </w:pPr>
          </w:p>
        </w:tc>
      </w:tr>
      <w:tr w:rsidR="00B9071D" w:rsidRPr="00A514B5" w:rsidTr="00704275">
        <w:trPr>
          <w:jc w:val="center"/>
        </w:trPr>
        <w:tc>
          <w:tcPr>
            <w:tcW w:w="4876" w:type="dxa"/>
          </w:tcPr>
          <w:p w:rsidR="00704275" w:rsidRPr="00A514B5" w:rsidRDefault="00B71BA7" w:rsidP="004B110E">
            <w:pPr>
              <w:pStyle w:val="Normal6"/>
              <w:rPr>
                <w:b/>
                <w:i/>
              </w:rPr>
            </w:pPr>
            <w:r w:rsidRPr="00A514B5">
              <w:rPr>
                <w:b/>
                <w:i/>
              </w:rPr>
              <w:t xml:space="preserve">5. </w:t>
            </w:r>
            <w:r w:rsidRPr="00A514B5">
              <w:rPr>
                <w:b/>
                <w:i/>
              </w:rPr>
              <w:tab/>
              <w:t xml:space="preserve">De lidstaten rapporteren aan de Commissie ook het aantal dood teruggegooide en het aantal levend teruggezette Noord-Atlantische kortvinmakreelhaaien, geraamd op basis van de totale visserijinspanning van hun betrokken vloten aan de hand van gegevens die zijn verzameld via waarnemersprogramma’s of andere relevante gegevensverzamelingsprogramma’s. De lidstaten die hun vaartuigen geen </w:t>
            </w:r>
            <w:r w:rsidRPr="00A514B5">
              <w:rPr>
                <w:b/>
                <w:i/>
              </w:rPr>
              <w:lastRenderedPageBreak/>
              <w:t>toestemming verlenen om overeenkomstig de leden 2 en 3 Noord-Atlantische kortvinmakreelhaaien te bevissen en aan boord te houden, over te laden of aan te landen, registreren via hun waarnemersprogramma’s eveneens het aantal dood teruggegooide en het aantal levend teruggezette Noord-Atlantische kortvinmakreelhaaien. De Commissie rapporteert deze gegevens aan het Permanent Comité voor onderzoek en statistiek.</w:t>
            </w:r>
          </w:p>
        </w:tc>
        <w:tc>
          <w:tcPr>
            <w:tcW w:w="4876" w:type="dxa"/>
          </w:tcPr>
          <w:p w:rsidR="00704275" w:rsidRPr="00A514B5" w:rsidRDefault="00704275" w:rsidP="004B110E">
            <w:pPr>
              <w:pStyle w:val="Normal6"/>
              <w:rPr>
                <w:b/>
                <w:i/>
              </w:rPr>
            </w:pP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Artikel 33 is gewijzigd naar aanleiding van Iccat-aanbeveling 21-09. In Iccat-aanbeveling 21-09 wordt gesteld dat er geen toegestane aan boord te houden hoeveelheid is voor Noord-Atlantische kortvinmakreelhaai. De mogelijke toekomstige aan boord te houden hoeveelheid wordt bepaald volgens lid 5 van de aanbeveling.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24 bis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33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24 bis)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33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Zuid-Atlantische kortvinmakreelhaaien (Isurus oxyrinchus)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De lidstaten zien erop toe dat hun vaartuigen de in bijlage IX vastgestelde minimumnormen voor voorzichtige behandeling en terugzetting van Zuid-Atlantische kortvinmakreelhaaien toepassen.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w:t>
            </w:r>
            <w:r w:rsidRPr="00A514B5">
              <w:rPr>
                <w:b/>
                <w:i/>
              </w:rPr>
              <w:tab/>
              <w:t xml:space="preserve">De lidstaten rapporteren aan de Commissie maandelijks alle toegestane aanlandingen door vaartuigen die hun </w:t>
            </w:r>
            <w:r w:rsidRPr="00A514B5">
              <w:rPr>
                <w:b/>
                <w:i/>
              </w:rPr>
              <w:lastRenderedPageBreak/>
              <w:t>vlag voeren, die gemachtigd zijn om Zuid-Atlantische kortvinmakreelhaai te vangen. Dit rapport wordt binnen 15 dagen na het einde van de kalendermaand waarin de vangsten werden gedaan, toegezonden aan de Commissie. Bovendien rapporteren de lidstaten jaarlijks aan de Commissie de dood teruggegooide exemplaren, de levend teruggezette exemplaren en de totale vangsten van vaartuigen die hun vlag voeren.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3.</w:t>
            </w:r>
            <w:r w:rsidRPr="00A514B5">
              <w:rPr>
                <w:b/>
                <w:i/>
              </w:rPr>
              <w:tab/>
              <w:t>Uiterlijk op 30 juni van elk jaar delen de lidstaten wier vaartuigen Zuid-Atlantische kortvinmakreelhaai hebben gevangen (aanlandingen en dood teruggegooide exemplaren) aan de Commissie mede welke statistische methodiek die is gebruikt om de dood teruggegooide en de levend teruggezette exemplaren te ramen. Lidstaten met ambachtelijke en kleinschalige visserij verstrekken tevens informatie over hun gegevensverzamelingsprogramma’s.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Als onderdeel van de jaarlijkse indiening van taak I en II-gegevens verstrekken de lidstaten aan de Commissie alle relevante gegevens voor de Zuid-Atlantische kortvinmakreelhaai, met inbegrip van ramingen van de dood teruggegooide en de levend teruggezette exemplaren op basis van de door het SCRS goedgekeurde methoden.”.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22-11.</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rPr>
          <w:rStyle w:val="HideTWBExt"/>
          <w:b w:val="0"/>
        </w:rPr>
      </w:pPr>
      <w:r w:rsidRPr="00A514B5">
        <w:rPr>
          <w:rStyle w:val="HideTWBExt"/>
          <w:b w:val="0"/>
        </w:rPr>
        <w:t>&lt;Article&gt;</w:t>
      </w:r>
      <w:r w:rsidRPr="00A514B5">
        <w:t>Artikel 1 – alinea 1 – punt 25 bis (nieuw)</w:t>
      </w:r>
      <w:r w:rsidRPr="00A514B5">
        <w:rPr>
          <w:rStyle w:val="HideTWBExt"/>
          <w:b w:val="0"/>
        </w:rPr>
        <w:t>&lt;/Article&gt;</w:t>
      </w:r>
    </w:p>
    <w:p w:rsidR="004B110E" w:rsidRPr="00A514B5" w:rsidRDefault="00B71BA7" w:rsidP="004B110E">
      <w:pPr>
        <w:keepNext/>
      </w:pPr>
      <w:r w:rsidRPr="00A514B5">
        <w:rPr>
          <w:rStyle w:val="HideTWBExt"/>
        </w:rPr>
        <w:lastRenderedPageBreak/>
        <w:t>&lt;DocAmend2&gt;</w:t>
      </w:r>
      <w:r w:rsidRPr="00A514B5">
        <w:t>Verordening (EU) 2017/2107</w:t>
      </w:r>
      <w:r w:rsidRPr="00A514B5">
        <w:rPr>
          <w:rStyle w:val="HideTWBExt"/>
        </w:rPr>
        <w:t>&lt;/DocAmend2&gt;</w:t>
      </w:r>
    </w:p>
    <w:p w:rsidR="004B110E" w:rsidRPr="00A514B5" w:rsidRDefault="00B71BA7" w:rsidP="004B110E">
      <w:pPr>
        <w:pStyle w:val="NormalBold"/>
        <w:rPr>
          <w:b w:val="0"/>
        </w:rPr>
      </w:pPr>
      <w:r w:rsidRPr="00A514B5">
        <w:rPr>
          <w:rStyle w:val="HideTWBExt"/>
          <w:b w:val="0"/>
        </w:rPr>
        <w:t>&lt;Article2&gt;</w:t>
      </w:r>
      <w:r w:rsidRPr="00A514B5">
        <w:rPr>
          <w:b w:val="0"/>
        </w:rPr>
        <w:t>Artikel 41</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25 bis)</w:t>
            </w:r>
            <w:r w:rsidRPr="00A514B5">
              <w:rPr>
                <w:b/>
                <w:i/>
              </w:rPr>
              <w:tab/>
              <w:t>Artikel 41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 bis.</w:t>
            </w:r>
            <w:r w:rsidRPr="00A514B5">
              <w:rPr>
                <w:b/>
                <w:i/>
              </w:rPr>
              <w:tab/>
              <w:t>De lidstaten verplichten de vaartuigen die hun vlag voeren en die met ondiep uitgezette beuglijnen vissen ertoe: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 xml:space="preserve">– alleen grote cirkelhaken te gebruiken; </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 alleen vis als aas te gebruiken; of</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 andere maatregelen toe te passen die zijn beoordeeld en doeltreffend bevonden en die zijn goedgekeurd door de Iccat als zijnde in staat om ervoor te zorgen dat zeeschildpadden minder in aanraking komen met visserij met ondiep uitgezette beuglijnen.”;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lid 4 wordt vervangen door:</w:t>
            </w:r>
          </w:p>
        </w:tc>
      </w:tr>
      <w:tr w:rsidR="00B9071D" w:rsidRPr="00A514B5" w:rsidTr="004B110E">
        <w:trPr>
          <w:jc w:val="center"/>
        </w:trPr>
        <w:tc>
          <w:tcPr>
            <w:tcW w:w="4876" w:type="dxa"/>
          </w:tcPr>
          <w:p w:rsidR="0049599D" w:rsidRPr="00A514B5" w:rsidRDefault="003B1895" w:rsidP="004B110E">
            <w:pPr>
              <w:pStyle w:val="Normal6"/>
            </w:pPr>
            <w:r w:rsidRPr="00A514B5">
              <w:t xml:space="preserve">4. </w:t>
            </w:r>
            <w:r w:rsidR="00B71BA7" w:rsidRPr="00A514B5">
              <w:t xml:space="preserve">De lidstaten </w:t>
            </w:r>
            <w:r w:rsidR="00B71BA7" w:rsidRPr="00A514B5">
              <w:rPr>
                <w:b/>
                <w:i/>
              </w:rPr>
              <w:t>leiden vissers op pelagische beugvisserijvaartuigen op in de toepassing van technieken inzake voorzichtige behandeling en terugzetting.</w:t>
            </w:r>
          </w:p>
        </w:tc>
        <w:tc>
          <w:tcPr>
            <w:tcW w:w="4876" w:type="dxa"/>
          </w:tcPr>
          <w:p w:rsidR="0049599D" w:rsidRPr="00A514B5" w:rsidRDefault="00B71BA7" w:rsidP="004B110E">
            <w:pPr>
              <w:pStyle w:val="Normal6"/>
              <w:rPr>
                <w:szCs w:val="24"/>
              </w:rPr>
            </w:pPr>
            <w:r w:rsidRPr="00A514B5">
              <w:rPr>
                <w:b/>
                <w:i/>
              </w:rPr>
              <w:t>“</w:t>
            </w:r>
            <w:r w:rsidRPr="00A514B5">
              <w:t>4.</w:t>
            </w:r>
            <w:r w:rsidRPr="00A514B5">
              <w:rPr>
                <w:b/>
                <w:i/>
              </w:rPr>
              <w:tab/>
            </w:r>
            <w:r w:rsidRPr="00A514B5">
              <w:t>De lidstaten</w:t>
            </w:r>
            <w:r w:rsidRPr="00A514B5">
              <w:rPr>
                <w:b/>
                <w:bCs/>
                <w:i/>
                <w:iCs/>
              </w:rPr>
              <w: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zien erop toe dat interacties met zeeschildpadden zoveel mogelijk worden verminderd en uitgebannen, indien ontmoetingen met zeeschildpadden zijn geboekstaafd en aan het SCRS zijn gemeld, door gebruik te (blijven) maken van ten minste een van de volgende maatregelen ter beperking van de bijvangst: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w:t>
            </w:r>
            <w:r w:rsidRPr="00A514B5">
              <w:rPr>
                <w:b/>
                <w:i/>
              </w:rPr>
              <w:tab/>
              <w:t>alternatieve of nieuwe typen vistuig en aanpassingen van het vistuig;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ii)</w:t>
            </w:r>
            <w:r w:rsidRPr="00A514B5">
              <w:rPr>
                <w:b/>
                <w:i/>
              </w:rPr>
              <w:tab/>
              <w:t>vangstbeperkingen in bepaalde gebieden en perioden en sluitingen in gevallen waarin het risico van interactie met zeeschildpadden hoger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iii)</w:t>
            </w:r>
            <w:r w:rsidRPr="00A514B5">
              <w:rPr>
                <w:b/>
                <w:i/>
              </w:rPr>
              <w:tab/>
              <w:t xml:space="preserve">doeltreffende markering van staande netten waardoor ze kunnen </w:t>
            </w:r>
            <w:r w:rsidRPr="00A514B5">
              <w:rPr>
                <w:b/>
                <w:i/>
              </w:rPr>
              <w:lastRenderedPageBreak/>
              <w:t>worden opgemerkt door zeeschildpadden, zoals het gebruik van gekleurde netten, passieve lichtreflectoren, een grotere twijndiameter, kurken of andere materialen in het net;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iv)</w:t>
            </w:r>
            <w:r w:rsidRPr="00A514B5">
              <w:rPr>
                <w:b/>
                <w:i/>
              </w:rPr>
              <w:tab/>
              <w:t>wijzigingen van het visserijgedrag en de visserijstrategie (bijvoorbeeld kortere uitzettijd);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verplichten hun ringzegenvaartuigen ertoe insluiting van zeeschildpadden voor zover mogelijk te voorkomen, ingesloten of, ook in FAD’s, verstrikt geraakte zeeschildpadden waar mogelijk terug te zetten, en ervoor te zorgen dat de ingezette volgens bijlage X vervaardigde FAD’s de risico’s van verstrikking doeltreffend uitsluiten;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treffen alle redelijke maatregelen om ervoor te zorgen dat zeeschildpadden veilig en zodanig worden teruggezet dat hun overlevingskansen zo groot mogelijk zijn door te vereisen dat: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w:t>
            </w:r>
            <w:r w:rsidRPr="00A514B5">
              <w:rPr>
                <w:b/>
                <w:i/>
              </w:rPr>
              <w:tab/>
              <w:t>de ringzegen- en beugvisserijvaartuigen die hun vlag voeren, en andere soorten vaartuigen die hun vlag voeren en vistuig gebruiken waarin zeeschildpadden verstrikt kunnen raken, onthakers, lijnsnijders en korfliften of schepnetten aan boord hebben, in overeenstemming met elk vistuigtype en de beste praktijken voor het behandelen en terugzetten van zeeschildpadden van de richtsnoeren van de FAO ter vermindering van de sterfte van zeeschildpadden bij visserijactiviteiten (2009)</w:t>
            </w:r>
            <w:r w:rsidRPr="00A514B5">
              <w:rPr>
                <w:b/>
                <w:i/>
                <w:vertAlign w:val="superscript"/>
              </w:rPr>
              <w:t>1 bis</w:t>
            </w:r>
            <w:r w:rsidRPr="00A514B5">
              <w:rPr>
                <w:b/>
                <w:i/>
              </w:rPr>
              <w:t xml:space="preserve"> (“de richtsnoeren van de FAO”);</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ii)</w:t>
            </w:r>
            <w:r w:rsidRPr="00A514B5">
              <w:rPr>
                <w:b/>
                <w:i/>
              </w:rPr>
              <w:tab/>
              <w:t xml:space="preserve">de eigenaren, exploitanten en bemanning van dergelijke vaartuigen, alsmede eventuele waarnemers aan boord, die uitrusting gebruiken in overeenstemming met de technieken inzake voorzichtige behandeling en terugzetting in bijlage XI, en met de richtsnoeren van de FAO; Bovendien worden de eigenaren, exploitanten en </w:t>
            </w:r>
            <w:r w:rsidRPr="00A514B5">
              <w:rPr>
                <w:b/>
                <w:i/>
              </w:rPr>
              <w:lastRenderedPageBreak/>
              <w:t>bemanning aangemoedigd een opleiding in het gebruik van die uitrusting te volgen.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d)</w:t>
            </w:r>
            <w:r w:rsidRPr="00A514B5">
              <w:rPr>
                <w:b/>
                <w:i/>
              </w:rPr>
              <w:tab/>
              <w:t>verplichten de vissers op vaartuigen die soorten bevissen die onder het verdrag vallen ertoe gevangen zeeschildpadden die in comateuze toestand verkeren of inactief zijn voor zover mogelijk zo snel mogelijk aan boord te brengen en het herstel ervan te bevorderen, onder meer door de dieren te reanimeren overeenkomstig bijlage XI voordat deze worden teruggezet in het water;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e)</w:t>
            </w:r>
            <w:r w:rsidRPr="00A514B5">
              <w:rPr>
                <w:b/>
                <w:i/>
              </w:rPr>
              <w:tab/>
              <w:t>zorgen ervoor dat vissers bekend zijn met en gebruikmaken van passende technieken voor risicobeperking en behandeling, als vastgesteld in bijlage XI.”;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het volgende lid wordt toegevoegd: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Niettegenstaande leden 2 bis en 4 geldt het volgende voor de Middellandse Zee: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lid 2 bis is niet van toepassing;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de leden 2 en 3 zijn niet van toepassing tot 31 december 2025.”.</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__________________</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vertAlign w:val="superscript"/>
              </w:rPr>
              <w:t>1 bis</w:t>
            </w:r>
            <w:r w:rsidRPr="00A514B5">
              <w:t xml:space="preserve"> </w:t>
            </w:r>
            <w:r w:rsidRPr="00A514B5">
              <w:rPr>
                <w:b/>
                <w:i/>
              </w:rPr>
              <w:t>http://www.fao.org/docrep/012/i0725e/i0725e.pdf</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Aanbeveling 22-12.</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keepNext/>
      </w:pPr>
      <w:r w:rsidRPr="00A514B5">
        <w:rPr>
          <w:rStyle w:val="HideTWBExt"/>
          <w:b/>
        </w:rPr>
        <w:t>&lt;Article&gt;</w:t>
      </w:r>
      <w:r w:rsidRPr="00A514B5">
        <w:t>Artikel 1 – alinea 1 – punt 26 – inleidende formule</w:t>
      </w:r>
      <w:r w:rsidRPr="00A514B5">
        <w:rPr>
          <w:rStyle w:val="HideTWBExt"/>
          <w:b/>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A31D6F">
      <w:r w:rsidRPr="00A514B5">
        <w:rPr>
          <w:rStyle w:val="HideTWBExt"/>
        </w:rPr>
        <w:t>&lt;Article2&gt;</w:t>
      </w:r>
      <w:r w:rsidRPr="00A514B5">
        <w:t>Artikel 44 bis</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26)</w:t>
            </w:r>
            <w:r w:rsidRPr="00A514B5">
              <w:tab/>
              <w:t xml:space="preserve">Het volgende artikel </w:t>
            </w:r>
            <w:r w:rsidRPr="00A514B5">
              <w:rPr>
                <w:b/>
                <w:i/>
              </w:rPr>
              <w:t>44 ter</w:t>
            </w:r>
            <w:r w:rsidRPr="00A514B5">
              <w:t xml:space="preserve"> wordt toegevoegd:</w:t>
            </w:r>
          </w:p>
        </w:tc>
        <w:tc>
          <w:tcPr>
            <w:tcW w:w="4876" w:type="dxa"/>
          </w:tcPr>
          <w:p w:rsidR="0049599D" w:rsidRPr="00A514B5" w:rsidRDefault="00B71BA7" w:rsidP="00E62DFE">
            <w:pPr>
              <w:pStyle w:val="Normal6"/>
              <w:rPr>
                <w:szCs w:val="24"/>
              </w:rPr>
            </w:pPr>
            <w:r w:rsidRPr="00A514B5">
              <w:t>26)</w:t>
            </w:r>
            <w:r w:rsidRPr="00A514B5">
              <w:tab/>
              <w:t>Het volgende artikel wordt toegevoegd: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29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26</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44 bis – titel</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Artikel 44 </w:t>
            </w:r>
            <w:r w:rsidRPr="00A514B5">
              <w:rPr>
                <w:b/>
                <w:bCs/>
                <w:i/>
                <w:iCs/>
              </w:rPr>
              <w:t>ter</w:t>
            </w:r>
          </w:p>
        </w:tc>
        <w:tc>
          <w:tcPr>
            <w:tcW w:w="4876" w:type="dxa"/>
          </w:tcPr>
          <w:p w:rsidR="0049599D" w:rsidRPr="00A514B5" w:rsidRDefault="00B71BA7" w:rsidP="004B110E">
            <w:pPr>
              <w:pStyle w:val="Normal6"/>
              <w:rPr>
                <w:szCs w:val="24"/>
              </w:rPr>
            </w:pPr>
            <w:r w:rsidRPr="00A514B5">
              <w:t>Artikel 44 </w:t>
            </w:r>
            <w:r w:rsidRPr="00A514B5">
              <w:rPr>
                <w:b/>
                <w:bCs/>
                <w:i/>
                <w:iCs/>
              </w:rPr>
              <w:t>bis</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Verduidelijking van de formulering.</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26</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44 bis – alinea 1</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Naast de bepalingen van artikel 9 van Verordening (EG) nr. 1224/2009 van de Raad van 20 november 2009</w:t>
            </w:r>
            <w:r w:rsidRPr="00A514B5">
              <w:rPr>
                <w:vertAlign w:val="superscript"/>
              </w:rPr>
              <w:t>5</w:t>
            </w:r>
            <w:r w:rsidRPr="00A514B5">
              <w:t xml:space="preserve"> </w:t>
            </w:r>
            <w:r w:rsidRPr="00A514B5">
              <w:rPr>
                <w:b/>
                <w:i/>
              </w:rPr>
              <w:t>zorgt elke lidstaat</w:t>
            </w:r>
            <w:r w:rsidRPr="00A514B5">
              <w:t xml:space="preserve"> ervoor dat de </w:t>
            </w:r>
            <w:r w:rsidRPr="00A514B5">
              <w:rPr>
                <w:b/>
                <w:i/>
              </w:rPr>
              <w:t xml:space="preserve">satellietvolgapparatuur </w:t>
            </w:r>
            <w:r w:rsidRPr="00A514B5">
              <w:t xml:space="preserve">van de vissersvaartuigen die </w:t>
            </w:r>
            <w:r w:rsidRPr="00A514B5">
              <w:rPr>
                <w:b/>
                <w:i/>
              </w:rPr>
              <w:t>zijn</w:t>
            </w:r>
            <w:r w:rsidRPr="00A514B5">
              <w:t xml:space="preserve"> vlag voeren, permanent en continu operationeel zijn en </w:t>
            </w:r>
            <w:r w:rsidRPr="00A514B5">
              <w:lastRenderedPageBreak/>
              <w:t xml:space="preserve">dat de </w:t>
            </w:r>
            <w:r w:rsidRPr="00A514B5">
              <w:rPr>
                <w:b/>
                <w:i/>
              </w:rPr>
              <w:t>informatie</w:t>
            </w:r>
            <w:r w:rsidRPr="00A514B5">
              <w:t xml:space="preserve"> voor ringzegenvaartuigen ten minste om het uur </w:t>
            </w:r>
            <w:r w:rsidRPr="00A514B5">
              <w:rPr>
                <w:b/>
                <w:i/>
              </w:rPr>
              <w:t>wordt</w:t>
            </w:r>
            <w:r w:rsidRPr="00A514B5">
              <w:t xml:space="preserve"> verzameld en verzonden.</w:t>
            </w:r>
          </w:p>
        </w:tc>
        <w:tc>
          <w:tcPr>
            <w:tcW w:w="4876" w:type="dxa"/>
          </w:tcPr>
          <w:p w:rsidR="0049599D" w:rsidRPr="00A514B5" w:rsidRDefault="00B71BA7" w:rsidP="004B110E">
            <w:pPr>
              <w:pStyle w:val="Normal6"/>
              <w:rPr>
                <w:szCs w:val="24"/>
              </w:rPr>
            </w:pPr>
            <w:r w:rsidRPr="00A514B5">
              <w:lastRenderedPageBreak/>
              <w:t>Naast de bepalingen van artikel 9 van Verordening (EG) nr. 1224/2009 van de Raad van 20 november 2009</w:t>
            </w:r>
            <w:r w:rsidRPr="00A514B5">
              <w:rPr>
                <w:vertAlign w:val="superscript"/>
              </w:rPr>
              <w:t>5</w:t>
            </w:r>
            <w:r w:rsidRPr="00A514B5">
              <w:t xml:space="preserve"> </w:t>
            </w:r>
            <w:r w:rsidRPr="00A514B5">
              <w:rPr>
                <w:b/>
                <w:i/>
              </w:rPr>
              <w:t>zorgen de lidstaten</w:t>
            </w:r>
            <w:r w:rsidRPr="00A514B5">
              <w:t xml:space="preserve"> ervoor dat de </w:t>
            </w:r>
            <w:r w:rsidRPr="00A514B5">
              <w:rPr>
                <w:b/>
                <w:i/>
              </w:rPr>
              <w:t xml:space="preserve">volgapparatuur </w:t>
            </w:r>
            <w:r w:rsidRPr="00A514B5">
              <w:t xml:space="preserve">van de vissersvaartuigen die </w:t>
            </w:r>
            <w:r w:rsidRPr="00A514B5">
              <w:rPr>
                <w:b/>
                <w:i/>
              </w:rPr>
              <w:t>hun</w:t>
            </w:r>
            <w:r w:rsidRPr="00A514B5">
              <w:t xml:space="preserve"> vlag voeren, permanent en continu operationeel zijn en dat de </w:t>
            </w:r>
            <w:r w:rsidRPr="00A514B5">
              <w:rPr>
                <w:b/>
                <w:i/>
              </w:rPr>
              <w:t xml:space="preserve">gegevens over de positie van </w:t>
            </w:r>
            <w:r w:rsidRPr="00A514B5">
              <w:rPr>
                <w:b/>
                <w:i/>
              </w:rPr>
              <w:lastRenderedPageBreak/>
              <w:t>vaartuigen</w:t>
            </w:r>
            <w:r w:rsidRPr="00A514B5">
              <w:t xml:space="preserve"> voor ringzegenvaartuigen ten minste om het uur </w:t>
            </w:r>
            <w:r w:rsidRPr="00A514B5">
              <w:rPr>
                <w:b/>
                <w:i/>
              </w:rPr>
              <w:t xml:space="preserve">en voor alle andere vaartuigen ten minste om de twee uur worden </w:t>
            </w:r>
            <w:r w:rsidRPr="00A514B5">
              <w:t xml:space="preserve">verzameld en </w:t>
            </w:r>
            <w:r w:rsidRPr="00A514B5">
              <w:rPr>
                <w:b/>
                <w:i/>
              </w:rPr>
              <w:t xml:space="preserve">naar de bevoegde autoriteiten van de lidstaat </w:t>
            </w:r>
            <w:r w:rsidRPr="00A514B5">
              <w:t>verzonden.</w:t>
            </w:r>
          </w:p>
        </w:tc>
      </w:tr>
      <w:tr w:rsidR="00B9071D" w:rsidRPr="00A514B5" w:rsidTr="004B110E">
        <w:trPr>
          <w:jc w:val="center"/>
        </w:trPr>
        <w:tc>
          <w:tcPr>
            <w:tcW w:w="4876" w:type="dxa"/>
          </w:tcPr>
          <w:p w:rsidR="0049599D" w:rsidRPr="00A514B5" w:rsidRDefault="00B71BA7" w:rsidP="004B110E">
            <w:pPr>
              <w:pStyle w:val="Normal6"/>
            </w:pPr>
            <w:r w:rsidRPr="00A514B5">
              <w:lastRenderedPageBreak/>
              <w:t>__________________</w:t>
            </w:r>
          </w:p>
        </w:tc>
        <w:tc>
          <w:tcPr>
            <w:tcW w:w="4876" w:type="dxa"/>
          </w:tcPr>
          <w:p w:rsidR="0049599D" w:rsidRPr="00A514B5" w:rsidRDefault="00B71BA7" w:rsidP="004B110E">
            <w:pPr>
              <w:pStyle w:val="Normal6"/>
              <w:rPr>
                <w:szCs w:val="24"/>
              </w:rPr>
            </w:pPr>
            <w:r w:rsidRPr="00A514B5">
              <w:t>__________________</w:t>
            </w:r>
          </w:p>
        </w:tc>
      </w:tr>
      <w:tr w:rsidR="00B9071D" w:rsidRPr="00A514B5" w:rsidTr="004B110E">
        <w:trPr>
          <w:jc w:val="center"/>
        </w:trPr>
        <w:tc>
          <w:tcPr>
            <w:tcW w:w="4876" w:type="dxa"/>
          </w:tcPr>
          <w:p w:rsidR="0049599D" w:rsidRPr="00A514B5" w:rsidRDefault="00B71BA7" w:rsidP="004B110E">
            <w:pPr>
              <w:pStyle w:val="Normal6"/>
            </w:pPr>
            <w:r w:rsidRPr="00A514B5">
              <w:rPr>
                <w:vertAlign w:val="superscript"/>
              </w:rPr>
              <w:t>5</w:t>
            </w:r>
            <w:r w:rsidRPr="00A514B5">
              <w:t xml:space="preserve"> Verordening (EG) nr. 1224/2009 van de Raad van 20 november 2009 tot vaststelling van een controleregeling van de Unie die de naleving van de regels van het gemeenschappelijk visserijbeleid moet garanderen, tot wijziging van Verordeningen (EG) nr. 847/96, (EG) nr. 2371/2002, (EG) nr. 811/2004, (EG) nr. 768/2005, (EG) nr. 2115/2005, (EG) nr. 2166/2005, (EG) nr. 388/2006, (EG) nr. 509/2007, (EG) nr. 676/2007, (EG) nr. 1098/2007, (EG) nr. 1300/2008, (EG) nr. 1342/2008 en tot intrekking van Verordeningen (EEG) nr. 2847/93, (EG) nr. 1627/94 en (EG) nr. 1966/2006 (PB L 343 van 22.12.2009, blz. 1).</w:t>
            </w:r>
          </w:p>
        </w:tc>
        <w:tc>
          <w:tcPr>
            <w:tcW w:w="4876" w:type="dxa"/>
          </w:tcPr>
          <w:p w:rsidR="0049599D" w:rsidRPr="00A514B5" w:rsidRDefault="00B71BA7" w:rsidP="004B110E">
            <w:pPr>
              <w:pStyle w:val="Normal6"/>
              <w:rPr>
                <w:szCs w:val="24"/>
              </w:rPr>
            </w:pPr>
            <w:r w:rsidRPr="00A514B5">
              <w:rPr>
                <w:vertAlign w:val="superscript"/>
              </w:rPr>
              <w:t>5</w:t>
            </w:r>
            <w:r w:rsidRPr="00A514B5">
              <w:t xml:space="preserve"> Verordening (EG) nr. 1224/2009 van de Raad van 20 november 2009 tot vaststelling van een controleregeling van de Unie die de naleving van de regels van het gemeenschappelijk visserijbeleid moet garanderen, tot wijziging van Verordeningen (EG) nr. 847/96, (EG) nr. 2371/2002, (EG) nr. 811/2004, (EG) nr. 768/2005, (EG) nr. 2115/2005, (EG) nr. 2166/2005, (EG) nr. 388/2006, (EG) nr. 509/2007, (EG) nr. 676/2007, (EG) nr. 1098/2007, (EG) nr. 1300/2008, (EG) nr. 1342/2008 en tot intrekking van Verordeningen (EEG) nr. 2847/93, (EG) nr. 1627/94 en (EG) nr. 1966/2006 (PB L 343 van 22.12.2009, blz. 1).</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Aanbeveling 18-10 bevat aanvullende voorschriften die ook in deze verordening moeten worden omgezet.</w:t>
      </w:r>
    </w:p>
    <w:p w:rsidR="0049599D" w:rsidRPr="00A514B5" w:rsidRDefault="00B71BA7" w:rsidP="0049599D">
      <w:r w:rsidRPr="00A514B5">
        <w:rPr>
          <w:rStyle w:val="HideTWBExt"/>
        </w:rPr>
        <w:t>&lt;/Amend&gt;</w:t>
      </w:r>
    </w:p>
    <w:p w:rsidR="000641D5" w:rsidRPr="00A514B5" w:rsidRDefault="00B71BA7" w:rsidP="000641D5">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31</w:t>
      </w:r>
      <w:r w:rsidRPr="00A514B5">
        <w:rPr>
          <w:rStyle w:val="HideTWBExt"/>
          <w:b w:val="0"/>
        </w:rPr>
        <w:t>&lt;/NumAm&gt;</w:t>
      </w:r>
    </w:p>
    <w:p w:rsidR="000641D5" w:rsidRPr="00A514B5" w:rsidRDefault="00B71BA7" w:rsidP="000641D5">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0641D5" w:rsidRPr="00A514B5" w:rsidRDefault="00B71BA7" w:rsidP="000641D5">
      <w:pPr>
        <w:pStyle w:val="NormalBold"/>
      </w:pPr>
      <w:r w:rsidRPr="00A514B5">
        <w:rPr>
          <w:rStyle w:val="HideTWBExt"/>
          <w:b w:val="0"/>
        </w:rPr>
        <w:t>&lt;Article&gt;</w:t>
      </w:r>
      <w:r w:rsidRPr="00A514B5">
        <w:t>Artikel 1 – alinea 1 – punt 26</w:t>
      </w:r>
      <w:r w:rsidRPr="00A514B5">
        <w:rPr>
          <w:rStyle w:val="HideTWBExt"/>
          <w:b w:val="0"/>
        </w:rPr>
        <w:t>&lt;/Article&gt;</w:t>
      </w:r>
    </w:p>
    <w:p w:rsidR="000641D5" w:rsidRPr="00A514B5" w:rsidRDefault="00B71BA7" w:rsidP="000641D5">
      <w:pPr>
        <w:keepNext/>
      </w:pPr>
      <w:r w:rsidRPr="00A514B5">
        <w:rPr>
          <w:rStyle w:val="HideTWBExt"/>
        </w:rPr>
        <w:t>&lt;DocAmend2&gt;</w:t>
      </w:r>
      <w:r w:rsidRPr="00A514B5">
        <w:t>Verordening (EU) 2017/2107</w:t>
      </w:r>
      <w:r w:rsidRPr="00A514B5">
        <w:rPr>
          <w:rStyle w:val="HideTWBExt"/>
        </w:rPr>
        <w:t>&lt;/DocAmend2&gt;</w:t>
      </w:r>
    </w:p>
    <w:p w:rsidR="000641D5" w:rsidRPr="00A514B5" w:rsidRDefault="00B71BA7" w:rsidP="000641D5">
      <w:r w:rsidRPr="00A514B5">
        <w:rPr>
          <w:rStyle w:val="HideTWBExt"/>
        </w:rPr>
        <w:t>&lt;Article2&gt;</w:t>
      </w:r>
      <w:r w:rsidRPr="00A514B5">
        <w:t>Artikel 44 bis – alinea 1 bis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611043">
        <w:trPr>
          <w:jc w:val="center"/>
        </w:trPr>
        <w:tc>
          <w:tcPr>
            <w:tcW w:w="9752" w:type="dxa"/>
            <w:gridSpan w:val="2"/>
          </w:tcPr>
          <w:p w:rsidR="000641D5" w:rsidRPr="00A514B5" w:rsidRDefault="000641D5" w:rsidP="00611043">
            <w:pPr>
              <w:keepNext/>
            </w:pPr>
          </w:p>
        </w:tc>
      </w:tr>
      <w:tr w:rsidR="00B9071D" w:rsidRPr="00A514B5" w:rsidTr="00611043">
        <w:trPr>
          <w:jc w:val="center"/>
        </w:trPr>
        <w:tc>
          <w:tcPr>
            <w:tcW w:w="4876" w:type="dxa"/>
          </w:tcPr>
          <w:p w:rsidR="000641D5" w:rsidRPr="00A514B5" w:rsidRDefault="00B71BA7" w:rsidP="00611043">
            <w:pPr>
              <w:pStyle w:val="ColumnHeading"/>
              <w:keepNext/>
            </w:pPr>
            <w:r w:rsidRPr="00A514B5">
              <w:t>Door de Commissie voorgestelde tekst</w:t>
            </w:r>
          </w:p>
        </w:tc>
        <w:tc>
          <w:tcPr>
            <w:tcW w:w="4876" w:type="dxa"/>
          </w:tcPr>
          <w:p w:rsidR="000641D5" w:rsidRPr="00A514B5" w:rsidRDefault="00B71BA7" w:rsidP="00611043">
            <w:pPr>
              <w:pStyle w:val="ColumnHeading"/>
              <w:keepNext/>
            </w:pPr>
            <w:r w:rsidRPr="00A514B5">
              <w:t>Amendement</w:t>
            </w:r>
          </w:p>
        </w:tc>
      </w:tr>
      <w:tr w:rsidR="00B9071D" w:rsidRPr="00A514B5" w:rsidTr="00611043">
        <w:trPr>
          <w:jc w:val="center"/>
        </w:trPr>
        <w:tc>
          <w:tcPr>
            <w:tcW w:w="4876" w:type="dxa"/>
          </w:tcPr>
          <w:p w:rsidR="000641D5" w:rsidRPr="00A514B5" w:rsidRDefault="000641D5" w:rsidP="00611043">
            <w:pPr>
              <w:pStyle w:val="Normal6"/>
            </w:pPr>
          </w:p>
        </w:tc>
        <w:tc>
          <w:tcPr>
            <w:tcW w:w="4876" w:type="dxa"/>
          </w:tcPr>
          <w:p w:rsidR="000641D5" w:rsidRPr="00A514B5" w:rsidRDefault="00B71BA7" w:rsidP="00E62DFE">
            <w:pPr>
              <w:pStyle w:val="Normal6"/>
              <w:rPr>
                <w:szCs w:val="24"/>
              </w:rPr>
            </w:pPr>
            <w:r w:rsidRPr="00A514B5">
              <w:rPr>
                <w:b/>
                <w:i/>
              </w:rPr>
              <w:t xml:space="preserve">Wanneer de aan boord van een vissersvaartuig van de Unie geïnstalleerde volgapparatuur defect is of anderszins niet functioneert, wordt de apparatuur zo spoedig mogelijk gerepareerd of vervangen dan wel ten minste binnen één maand na het voorval, tenzij het vaartuig </w:t>
            </w:r>
            <w:r w:rsidRPr="00A514B5">
              <w:rPr>
                <w:b/>
                <w:i/>
              </w:rPr>
              <w:lastRenderedPageBreak/>
              <w:t>niet langer in het Iccat-verdragsgebied actief is. Vissersvaartuigen van de Unie beginnen niet aan een visreis als de volgapparatuur niet is gerepareerd of vervangen.</w:t>
            </w:r>
          </w:p>
        </w:tc>
      </w:tr>
    </w:tbl>
    <w:p w:rsidR="000641D5" w:rsidRPr="00A514B5" w:rsidRDefault="00B71BA7" w:rsidP="000641D5">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0641D5" w:rsidRPr="00A514B5" w:rsidRDefault="00B71BA7" w:rsidP="000641D5">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0641D5" w:rsidRPr="00A514B5" w:rsidRDefault="00B71BA7" w:rsidP="000641D5">
      <w:pPr>
        <w:pStyle w:val="Normal12Italic"/>
        <w:rPr>
          <w:noProof w:val="0"/>
        </w:rPr>
      </w:pPr>
      <w:r w:rsidRPr="00A514B5">
        <w:t>Aanbeveling 18-10 bevat aanvullende voorschriften die ook in deze verordening moeten worden omgezet.</w:t>
      </w:r>
    </w:p>
    <w:p w:rsidR="000641D5" w:rsidRPr="00A514B5" w:rsidRDefault="00B71BA7" w:rsidP="000641D5">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31</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Artikel 66 – lid 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t>5.</w:t>
            </w:r>
            <w:r w:rsidRPr="00A514B5">
              <w:tab/>
              <w:t xml:space="preserve">De vlaggenlidstaten geven aan verslagen van inbreuken die zijn opgemaakt door inspecteurs van een havenstaat, dezelfde waarde en hetzelfde gevolg als zij overeenkomstig </w:t>
            </w:r>
            <w:r w:rsidRPr="00A514B5">
              <w:rPr>
                <w:b/>
                <w:bCs/>
                <w:i/>
                <w:iCs/>
              </w:rPr>
              <w:t>hun nationale wetgeving</w:t>
            </w:r>
            <w:r w:rsidRPr="00A514B5">
              <w:t xml:space="preserve"> doen ten aanzien van de door hun eigen inspecteurs opgemaakte verslagen.</w:t>
            </w:r>
          </w:p>
        </w:tc>
        <w:tc>
          <w:tcPr>
            <w:tcW w:w="4876" w:type="dxa"/>
          </w:tcPr>
          <w:p w:rsidR="0049599D" w:rsidRPr="00A514B5" w:rsidRDefault="00B71BA7">
            <w:pPr>
              <w:pStyle w:val="Normal6"/>
              <w:rPr>
                <w:szCs w:val="24"/>
              </w:rPr>
            </w:pPr>
            <w:r w:rsidRPr="00A514B5">
              <w:t>5.</w:t>
            </w:r>
            <w:r w:rsidRPr="00A514B5">
              <w:tab/>
              <w:t xml:space="preserve">De vlaggenlidstaten geven aan verslagen van inbreuken die zijn opgemaakt door inspecteurs van een havenstaat, dezelfde waarde en hetzelfde gevolg als zij overeenkomstig </w:t>
            </w:r>
            <w:r w:rsidRPr="00A514B5">
              <w:rPr>
                <w:b/>
                <w:bCs/>
                <w:i/>
              </w:rPr>
              <w:t>Verordening (EU) 2017/2403 van het Europees Parlement en de Raad</w:t>
            </w:r>
            <w:r w:rsidRPr="00A514B5">
              <w:rPr>
                <w:b/>
                <w:bCs/>
                <w:i/>
                <w:vertAlign w:val="superscript"/>
              </w:rPr>
              <w:t>1 bis</w:t>
            </w:r>
            <w:r w:rsidRPr="00A514B5">
              <w:rPr>
                <w:b/>
                <w:bCs/>
              </w:rPr>
              <w:t xml:space="preserve"> </w:t>
            </w:r>
            <w:r w:rsidRPr="00A514B5">
              <w:t>doen ten aanzien van de door hun eigen inspecteurs opgemaakte verslagen.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t>__________________</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vertAlign w:val="superscript"/>
              </w:rPr>
              <w:t>1 bis</w:t>
            </w:r>
            <w:r w:rsidRPr="00A514B5">
              <w:t xml:space="preserve"> </w:t>
            </w:r>
            <w:r w:rsidRPr="00A514B5">
              <w:rPr>
                <w:b/>
                <w:i/>
              </w:rPr>
              <w:t xml:space="preserve">Verordening (EU) 2017/2403 van het Europees Parlement en de Raad van 12 december 2017 inzake het duurzame beheer van externe vissersvloten, en tot intrekking van Verordening (EG) nr. 1006/2008 van de Raad (PB L 347 van 28.12.2017, blz. 81). </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verwijzing naar de SMEFF-verordening ontbrak.</w:t>
      </w:r>
    </w:p>
    <w:p w:rsidR="0049599D" w:rsidRPr="00A514B5" w:rsidRDefault="00B71BA7" w:rsidP="0049599D">
      <w:r w:rsidRPr="00A514B5">
        <w:rPr>
          <w:rStyle w:val="HideTWBExt"/>
        </w:rPr>
        <w:lastRenderedPageBreak/>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32 bis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2017/2107</w:t>
      </w:r>
      <w:r w:rsidRPr="00A514B5">
        <w:rPr>
          <w:rStyle w:val="HideTWBExt"/>
        </w:rPr>
        <w:t>&lt;/DocAmend2&gt;</w:t>
      </w:r>
    </w:p>
    <w:p w:rsidR="00D22A4F" w:rsidRPr="00A514B5" w:rsidRDefault="00B71BA7" w:rsidP="00D22A4F">
      <w:pPr>
        <w:keepNext/>
      </w:pPr>
      <w:r w:rsidRPr="00A514B5">
        <w:rPr>
          <w:rStyle w:val="HideTWBExt"/>
        </w:rPr>
        <w:t>&lt;Article2&gt;</w:t>
      </w:r>
      <w:r w:rsidRPr="00A514B5">
        <w:t>Artikel 69 bis (nieuw)</w:t>
      </w:r>
      <w:r w:rsidRPr="00A514B5">
        <w:rPr>
          <w:rStyle w:val="HideTWBExt"/>
        </w:rPr>
        <w:t>&lt;/Article2&gt;</w:t>
      </w:r>
    </w:p>
    <w:p w:rsidR="00D22A4F" w:rsidRPr="00A514B5"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D22A4F">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32 bis)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69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IOO-vaartuigen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De lidstaten zorgen ervoor dat IOO-vaartuigen geen toestemming krijgen om aan te landen, over te laden, bij te tanken, te herbevoorraden of andere handelstransacties te verrichten.”.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1 – alinea 1 – punt 35 bis (nieuw)</w:t>
      </w:r>
      <w:r w:rsidRPr="00A514B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35 bis)</w:t>
            </w:r>
            <w:r w:rsidRPr="00A514B5">
              <w:tab/>
            </w:r>
            <w:r w:rsidRPr="00A514B5">
              <w:rPr>
                <w:b/>
                <w:i/>
              </w:rPr>
              <w:t>De tekst van de bijlage bij deze verordening wordt toegevoegd in de vorm van de bijlagen VIII bis, VIII ter en VIII quater bij Verordening (EU) 2017/2107</w:t>
            </w:r>
            <w:r w:rsidRPr="00A514B5">
              <w: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(nieuw)</w:t>
      </w:r>
      <w:r w:rsidRPr="00A514B5">
        <w:rPr>
          <w:rStyle w:val="HideTWBExt"/>
          <w:b w:val="0"/>
        </w:rPr>
        <w:t>&lt;/Article&gt;</w:t>
      </w:r>
    </w:p>
    <w:p w:rsidR="0049599D" w:rsidRPr="00A514B5" w:rsidRDefault="00B71BA7" w:rsidP="0049599D">
      <w:pPr>
        <w:keepNext/>
      </w:pPr>
      <w:r w:rsidRPr="00A514B5">
        <w:rPr>
          <w:rStyle w:val="HideTWBExt"/>
        </w:rPr>
        <w:lastRenderedPageBreak/>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Artikel 5 wordt vervangen door:</w:t>
            </w:r>
          </w:p>
        </w:tc>
      </w:tr>
      <w:tr w:rsidR="00B9071D" w:rsidRPr="00A514B5" w:rsidTr="004B110E">
        <w:trPr>
          <w:jc w:val="center"/>
        </w:trPr>
        <w:tc>
          <w:tcPr>
            <w:tcW w:w="4876" w:type="dxa"/>
          </w:tcPr>
          <w:p w:rsidR="000641D5" w:rsidRPr="00A514B5" w:rsidRDefault="000641D5" w:rsidP="004B110E">
            <w:pPr>
              <w:pStyle w:val="Normal6"/>
            </w:pPr>
          </w:p>
        </w:tc>
        <w:tc>
          <w:tcPr>
            <w:tcW w:w="4876" w:type="dxa"/>
          </w:tcPr>
          <w:p w:rsidR="000641D5" w:rsidRPr="00A514B5" w:rsidRDefault="00B71BA7" w:rsidP="004B110E">
            <w:pPr>
              <w:pStyle w:val="Normal6"/>
              <w:rPr>
                <w:b/>
                <w:i/>
              </w:rPr>
            </w:pPr>
            <w:r w:rsidRPr="00A514B5">
              <w:rPr>
                <w:b/>
                <w:i/>
              </w:rPr>
              <w:t>“Artikel 5</w:t>
            </w:r>
          </w:p>
        </w:tc>
      </w:tr>
      <w:tr w:rsidR="00B9071D" w:rsidRPr="00A514B5" w:rsidTr="004B110E">
        <w:trPr>
          <w:jc w:val="center"/>
        </w:trPr>
        <w:tc>
          <w:tcPr>
            <w:tcW w:w="4876" w:type="dxa"/>
          </w:tcPr>
          <w:p w:rsidR="000641D5" w:rsidRPr="00A514B5" w:rsidRDefault="000641D5" w:rsidP="004B110E">
            <w:pPr>
              <w:pStyle w:val="Normal6"/>
            </w:pPr>
          </w:p>
        </w:tc>
        <w:tc>
          <w:tcPr>
            <w:tcW w:w="4876" w:type="dxa"/>
          </w:tcPr>
          <w:p w:rsidR="000641D5" w:rsidRPr="00A514B5" w:rsidRDefault="00B71BA7" w:rsidP="004B110E">
            <w:pPr>
              <w:pStyle w:val="Normal6"/>
              <w:rPr>
                <w:b/>
                <w:i/>
              </w:rPr>
            </w:pPr>
            <w:r w:rsidRPr="00A514B5">
              <w:rPr>
                <w:b/>
                <w:i/>
              </w:rPr>
              <w:t>Definities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Voor de toepassing van deze verordening wordt verstaan onder: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w:t>
            </w:r>
            <w:r w:rsidRPr="00A514B5">
              <w:rPr>
                <w:b/>
                <w:i/>
              </w:rPr>
              <w:tab/>
              <w:t>“Iccat”: Internationale Commissie voor de instandhouding van Atlantische tonijnen;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2)</w:t>
            </w:r>
            <w:r w:rsidRPr="00A514B5">
              <w:rPr>
                <w:b/>
                <w:i/>
              </w:rPr>
              <w:tab/>
              <w:t>“het verdrag”: het Internationaal Verdrag voor de instandhouding van Atlantische tonijnen;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3)</w:t>
            </w:r>
            <w:r w:rsidRPr="00A514B5">
              <w:rPr>
                <w:b/>
                <w:i/>
              </w:rPr>
              <w:tab/>
              <w:t>“verdragsgebied”: het in artikel 1 van het verdrag afgebakende geografische gebied;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4)</w:t>
            </w:r>
            <w:r w:rsidRPr="00A514B5">
              <w:rPr>
                <w:b/>
                <w:i/>
              </w:rPr>
              <w:tab/>
              <w:t>“CPC”: een verdragsluitende partij bij het verdrag alsook een samenwerkende niet-verdragsluitende partij, entiteit of visserijentiteit;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5)</w:t>
            </w:r>
            <w:r w:rsidRPr="00A514B5">
              <w:rPr>
                <w:b/>
                <w:i/>
              </w:rPr>
              <w:tab/>
              <w:t>“SCRS”: Permanent Comité voor onderzoek en statistiek van de Iccat;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6)</w:t>
            </w:r>
            <w:r w:rsidRPr="00A514B5">
              <w:rPr>
                <w:b/>
                <w:i/>
              </w:rPr>
              <w:tab/>
              <w:t>“exploitant”: natuurlijke of rechtspersoon die een bedrijf exploiteert of bezit waarvan de activiteiten betrekking hebben op een stadium van de productie-, verwerkings-, afzet-, distributie- en detailhandelsketen voor visserij- en aquacultuurproducten;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7)</w:t>
            </w:r>
            <w:r w:rsidRPr="00A514B5">
              <w:rPr>
                <w:b/>
                <w:i/>
              </w:rPr>
              <w:tab/>
              <w:t>“verantwoordelijke lidstaat”: de vlaggenlidstaat of de lidstaat in de jurisdictie waarvan de betrokken kwekerij of tonnara zich bevindt;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8)</w:t>
            </w:r>
            <w:r w:rsidRPr="00A514B5">
              <w:rPr>
                <w:b/>
                <w:i/>
              </w:rPr>
              <w:tab/>
              <w:t>“kwekerij-CPC”: de lidstaat in de jurisdictie waarvan de blauwvintonijnkwekerij zich bevindt;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9)</w:t>
            </w:r>
            <w:r w:rsidRPr="00A514B5">
              <w:rPr>
                <w:b/>
                <w:i/>
              </w:rPr>
              <w:tab/>
              <w:t>“vlaggen-CPC”: de lidstaat waarvan het vissersvaartuig de vlag voert;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10)</w:t>
            </w:r>
            <w:r w:rsidRPr="00A514B5">
              <w:rPr>
                <w:b/>
                <w:i/>
              </w:rPr>
              <w:tab/>
              <w:t xml:space="preserve">“tonnara-CPC”: de lidstaat in de </w:t>
            </w:r>
            <w:r w:rsidRPr="00A514B5">
              <w:rPr>
                <w:b/>
                <w:i/>
              </w:rPr>
              <w:lastRenderedPageBreak/>
              <w:t>jurisdictie waarvan de tonnara zich bevindt;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11)</w:t>
            </w:r>
            <w:r w:rsidRPr="00A514B5">
              <w:rPr>
                <w:b/>
                <w:i/>
              </w:rPr>
              <w:tab/>
              <w:t>“vissersvaartuig”: een motorvaartuig dat wordt ingezet voor de commerciële exploitatie van blauwvintonijnbestanden, inclusief vangstvaartuigen, verwerkingsvaartuigen, ondersteuningsvaartuigen, sleepvaartuigen, vaartuigen waarop vangsten worden overgeladen, transportvaartuigen die zijn uitgerust voor het vervoer van tonijnproducten, en hulpvaartuigen, met uitzondering van containerschepen;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12)</w:t>
            </w:r>
            <w:r w:rsidRPr="00A514B5">
              <w:rPr>
                <w:b/>
                <w:i/>
              </w:rPr>
              <w:tab/>
              <w:t>“vangstvaartuig”: een vaartuig dat wordt gebruikt voor de commerciële vangst van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13)</w:t>
            </w:r>
            <w:r w:rsidRPr="00A514B5">
              <w:rPr>
                <w:b/>
                <w:i/>
              </w:rPr>
              <w:tab/>
              <w:t>“sleepvaartuig”: elk vaartuig dat wordt gebruikt voor het slepen van kooien met levende 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14)</w:t>
            </w:r>
            <w:r w:rsidRPr="00A514B5">
              <w:rPr>
                <w:b/>
                <w:i/>
              </w:rPr>
              <w:tab/>
              <w:t>“verwerkingsvaartuig”: een vaartuig aan boord waarvan visserijproducten een of meer van de volgende behandelingen ondergaan alvorens te worden verpakt: fileren of in moten verdelen, invriezen en/of verwerken;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15)</w:t>
            </w:r>
            <w:r w:rsidRPr="00A514B5">
              <w:rPr>
                <w:b/>
                <w:i/>
              </w:rPr>
              <w:tab/>
              <w:t>“hulpvaartuig”: een vaartuig dat wordt gebruikt om (niet-verwerkte) dode blauwvintonijn van een transport-/kweekkooi, een ringzegenvaartuig of een tonnara naar een aangewezen haven en/of naar een verwerkingsvaartuig te vervoeren;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16)</w:t>
            </w:r>
            <w:r w:rsidRPr="00A514B5">
              <w:rPr>
                <w:b/>
                <w:i/>
              </w:rPr>
              <w:tab/>
              <w:t>“kleinschalig kustvaartuig”: een vangstvaartuig met ten minste drie van de volgende vijf kenmerken: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a)</w:t>
            </w:r>
            <w:r w:rsidRPr="00A514B5">
              <w:rPr>
                <w:b/>
                <w:i/>
              </w:rPr>
              <w:tab/>
              <w:t>lengte over alles minder dan 12 meter;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b)</w:t>
            </w:r>
            <w:r w:rsidRPr="00A514B5">
              <w:rPr>
                <w:b/>
                <w:i/>
              </w:rPr>
              <w:tab/>
              <w:t>het vaartuig vist uitsluitend in de wateren die onder de jurisdictie van de vlaggenlidstaat vallen;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c)</w:t>
            </w:r>
            <w:r w:rsidRPr="00A514B5">
              <w:rPr>
                <w:b/>
                <w:i/>
              </w:rPr>
              <w:tab/>
              <w:t xml:space="preserve">visreizen duren minder dan </w:t>
            </w:r>
            <w:r w:rsidRPr="00A514B5">
              <w:rPr>
                <w:b/>
                <w:i/>
              </w:rPr>
              <w:lastRenderedPageBreak/>
              <w:t>24 uur;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rPr>
            </w:pPr>
            <w:r w:rsidRPr="00A514B5">
              <w:rPr>
                <w:b/>
                <w:i/>
              </w:rPr>
              <w:t>d)</w:t>
            </w:r>
            <w:r w:rsidRPr="00A514B5">
              <w:rPr>
                <w:b/>
                <w:i/>
              </w:rPr>
              <w:tab/>
              <w:t xml:space="preserve">het maximale aantal bemanningsleden is vastgesteld op vier personen; of </w:t>
            </w:r>
          </w:p>
          <w:p w:rsidR="0049599D" w:rsidRPr="00A514B5" w:rsidRDefault="00B71BA7" w:rsidP="004B110E">
            <w:pPr>
              <w:pStyle w:val="Normal6"/>
              <w:rPr>
                <w:szCs w:val="24"/>
              </w:rPr>
            </w:pPr>
            <w:r w:rsidRPr="00A514B5">
              <w:rPr>
                <w:b/>
                <w:i/>
              </w:rPr>
              <w:t xml:space="preserve">e) </w:t>
            </w:r>
            <w:r w:rsidRPr="00A514B5">
              <w:rPr>
                <w:b/>
                <w:i/>
              </w:rPr>
              <w:tab/>
              <w:t>het vaartuig vist met technieken die selectief zijn en een verminderd milieueffect hebben;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17)</w:t>
            </w:r>
            <w:r w:rsidRPr="00A514B5">
              <w:rPr>
                <w:b/>
                <w:i/>
              </w:rPr>
              <w:tab/>
              <w:t>“groot pelagisch beugvisserijvaartuig”: een pelagisch beugvisserijvaartuig met een lengte over alles van meer dan 24 meter;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18)</w:t>
            </w:r>
            <w:r w:rsidRPr="00A514B5">
              <w:rPr>
                <w:b/>
                <w:i/>
              </w:rPr>
              <w:tab/>
              <w:t>“ondersteuningsvaartuig”: elk ander vaartuig dat gemachtigd is om in de blauwvintonijnvisserij ondersteunende taken te verrichten en dat niet onder een van de andere in dit artikel bedoelde categorieën valt;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19)</w:t>
            </w:r>
            <w:r w:rsidRPr="00A514B5">
              <w:rPr>
                <w:b/>
                <w:i/>
              </w:rPr>
              <w:tab/>
              <w:t>“recreatievisserij”: niet-commerciële visserijactiviteiten waarmee de biologische rijkdommen van de zee worden geëxploiteerd voor recreatieve, toeristische of sportieve doeleinden;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20)</w:t>
            </w:r>
            <w:r w:rsidRPr="00A514B5">
              <w:rPr>
                <w:b/>
                <w:i/>
              </w:rPr>
              <w:tab/>
              <w:t>“ringzegen”: ringnet waarvan de bodem aan de onderkant wordt samengetrokken door een sluitlijn die door een reeks ringen langs de onderpees loopt, waardoor het net kan worden samengetrokken en gesloten;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21)</w:t>
            </w:r>
            <w:r w:rsidRPr="00A514B5">
              <w:rPr>
                <w:b/>
                <w:i/>
              </w:rPr>
              <w:tab/>
              <w:t>“gezamenlijke visserijactiviteit”: elke verrichting van twee of meer ringzegenvaartuigen waarbij de vangst van één ringzegenvaartuig volgens een vooraf overeengekomen verdeelsleutel aan een of meer ringzegenvaartuigen wordt toegewezen;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22)</w:t>
            </w:r>
            <w:r w:rsidRPr="00A514B5">
              <w:rPr>
                <w:b/>
                <w:i/>
              </w:rPr>
              <w:tab/>
              <w:t>“vistuiggroep”: een groep vissersvaartuigen die hetzelfde vistuig gebruiken en waaraan een groepsquotum is toegewezen;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23)</w:t>
            </w:r>
            <w:r w:rsidRPr="00A514B5">
              <w:rPr>
                <w:b/>
                <w:i/>
              </w:rPr>
              <w:tab/>
              <w:t xml:space="preserve">“visserijinspanning”: het product van de capaciteit en de activiteit van een vissersvaartuig om de intensiteit van de visserijactiviteiten te meten. Deze meting varieert van vistuig tot vistuig. Voor de </w:t>
            </w:r>
            <w:r w:rsidRPr="00A514B5">
              <w:rPr>
                <w:b/>
                <w:i/>
              </w:rPr>
              <w:lastRenderedPageBreak/>
              <w:t>beugvisserij wordt het aantal haken of haken-uren gemeten. Voor ringzegenvaartuigen wordt gemeten in bootdagen (vistijd plus zoektijd);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24)</w:t>
            </w:r>
            <w:r w:rsidRPr="00A514B5">
              <w:rPr>
                <w:b/>
                <w:i/>
              </w:rPr>
              <w:tab/>
              <w:t>“actief vissen”: de gerichte visserij op blauwvintonijn door een vangstvaartuig gedurende een bepaald visseizoen;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25)</w:t>
            </w:r>
            <w:r w:rsidRPr="00A514B5">
              <w:rPr>
                <w:b/>
                <w:i/>
              </w:rPr>
              <w:tab/>
              <w:t>“BCD”: een vangstdocument voor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26)</w:t>
            </w:r>
            <w:r w:rsidRPr="00A514B5">
              <w:rPr>
                <w:b/>
                <w:i/>
              </w:rPr>
              <w:tab/>
              <w:t>“eBCD”: een elektronisch vangstdocument voor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27)</w:t>
            </w:r>
            <w:r w:rsidRPr="00A514B5">
              <w:rPr>
                <w:b/>
                <w:i/>
              </w:rPr>
              <w:tab/>
              <w:t>“overlading”: het overbrengen van alle aan boord van een vissersvaartuig aanwezige visserijproducten of een gedeelte daarvan naar een ander vissersvaartuig. Het overbrengen van dode blauwvintonijn van de ringzegen, de tonnara of het sleepvaartuig naar een hulpvaartuig wordt echter niet als een overlading beschouwd;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szCs w:val="24"/>
              </w:rPr>
            </w:pPr>
            <w:r w:rsidRPr="00A514B5">
              <w:rPr>
                <w:b/>
                <w:i/>
              </w:rPr>
              <w:t>28)</w:t>
            </w:r>
            <w:r w:rsidRPr="00A514B5">
              <w:rPr>
                <w:b/>
                <w:i/>
              </w:rPr>
              <w:tab/>
              <w:t>“levende blauwvintonijn”: blauwvintonijn die gedurende een bepaalde periode levend in een tonnara wordt gehouden, of die levend wordt overgeheveld naar een kweekvoorziening, wordt gekooid, gekweekt en uiteindelijk geoogst of vrijgelaten;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29)</w:t>
            </w:r>
            <w:r w:rsidRPr="00A514B5">
              <w:rPr>
                <w:b/>
                <w:i/>
              </w:rPr>
              <w:tab/>
              <w:t>“oogsten”: het doden van blauwvintonijn in kwekerijen of tonnara’s;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30)</w:t>
            </w:r>
            <w:r w:rsidRPr="00A514B5">
              <w:rPr>
                <w:b/>
                <w:i/>
              </w:rPr>
              <w:tab/>
              <w:t>“tonnara”: vast vistuig dat aan de bodem is verankerd en doorgaans een net heeft dat de blauwvintonijn naar vangkamers of een reeks vangkamers leidt waar hij wordt vastgehouden alvorens te worden geoogst of gekweekt;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31)</w:t>
            </w:r>
            <w:r w:rsidRPr="00A514B5">
              <w:rPr>
                <w:b/>
                <w:i/>
              </w:rPr>
              <w:tab/>
              <w:t>“kooien”: het verplaatsen van levende blauwvintonijn naar kwekerijen en het voeren ervan, met als doel de blauwvintonijn te mesten en de totale biomassa ervan te verhogen;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32)</w:t>
            </w:r>
            <w:r w:rsidRPr="00A514B5">
              <w:rPr>
                <w:b/>
                <w:i/>
              </w:rPr>
              <w:tab/>
              <w:t xml:space="preserve">“kooien voor controledoeleinden”: een herhaling van de kooiverrichting op </w:t>
            </w:r>
            <w:r w:rsidRPr="00A514B5">
              <w:rPr>
                <w:b/>
                <w:i/>
              </w:rPr>
              <w:lastRenderedPageBreak/>
              <w:t>verzoek van de controleautoriteiten, met als doel het aantal en/of het gemiddelde gewicht van de gekooide vis te verifiëren;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33)</w:t>
            </w:r>
            <w:r w:rsidRPr="00A514B5">
              <w:rPr>
                <w:b/>
                <w:i/>
              </w:rPr>
              <w:tab/>
              <w:t>“kweken” of “mesten”: het kooien van blauwvintonijn in kwekerijen en het voeren ervan, met als doel de blauwvintonijn te mesten en de totale biomassa ervan te verhogen;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34)</w:t>
            </w:r>
            <w:r w:rsidRPr="00A514B5">
              <w:rPr>
                <w:b/>
                <w:i/>
              </w:rPr>
              <w:tab/>
              <w:t>“kwekerij”: een marien gebied dat duidelijk is afgebakend door middel van geografische coördinaten, dat wordt gebruikt voor het mesten of kweken van blauwvintonijn die is gevangen door tonnara’s en/of ringzegenvaartuigen. Een kwekerij kan verscheidene kweeklocaties hebben, die elk zijn afgebakend door middel van geografische coördinaten, die duidelijk de lengte- en breedtegraad van elk van de punten van de veelhoek aangeven;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35)</w:t>
            </w:r>
            <w:r w:rsidRPr="00A514B5">
              <w:rPr>
                <w:b/>
                <w:i/>
              </w:rPr>
              <w:tab/>
              <w:t>“inputcapaciteit voor het kweken”: de maximumhoeveelheid wilde blauwvintonijn in ton die een kwekerij tijdens een visseizoen mag kooien;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36)</w:t>
            </w:r>
            <w:r w:rsidRPr="00A514B5">
              <w:rPr>
                <w:b/>
                <w:i/>
              </w:rPr>
              <w:tab/>
              <w:t>“overheveling”: elke overheveling of overdracht van: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levende blauwvintonijn uit het net van het vangstvaartuig naar de transportkooi;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levende blauwvintonijn van de tonnara naar de transportkooi, onafhankelijk van de aanwezigheid van een sleepvaartuig;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levende blauwvintonijn uit de transportkooi naar een andere transportkooi;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w:t>
            </w:r>
            <w:r w:rsidRPr="00A514B5">
              <w:rPr>
                <w:b/>
                <w:i/>
              </w:rPr>
              <w:tab/>
              <w:t>de kooi met levende blauwvintonijn van een sleepvaartuig naar een ander sleepvaartuig;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w:t>
            </w:r>
            <w:r w:rsidRPr="00A514B5">
              <w:rPr>
                <w:b/>
                <w:i/>
              </w:rPr>
              <w:tab/>
              <w:t>levende blauwvintonijn tussen verschillende kooien op dezelfde kwekerij (overheveling binnen kwekerijen);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f)</w:t>
            </w:r>
            <w:r w:rsidRPr="00A514B5">
              <w:rPr>
                <w:b/>
                <w:i/>
              </w:rPr>
              <w:tab/>
              <w:t xml:space="preserve">levende blauwvintonijn uit een </w:t>
            </w:r>
            <w:r w:rsidRPr="00A514B5">
              <w:rPr>
                <w:b/>
                <w:i/>
              </w:rPr>
              <w:lastRenderedPageBreak/>
              <w:t>kweekkooi naar een transportkooi;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37)</w:t>
            </w:r>
            <w:r w:rsidRPr="00A514B5">
              <w:rPr>
                <w:b/>
                <w:i/>
              </w:rPr>
              <w:tab/>
              <w:t>“controleoverheveling”: de herhaling van elke overheveling die op verzoek van de controleautoriteiten wordt uitgevoerd;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38)</w:t>
            </w:r>
            <w:r w:rsidRPr="00A514B5">
              <w:rPr>
                <w:b/>
                <w:i/>
              </w:rPr>
              <w:tab/>
              <w:t>“overheveling tussen kwekerijen”: het verplaatsen van blauwvintonijn van de ene naar de andere kwekerij, die in twee stappen verloopt: het overhevelen van de overhevelende kweekkooi naar een transportkooi en het overhevelen van de transportkooi naar de ontvangende kooi van de kwekerij;</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39)</w:t>
            </w:r>
            <w:r w:rsidRPr="00A514B5">
              <w:rPr>
                <w:b/>
                <w:i/>
              </w:rPr>
              <w:tab/>
              <w:t>“eerste overheveling”: het overhevelen van levende blauwvintonijn uit een ringzegennet of een tonnara naar een transportkooi;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40)</w:t>
            </w:r>
            <w:r w:rsidRPr="00A514B5">
              <w:rPr>
                <w:b/>
                <w:i/>
              </w:rPr>
              <w:tab/>
              <w:t>“verdere overheveling”: elke overhevelingsverrichting die na de eerste overheveling en vóór het kooien op de kwekerij van bestemming wordt uitgevoerd, zoals het splitsen of samenvoegen van de inhoud van twee transportkooien, behoudens vrijwillige of controleoverhevelingen;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41)</w:t>
            </w:r>
            <w:r w:rsidRPr="00A514B5">
              <w:rPr>
                <w:b/>
                <w:i/>
              </w:rPr>
              <w:tab/>
              <w:t>“vrijwillige overheveling”: de herhaling van elke overheveling die op basis van vrijwilligheid wordt uitgevoerd door de kapitein van het vangst- of het sleepvaartuig of diens vertegenwoordiger, of de vertegenwoordiger van een kwekerij of een tonnara, waaruit wordt overgeheveld;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42)</w:t>
            </w:r>
            <w:r w:rsidRPr="00A514B5">
              <w:rPr>
                <w:b/>
                <w:i/>
              </w:rPr>
              <w:tab/>
              <w:t>“controlecamera”: een stereoscopische camera en/of conventionele videocamera ten behoeve van de controles uit hoofde van deze verordening;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43)</w:t>
            </w:r>
            <w:r w:rsidRPr="00A514B5">
              <w:rPr>
                <w:b/>
                <w:i/>
              </w:rPr>
              <w:tab/>
              <w:t>“stereoscopische camera”: een camera met twee of meer lenzen, met een aparte beeldsensor of een apart filmframe voor elke lens, zodat driedimensionale beelden kunnen worden vastgelegd om de lengte van de vis te meten.”.</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7</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B71BA7" w:rsidP="004B110E">
            <w:pPr>
              <w:pStyle w:val="Normal6"/>
            </w:pPr>
            <w:r w:rsidRPr="00A514B5">
              <w:rPr>
                <w:b/>
                <w:i/>
              </w:rPr>
              <w:t>1)</w:t>
            </w:r>
            <w:r w:rsidRPr="00A514B5">
              <w:rPr>
                <w:b/>
                <w:i/>
              </w:rPr>
              <w:tab/>
              <w:t>In artikel 7 worden in lid (...) de volgende punten a) en b) ingevoegd:</w:t>
            </w:r>
          </w:p>
        </w:tc>
        <w:tc>
          <w:tcPr>
            <w:tcW w:w="4876" w:type="dxa"/>
          </w:tcPr>
          <w:p w:rsidR="0049599D" w:rsidRPr="00A514B5" w:rsidRDefault="00B71BA7" w:rsidP="004B110E">
            <w:pPr>
              <w:pStyle w:val="Normal6"/>
              <w:rPr>
                <w:szCs w:val="24"/>
              </w:rPr>
            </w:pPr>
            <w:r w:rsidRPr="00A514B5">
              <w:rPr>
                <w:b/>
                <w:i/>
              </w:rPr>
              <w:t>Schrappen</w:t>
            </w:r>
          </w:p>
        </w:tc>
      </w:tr>
      <w:tr w:rsidR="00B9071D" w:rsidRPr="00A514B5" w:rsidTr="004B110E">
        <w:trPr>
          <w:jc w:val="center"/>
        </w:trPr>
        <w:tc>
          <w:tcPr>
            <w:tcW w:w="4876" w:type="dxa"/>
          </w:tcPr>
          <w:p w:rsidR="0049599D" w:rsidRPr="00A514B5" w:rsidRDefault="00B71BA7" w:rsidP="004B110E">
            <w:pPr>
              <w:pStyle w:val="Normal6"/>
            </w:pPr>
            <w:r w:rsidRPr="00A514B5">
              <w:rPr>
                <w:b/>
                <w:i/>
              </w:rPr>
              <w:t>a)</w:t>
            </w:r>
            <w:r w:rsidRPr="00A514B5">
              <w:rPr>
                <w:b/>
                <w:i/>
              </w:rPr>
              <w:tab/>
              <w:t>Kwekerijlidstaten vullen een jaarlijkse overdrachtaangifte in en zenden deze jaarlijks uiterlijk op 25 mei toe aan de Commissie.</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Deze aangifte bevat ten minste de volgende gegevens:</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hoeveelheden (in kg) en aantal stuks die moeten worden overgedragen,</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vangstjaar,</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gemiddeld gewicht,</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vlaggen-CPC,</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de referentie van het vangstdocument voor blauwvintonijn (BCD – Bluefin Tuna Catch Document) betreffende de overgedragen vangsten,</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de naam en het Iccat-nummer van de kwekerij,</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kooinummer, en</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w:t>
            </w:r>
            <w:r w:rsidRPr="00A514B5">
              <w:rPr>
                <w:b/>
                <w:i/>
              </w:rPr>
              <w:tab/>
              <w:t>gegevens over de geoogste hoeveelheden (in kg), indien de oogst voltooid is.</w:t>
            </w:r>
          </w:p>
        </w:tc>
        <w:tc>
          <w:tcPr>
            <w:tcW w:w="4876" w:type="dxa"/>
          </w:tcPr>
          <w:p w:rsidR="0049599D" w:rsidRPr="00A514B5" w:rsidRDefault="0049599D" w:rsidP="004B110E">
            <w:pPr>
              <w:pStyle w:val="Normal6"/>
              <w:rPr>
                <w:szCs w:val="24"/>
              </w:rPr>
            </w:pPr>
          </w:p>
        </w:tc>
      </w:tr>
      <w:tr w:rsidR="00B9071D" w:rsidRPr="00A514B5" w:rsidTr="004B110E">
        <w:trPr>
          <w:jc w:val="center"/>
        </w:trPr>
        <w:tc>
          <w:tcPr>
            <w:tcW w:w="4876" w:type="dxa"/>
          </w:tcPr>
          <w:p w:rsidR="0049599D" w:rsidRPr="00A514B5" w:rsidRDefault="00B71BA7" w:rsidP="004B110E">
            <w:pPr>
              <w:pStyle w:val="Normal6"/>
            </w:pPr>
            <w:r w:rsidRPr="00A514B5">
              <w:rPr>
                <w:b/>
                <w:i/>
              </w:rPr>
              <w:t>b)</w:t>
            </w:r>
            <w:r w:rsidRPr="00A514B5">
              <w:rPr>
                <w:b/>
                <w:i/>
              </w:rPr>
              <w:tab/>
              <w:t xml:space="preserve">Overeenkomstig het bovenstaande lid overgedragen hoeveelheden worden op </w:t>
            </w:r>
            <w:r w:rsidRPr="00A514B5">
              <w:rPr>
                <w:b/>
                <w:i/>
              </w:rPr>
              <w:lastRenderedPageBreak/>
              <w:t>de kwekerij in aparte kooien of reeksen kooien geplaatst en per vangstjaar gescheiden.</w:t>
            </w:r>
          </w:p>
        </w:tc>
        <w:tc>
          <w:tcPr>
            <w:tcW w:w="4876" w:type="dxa"/>
          </w:tcPr>
          <w:p w:rsidR="0049599D" w:rsidRPr="00A514B5" w:rsidRDefault="0049599D" w:rsidP="004B110E">
            <w:pPr>
              <w:pStyle w:val="Normal6"/>
              <w:rPr>
                <w:szCs w:val="24"/>
              </w:rPr>
            </w:pP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Deze bepalingen zijn reeds opgenomen in Verordening (EU) 2022/XX van het Europees Parlement en de Raad tot vaststelling van een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bis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8</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1 bis)</w:t>
            </w:r>
            <w:r w:rsidRPr="00A514B5">
              <w:rPr>
                <w:b/>
                <w:i/>
              </w:rPr>
              <w:tab/>
              <w:t>Artikel 8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8</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Overdracht van ongebruikte quota</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Ongebruikte delen van de jaarlijkse quota/vangstbeperkingen van een lidstaat voor een jaar mogen worden toegevoegd aan de respectieve quota/vangstbeperkingen voor het volgende jaar bij de toezending van het jaarlijkse visserijplan.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maximale ongebruikte hoeveelheid blauwvintonijn die een lidstaat in een bepaald jaar mag overdragen, mag de door de Iccat voor dat jaar toegestane hoeveelheid niet overschrijden.”;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lastRenderedPageBreak/>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ter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14 – inleidende formule</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b/>
                <w:i/>
              </w:rPr>
            </w:pPr>
            <w:r w:rsidRPr="00A514B5">
              <w:rPr>
                <w:b/>
                <w:i/>
              </w:rPr>
              <w:t>1 ter)</w:t>
            </w:r>
            <w:r w:rsidRPr="00A514B5">
              <w:rPr>
                <w:b/>
                <w:i/>
              </w:rPr>
              <w:tab/>
              <w:t>In artikel 14 wordt de inleidende formule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“Lidstaten met een quotum voor blauwvintonijn stellen een jaarlijks monitoring-, controle- en inspectieplan vast om de naleving van deze verordening te waarborgen. Elke lidstaat dient zijn respectieve plan in bij de Commissie. Elke lidstaat stelt zijn plan op overeenkomstig:”;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39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quater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15 – leden 6 en 7</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1 quater)</w:t>
            </w:r>
            <w:r w:rsidRPr="00A514B5">
              <w:rPr>
                <w:b/>
                <w:i/>
              </w:rPr>
              <w:tab/>
              <w:t>Artikel 15 wordt als volgt 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lid 6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E62DFE">
            <w:pPr>
              <w:pStyle w:val="Normal6"/>
              <w:rPr>
                <w:szCs w:val="24"/>
              </w:rPr>
            </w:pPr>
            <w:r w:rsidRPr="00A514B5">
              <w:rPr>
                <w:b/>
                <w:i/>
              </w:rPr>
              <w:t>“6.</w:t>
            </w:r>
            <w:r w:rsidRPr="00A514B5">
              <w:rPr>
                <w:b/>
                <w:i/>
              </w:rPr>
              <w:tab/>
              <w:t xml:space="preserve">De lidstaten rapporteren statistieken over de jaarlijks gekooide, geoogste en uitgevoerde hoeveelheden (binnengebrachte in het wild gevangen </w:t>
            </w:r>
            <w:r w:rsidRPr="00A514B5">
              <w:rPr>
                <w:b/>
                <w:i/>
              </w:rPr>
              <w:lastRenderedPageBreak/>
              <w:t>vis) aan de Commissie, die de gegevens zal doorzenden naar het Iccat-secretariaat, totdat het Iccat-secretariaat functionaliteit voor gegevensextractie in het eBCD-systeem heeft ontwikkeld en die functionaliteit beschikbaar is.”;</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lid 7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In passende gevallen dienen de lidstaten uiterlijk op 15 mei van elk jaar herziene beheersplannen voor de kweek in bij de Commissie die uiterlijk op 1 juni van elk jaar worden doorgezonden naar het Iccat-secretariaat.”;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quinquies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pPr>
      <w:r w:rsidRPr="00A514B5">
        <w:rPr>
          <w:rStyle w:val="HideTWBExt"/>
        </w:rPr>
        <w:t>&lt;Article2&gt;</w:t>
      </w:r>
      <w:r w:rsidRPr="00A514B5">
        <w:rPr>
          <w:b w:val="0"/>
        </w:rPr>
        <w:t>Artikel 17 – lid 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quinquies)</w:t>
            </w:r>
            <w:r w:rsidRPr="00A514B5">
              <w:rPr>
                <w:b/>
                <w:i/>
              </w:rPr>
              <w:tab/>
              <w:t>In artikel 17 wordt lid 5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Voor grote pelagische beugvisserijvaartuigen met een lengte over alles van meer dan 24 meter is de visserij op blauwvintonijn toegestaan in het oostelijke deel van de Atlantische Oceaan en de Middellandse Zee vanaf 1 januari tot en met 31 mei, met uitzondering van het gebied ten westen van 10° WL en ten noorden van 42° NB.”;</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sexies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pPr>
        <w:pStyle w:val="NormalBold"/>
        <w:rPr>
          <w:b w:val="0"/>
        </w:rPr>
      </w:pPr>
      <w:r w:rsidRPr="00A514B5">
        <w:rPr>
          <w:rStyle w:val="HideTWBExt"/>
          <w:b w:val="0"/>
        </w:rPr>
        <w:t>&lt;Article2&gt;</w:t>
      </w:r>
      <w:r w:rsidRPr="00A514B5">
        <w:rPr>
          <w:b w:val="0"/>
        </w:rPr>
        <w:t>Artikel 21 bis (nieuw)</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sexies)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21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Verbod op het aan boord van ondersteuningsvaartuigen houden van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Ondersteuningsvoertuigen mogen geen blauwvintonijn aan boord houden of vervoeren.”;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septies (nieuw)</w:t>
      </w:r>
      <w:r w:rsidRPr="00A514B5">
        <w:rPr>
          <w:rStyle w:val="HideTWBExt"/>
          <w:b w:val="0"/>
        </w:rPr>
        <w:t>&lt;/Article&gt;</w:t>
      </w:r>
    </w:p>
    <w:p w:rsidR="00D22A4F" w:rsidRPr="00A514B5" w:rsidRDefault="00B71BA7" w:rsidP="00D22A4F">
      <w:pPr>
        <w:keepNext/>
      </w:pPr>
      <w:r w:rsidRPr="00A514B5">
        <w:rPr>
          <w:rStyle w:val="HideTWBExt"/>
        </w:rPr>
        <w:lastRenderedPageBreak/>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24</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septies)</w:t>
            </w:r>
            <w:r w:rsidRPr="00A514B5">
              <w:rPr>
                <w:b/>
                <w:i/>
              </w:rPr>
              <w:tab/>
              <w:t>Artikel 24 wordt als volgt 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801448">
            <w:pPr>
              <w:pStyle w:val="Normal6"/>
              <w:rPr>
                <w:szCs w:val="24"/>
              </w:rPr>
            </w:pPr>
            <w:r w:rsidRPr="00A514B5">
              <w:rPr>
                <w:b/>
                <w:i/>
              </w:rPr>
              <w:t>a)</w:t>
            </w:r>
            <w:r w:rsidRPr="00A514B5">
              <w:rPr>
                <w:b/>
                <w:i/>
              </w:rPr>
              <w:tab/>
              <w:t>lid 3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Het in de handel brengen van in het kader van de recreatievisserij gevangen blauwvintonijn is verboden.”;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lid 4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De lidstaten registreren vangstgegevens waaronder het gewicht van elke in het kader van de recreatievisserij gevangen blauwvintonijn en geven de gegevens voor het voorgaande jaar uiterlijk op 30 juni van elk jaar door aan de Commissie. De Commissie zendt die informatie onverwijld door aan het Iccat-secretariaat.”;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lid 5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De lidstaten treffen de nodige maatregelen om blauwvintonijnen, en met name jonge tonijnen, die levend zijn gevangen in het kader van de recreatievisserij, zoveel mogelijk terug te zetten. Alle aangelande blauwvintonijn bevindt zich in gehele staat of is ontdaan van kieuwen en/of ingewanden.”;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octies (nieuw)</w:t>
      </w:r>
      <w:r w:rsidRPr="00A514B5">
        <w:rPr>
          <w:rStyle w:val="HideTWBExt"/>
          <w:b w:val="0"/>
        </w:rPr>
        <w:t>&lt;/Article&gt;</w:t>
      </w:r>
    </w:p>
    <w:p w:rsidR="0049599D" w:rsidRPr="00A514B5" w:rsidRDefault="00B71BA7" w:rsidP="0049599D">
      <w:pPr>
        <w:keepNext/>
      </w:pPr>
      <w:r w:rsidRPr="00A514B5">
        <w:rPr>
          <w:rStyle w:val="HideTWBExt"/>
        </w:rPr>
        <w:lastRenderedPageBreak/>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26 – lid 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octies)</w:t>
            </w:r>
            <w:r w:rsidRPr="00A514B5">
              <w:rPr>
                <w:b/>
                <w:i/>
              </w:rPr>
              <w:tab/>
              <w:t>In artikel 26 wordt lid 1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Elk jaar, één maand vóór het begin van de geldigheidsduur van de machtiging, zenden de lidstaten de in bijlage XVI bedoelde informatie toe voor de lijst van: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alle vangstvaartuigen die actief op blauwvintonijn vissen; 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alle andere vaartuigen dan vangstvaartuigen die betrokken zijn bij activiteiten in verband met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De Commissie zendt die informatie 15 dagen vóór aanvang van de visserijactiviteit door naar het Iccat-secretariaat, zodat die vaartuigen in het Iccat-register van gemachtigde vaartuigen kunnen worden opgenomen en, indien van toepassing, in het Iccat-register van vaartuigen met een lengte over alles van 20 meter of meer die gemachtigd zijn om activiteiten te verrichten in het verdragsgebied.”;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nonies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pPr>
        <w:pStyle w:val="NormalBold"/>
        <w:rPr>
          <w:b w:val="0"/>
        </w:rPr>
      </w:pPr>
      <w:r w:rsidRPr="00A514B5">
        <w:rPr>
          <w:rStyle w:val="HideTWBExt"/>
        </w:rPr>
        <w:t>&lt;</w:t>
      </w:r>
      <w:r w:rsidRPr="00A514B5">
        <w:rPr>
          <w:rStyle w:val="HideTWBExt"/>
          <w:b w:val="0"/>
        </w:rPr>
        <w:t>Article2&gt;</w:t>
      </w:r>
      <w:r w:rsidRPr="00A514B5">
        <w:rPr>
          <w:b w:val="0"/>
        </w:rPr>
        <w:t>Artikel 27 – lid 2</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nonies)</w:t>
            </w:r>
            <w:r w:rsidRPr="00A514B5">
              <w:rPr>
                <w:b/>
                <w:i/>
              </w:rPr>
              <w:tab/>
              <w:t>In artikel 27 wordt lid 2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Onverminderd artikel 20, lid 6, worden vissersvaartuigen van de Unie die niet in de in artikel 26 bedoelde Iccat-registers zijn opgenomen, geacht niet gemachtigd te zijn om in het oostelijke deel van de Atlantische Oceaan en de Middellandse Zee blauwvintonijn te bevissen, aan boord te houden, over te laden, te vervoeren, over te hevelen, te verwerken of aan te landen.”;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 verwijzingen naar de artikelen zijn geactualiseerd.</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28</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decies)</w:t>
            </w:r>
            <w:r w:rsidRPr="00A514B5">
              <w:rPr>
                <w:b/>
                <w:i/>
              </w:rPr>
              <w:tab/>
              <w:t>Artikel 28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lid 1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De lidstaten dienen bij de Commissie langs elektronische weg, als onderdeel van hun visserijplannen, een lijst van voor de blauwvintonijnvisserij in het oostelijke deel van de Atlantische Oceaan en de Middellandse Zee gemachtigde tonnara’s, met de in bijlage XVII bedoelde informatie. De Commissie zendt die informatie door naar het Iccat-secretariaat, zodat die tonnara’s kunnen worden opgenomen in het Iccat-</w:t>
            </w:r>
            <w:r w:rsidRPr="00A514B5">
              <w:rPr>
                <w:b/>
                <w:i/>
              </w:rPr>
              <w:lastRenderedPageBreak/>
              <w:t>register van voor de blauwvintonijnvisserij gemachtigde tonnara’s.”;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De lidstaten stellen de Commissie, na de vaststelling van het Iccat-register van tonnara’s, in kennis van alle eventuele toevoegingen, schrappingen en/of aanpassingen in het Iccat-register zodra deze wijzigingen zich voordoen. De Commissie stelt het Iccat-secretariaat onverwijld van die wijzigingen op de hoogte.”;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In lid 1 is de zinsnede “langs elektronische weg” ingevoegd alsmede een verwijzing naar bijlage XVII (bijlage 14 van aanbeveling 22-08). Lid 5 is afkomstig van bladzijde 12 van aanbeveling 22-08.</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undecies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 xml:space="preserve">Verordening (EU) 2023/XX </w:t>
      </w:r>
      <w:r w:rsidRPr="00A514B5">
        <w:rPr>
          <w:rStyle w:val="HideTWBExt"/>
        </w:rPr>
        <w:t>&lt;/DocAmend2&gt;</w:t>
      </w:r>
    </w:p>
    <w:p w:rsidR="0049599D" w:rsidRPr="00A514B5" w:rsidRDefault="00B71BA7" w:rsidP="0049599D">
      <w:r w:rsidRPr="00A514B5">
        <w:rPr>
          <w:rStyle w:val="HideTWBExt"/>
        </w:rPr>
        <w:t>&lt;Article2&gt;</w:t>
      </w:r>
      <w:r w:rsidRPr="00A514B5">
        <w:t>Artikel 28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1 undecies)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28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Register van kwekerijen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 xml:space="preserve">De lidstaten dienen bij de Commissie langs elektronische weg, als onderdeel van hun visserijplannen, een lijst van kwekerijen die gemachtigd zijn om in het oostelijke deel van de Atlantische Oceaan en de Middellandse Zee op blauwvintonijn te vissen, met de in bijlage XVIII bedoelde informatie. De Commissie zendt die informatie door naar </w:t>
            </w:r>
            <w:r w:rsidRPr="00A514B5">
              <w:rPr>
                <w:b/>
                <w:i/>
              </w:rPr>
              <w:lastRenderedPageBreak/>
              <w:t>het Iccat-secretariaat, zodat die kwekerijen kunnen worden opgenomen in het Iccat-register van kwekerijen die gemachtigd zijn om op blauwvintonijn te vissen.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Tonijnkwekerijen die niet zijn opgenomen in het Iccat-register van kwekerijen worden niet geacht gemachtigd te zijn om op blauwvintonijn te vissen.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Kweekactiviteiten, waaronder het mesten of oogsten van blauwvintonijn, zijn niet toegestaan buiten de voor kweekactiviteiten goedgekeurde geografische coördinaten.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De lidstaten stellen de Commissie onmiddellijk in kennis van alle eventuele toevoegingen, schrappingen en/of aanpassingen in het Iccat-register van kwekerijen zodra deze wijzigingen zich voordoen. De Commissie zendt die informatie onverwijld door naar het Iccat-secretariaat.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 xml:space="preserve">De lidstaten treffen de nodige maatregelen om te voorkomen dat blauwvintonijn wordt ondergebracht bij een kwekerij die niet voorkomt in het Iccat-register van kwekerijen en dat de kwekerijen blauwvintonijn aannemen van vaartuigen die niet voorkomen in het Iccat-register van vaartuigen. De lidstaten treffen de nodige maatregelen om verrichtingen op kwekerijen die niet voorkomen in het Iccat-register van kwekerijen te verbieden.”;  </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47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duodecies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 xml:space="preserve">Verordening (EU) 2023/XX </w:t>
      </w:r>
      <w:r w:rsidRPr="00A514B5">
        <w:rPr>
          <w:rStyle w:val="HideTWBExt"/>
        </w:rPr>
        <w:t>&lt;/DocAmend2&gt;</w:t>
      </w:r>
    </w:p>
    <w:p w:rsidR="00D22A4F" w:rsidRPr="00A514B5" w:rsidRDefault="00B71BA7" w:rsidP="00D22A4F">
      <w:pPr>
        <w:keepNext/>
      </w:pPr>
      <w:r w:rsidRPr="00A514B5">
        <w:rPr>
          <w:rStyle w:val="HideTWBExt"/>
        </w:rPr>
        <w:t>&lt;Article2&gt;</w:t>
      </w:r>
      <w:r w:rsidRPr="00A514B5">
        <w:t>Artikel 33 – lid 4</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duodecies)</w:t>
            </w:r>
            <w:r w:rsidRPr="00A514B5">
              <w:rPr>
                <w:b/>
                <w:i/>
              </w:rPr>
              <w:tab/>
              <w:t>Aan artikel 33 wordt het volgende lid toegevoegd: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“4.</w:t>
            </w:r>
            <w:r w:rsidRPr="00A514B5">
              <w:rPr>
                <w:b/>
                <w:i/>
              </w:rPr>
              <w:tab/>
              <w:t>Dit artikel belet niet dat een CPC-vissersvaartuig afmeert in een haven, overeenkomstig internationaal recht, wegens overmacht of een noodsituatie.”;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blz. 15.</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terdecies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34 – lid 2</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terdecies)</w:t>
            </w:r>
            <w:r w:rsidRPr="00A514B5">
              <w:rPr>
                <w:b/>
                <w:i/>
              </w:rPr>
              <w:tab/>
              <w:t>In artikel 34 wordt lid 2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 xml:space="preserve">Vóór het binnenvaren van de haven stellen de kapiteins, van vissersvaartuigen van de Unie, of hun vertegenwoordigers, alsook verwerkingsvaartuigen en hulpvaartuigen, die zijn opgenomen in de in artikel 26 bedoelde lijst van vaartuigen, ten minste vier uur vóór de verwachte tijd van aankomst in de haven de bevoegde autoriteit van hun vlaggenlidstaat of de CPC waarvan zij de havens of aanlandingsvoorzieningen wensen te gebruiken, in kennis van ten minste de </w:t>
            </w:r>
            <w:r w:rsidRPr="00A514B5">
              <w:rPr>
                <w:b/>
                <w:i/>
              </w:rPr>
              <w:lastRenderedPageBreak/>
              <w:t>volgende informatie:</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de verwachte datum en tijd van aankomst;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de geraamde hoeveelheid aan boord gehouden blauwvintonijn;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het geografische gebied waar de vangsten zijn gedaan.”;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49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quaterdecies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35 – lid 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quaterdecies)</w:t>
            </w:r>
            <w:r w:rsidRPr="00A514B5">
              <w:rPr>
                <w:b/>
                <w:i/>
              </w:rPr>
              <w:tab/>
              <w:t>In artikel 35 wordt lid 5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Kapiteins van bij overladingsverrichtingen betrokken vissersvaartuigen van de Unie vullen de Iccat-overladingsaangifte in en zenden deze uiterlijk 15 dagen na de datum van de overlading in de haven door naar hun vlaggenlidstaat overeenkomstig aanbeveling 21-15. De kapiteins van de overladende vissersvaartuigen vullen de Iccat-overladingsaangifte in volgens het in bijlage X bedoelde model. De overladingsverklaring wordt gekoppeld aan het eBCD om kruiscontroles van de daarin opgenomen gegevens te vergemakkelijken.”;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lastRenderedPageBreak/>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blz. 16.</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quindecies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36</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quindecies)</w:t>
            </w:r>
            <w:r w:rsidRPr="00A514B5">
              <w:rPr>
                <w:b/>
                <w:i/>
              </w:rPr>
              <w:tab/>
              <w:t>Artikel 36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36</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Rapporten inzake hoeveelheden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De lidstaten zenden om de twee weken vangstrapporten aan de Commissie. Die rapporten bevatten de krachtens artikel 31 vereiste gegevens met betrekking tot tonnara’s, ringzegenvaartuigen en andere vangstvaartuigen. De gegevens worden verstrekt per vistuigtype. De Commissie zendt die informatie onverwijld door naar het Iccat-secretariaat.”;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blz. 16.</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sexdecies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38</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sexdecies)</w:t>
            </w:r>
            <w:r w:rsidRPr="00A514B5">
              <w:rPr>
                <w:b/>
                <w:i/>
              </w:rPr>
              <w:tab/>
              <w:t xml:space="preserve">Artikel 38 wordt als volgt </w:t>
            </w:r>
            <w:r w:rsidRPr="00A514B5">
              <w:rPr>
                <w:b/>
                <w:i/>
              </w:rPr>
              <w:lastRenderedPageBreak/>
              <w:t>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lid 2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In afwijking van lid 1 zijn voor het vrijlaten van tonijn door kwekerijen alleen regionale waarnemers als bedoeld in artikel 39, en geen nationale waarnemers, aanwezig op de sleepvaartuigen.”;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lid 3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De verplichtingen, verantwoordelijkheden en taken die gelden voor de nationale waarnemers worden omschreven in bijlage VIII.”;</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lid 5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Voor de toepassing van dit artikel zorgen de lidstaten voor: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een representatieve dekking in tijd en ruimte, teneinde de Commissie te voorzien van adequate en nuttige gegevens en informatie over de vangst, de inspanning en andere wetenschappelijke en beheersaspecten, met inachtneming van de kenmerken van de betrokken vloot en visserij;</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degelijke protocollen voor gegevensverzameling;</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een degelijke opleiding en erkenning van waarnemers alvorens zij worden ingezet;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d)</w:t>
            </w:r>
            <w:r w:rsidRPr="00A514B5">
              <w:rPr>
                <w:b/>
                <w:i/>
              </w:rPr>
              <w:tab/>
              <w:t>verstrekking aan de waarnemers, alvorens zij worden ingezet, van een lijst van contactpersonen bij de bevoegde autoriteit in de lidstaat bij wie de waarnemingen moeten worden gemeld;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e)</w:t>
            </w:r>
            <w:r w:rsidRPr="00A514B5">
              <w:rPr>
                <w:b/>
                <w:i/>
              </w:rPr>
              <w:tab/>
              <w:t>een zo gering mogelijke verstoring van de werkzaamheden van de vaartuigen en tonnara’s die in het verdragsgebied actief zijn;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f)</w:t>
            </w:r>
            <w:r w:rsidRPr="00A514B5">
              <w:rPr>
                <w:b/>
                <w:i/>
              </w:rPr>
              <w:tab/>
              <w:t xml:space="preserve">de verlening door de kapitein van het vissersvaartuig of de exploitant van de tonnara van toestemming aan de waarnemer om gebruik te maken van de elektronische-communicatieapparatuur </w:t>
            </w:r>
            <w:r w:rsidRPr="00A514B5">
              <w:rPr>
                <w:b/>
                <w:i/>
              </w:rPr>
              <w:lastRenderedPageBreak/>
              <w:t>aan boord van het vissersvaartuig of op de tonnara.”;</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blz. 17 en 18.</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septdecies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39</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septdecies)</w:t>
            </w:r>
            <w:r w:rsidRPr="00A514B5">
              <w:rPr>
                <w:b/>
                <w:i/>
              </w:rPr>
              <w:tab/>
              <w:t>Artikel 39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in lid 2 wordt punt c)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bij alle overladingen van een kweekkooi naar transportkooien, die vervolgens naar een andere kwekerij worden gesleept;”;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lid 4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De lidstaten zien erop toe dat aan elke kwekerij een regionale Iccat-waarnemer wordt toegewezen voor de gehele periode van de kooi- en oogstverrichtingen. In het geval van overmacht, en nadat de kwekerijlidstaat de als overmacht aangemerkte omstandigheden heeft bevestigd, of in gevallen waarin naburige kwekerijen, zoals gemachtigd en gecontroleerd door dezelfde kwekerijlidstaat, gezamenlijk als één eenheid optreden, mag een regionale Iccat-waarnemer door meerdere kwekerijen worden gedeeld om de continuïteit van de kweekverrichtingen te waarborgen, indien wordt gewaarborgd dat de taken van de waarnemers naar behoren worden uitgevoerd en na </w:t>
            </w:r>
            <w:r w:rsidRPr="00A514B5">
              <w:rPr>
                <w:b/>
                <w:i/>
              </w:rPr>
              <w:lastRenderedPageBreak/>
              <w:t>bevestiging door de kwekerijlidstaat.”;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3)</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“4 bis.</w:t>
            </w:r>
            <w:r w:rsidRPr="00A514B5">
              <w:rPr>
                <w:b/>
                <w:i/>
              </w:rPr>
              <w:tab/>
              <w:t>In afwijking van lid 4 kan er, in het geval van overlading tussen twee verschillende kwekerijen die onder de bevoegdheid van dezelfde lidstaat vallen, één regionale waarnemer worden toegewezen voor het hele proces met inbegrip van het overladen van vis naar een sleepkooi voor transportdoeleinden, het slepen van de vis van de overhevelende kwekerij naar de ontvangende kwekerij en het kooien van vis op de ontvangende kwekerij. In dat geval moet er een regionale waarnemer worden gestationeerd door de overhevelende kwekerij en delen de overhevelende en de ontvangende kwekerij de kosten, tenzij anders bepaald door de kwekerijen.”;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4)</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“5 bis.</w:t>
            </w:r>
            <w:r w:rsidRPr="00A514B5">
              <w:rPr>
                <w:b/>
                <w:i/>
              </w:rPr>
              <w:tab/>
              <w:t>In afwijking van lid 5 kan de betrokken CPC kwekerijen toestemming verlenen om ten hoogste 1 000 kg per dag te oogsten, met een maximum van 50 ton per kwekerij per jaar, om de markt voor verse blauwvintonijn te bevoorraden, mits een gemachtigde inspecteur van de kwekerij-CPC bij alle dergelijke oogstverrichtingen ter plaatse is en de werkzaamheden controleert. Daarnaast waarmerkt de gemachtigde inspecteur de geoogste hoeveelheden in het eBCD-systeem. In dit geval is de handtekening van de regionale waarnemers in de rubriek “oogst” van het eBCD niet vereist. Die afwijking wordt in voorkomend geval beoordeeld door de permanente werkgroep, mogelijk via de bijbehorende werkgroep geïntegreerde monitoringmaatregelen.”;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5)</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 xml:space="preserve">De regionale Iccat-waarnemers nemen de in bijlage VIII omschreven verplichtingen, verantwoordelijkheden en </w:t>
            </w:r>
            <w:r w:rsidRPr="00A514B5">
              <w:rPr>
                <w:b/>
                <w:i/>
              </w:rPr>
              <w:lastRenderedPageBreak/>
              <w:t>taken in acht.”;</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octodecies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rPr>
          <w:b w:val="0"/>
        </w:rPr>
      </w:pPr>
      <w:r w:rsidRPr="00A514B5">
        <w:rPr>
          <w:rStyle w:val="HideTWBExt"/>
          <w:b w:val="0"/>
        </w:rPr>
        <w:t>&lt;Article2&gt;</w:t>
      </w:r>
      <w:r w:rsidRPr="00A514B5">
        <w:rPr>
          <w:b w:val="0"/>
        </w:rPr>
        <w:t>Artikel 40</w:t>
      </w:r>
      <w:r w:rsidRPr="00A514B5">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A31D6F">
        <w:trPr>
          <w:jc w:val="center"/>
        </w:trPr>
        <w:tc>
          <w:tcPr>
            <w:tcW w:w="9752" w:type="dxa"/>
            <w:gridSpan w:val="2"/>
          </w:tcPr>
          <w:p w:rsidR="0049599D" w:rsidRPr="00A514B5" w:rsidRDefault="0049599D" w:rsidP="004B110E">
            <w:pPr>
              <w:keepNext/>
            </w:pPr>
          </w:p>
        </w:tc>
      </w:tr>
      <w:tr w:rsidR="00B9071D" w:rsidRPr="00A514B5" w:rsidTr="00A31D6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octodecies)</w:t>
            </w:r>
            <w:r w:rsidRPr="00A514B5">
              <w:rPr>
                <w:b/>
                <w:i/>
              </w:rPr>
              <w:tab/>
              <w:t>Artikel 40 wordt als volgt gewijzigd:</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w:t>
            </w:r>
            <w:r w:rsidRPr="00A514B5">
              <w:rPr>
                <w:b/>
                <w:i/>
              </w:rPr>
              <w:tab/>
              <w:t>lid 1 wordt vervangen door: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Vóór aanvang van een overhevelingsverrichting, waaronder vrijwillige overhevelingen, wordt door de kapitein van het vangst- of sleepvaartuig, of diens vertegenwoordigers, of door de exploitant van de kwekerij of tonnara waaruit wordt overgeheveld, aan de vlaggenlidstaat, of aan de voor de kwekerij of tonnara verantwoordelijke lidstaat, een voorafgaande kennisgeving van overheveling toegezonden met: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het aantal en het gewicht van de over te hevelen blauwvintonijn;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de naam van het vangstvaartuig, het sleepvaartuig of de sleepvaartuigen, de kwekerij of tonnara, met het bijbehorende Iccat-registernummer;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de datum en plaats van de vangst;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w:t>
            </w:r>
            <w:r w:rsidRPr="00A514B5">
              <w:rPr>
                <w:b/>
                <w:i/>
              </w:rPr>
              <w:tab/>
              <w:t>de datum en het geschatte tijdstip van overdracht;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w:t>
            </w:r>
            <w:r w:rsidRPr="00A514B5">
              <w:rPr>
                <w:b/>
                <w:i/>
              </w:rPr>
              <w:tab/>
              <w:t xml:space="preserve">de geschatte positie (lengte- en </w:t>
            </w:r>
            <w:r w:rsidRPr="00A514B5">
              <w:rPr>
                <w:b/>
                <w:i/>
              </w:rPr>
              <w:lastRenderedPageBreak/>
              <w:t>breedtegraad) waar de overdracht zal plaatsvinden en de nummers van de overhevelende en de ontvangende kooi(en);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f)</w:t>
            </w:r>
            <w:r w:rsidRPr="00A514B5">
              <w:rPr>
                <w:b/>
                <w:i/>
              </w:rPr>
              <w:tab/>
              <w:t>de kwekerij van bestemming;</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g)</w:t>
            </w:r>
            <w:r w:rsidRPr="00A514B5">
              <w:rPr>
                <w:b/>
                <w:i/>
              </w:rPr>
              <w:tab/>
              <w:t>de naam en het Iccat-nummer van de overhevelende kooi, in het geval van een overheveling uit de kweekkooi naar een transportkooi;</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h)</w:t>
            </w:r>
            <w:r w:rsidRPr="00A514B5">
              <w:rPr>
                <w:b/>
                <w:i/>
              </w:rPr>
              <w:tab/>
              <w:t>de nummers van de twee kweekkooien en alle daarbij betrokken transportkooien, in het geval van overhevelingen binnen kwekerijen.”;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lid 2 wordt geschrapt;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lid 3 wordt vervangen door: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Alle kooien die worden gebruikt bij overhevelingsverrichtingen en het daarmee verband houdende vervoer van levende blauwvintonijn worden genummerd aan de hand van het unieke nummeringsysteem als bedoeld in bijlage XX.”;</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4)</w:t>
            </w:r>
            <w:r w:rsidRPr="00A514B5">
              <w:rPr>
                <w:b/>
                <w:i/>
              </w:rPr>
              <w:tab/>
              <w:t>lid 5 wordt vervangen door: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De bij overhevelingsverrichtingen als bedoeld in lid 1 betrokken lidstaten verlenen of weigeren de toestemming voor de overheveling binnen 48 uur na de na de indiening van de voorafgaande overhevelingsaangifte. De overhevelingsverrichting begint pas nadat het toestemmingsnummer is afgegeven.”;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5)</w:t>
            </w:r>
            <w:r w:rsidRPr="00A514B5">
              <w:rPr>
                <w:b/>
                <w:i/>
              </w:rPr>
              <w:tab/>
              <w:t>De volgende leden worden ingevoegd:</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“5 bis.</w:t>
            </w:r>
            <w:r w:rsidRPr="00A514B5">
              <w:rPr>
                <w:b/>
                <w:i/>
              </w:rPr>
              <w:tab/>
              <w:t>Vóór aanvang van het visseizoen voor blauwvintonijn wijzen de lidstaten een uniek en identificeerbaar nummer toe aan elke kooi van de onder hun jurisdictie vallende kwekerijen, met inbegrip van de kooien die worden gebruikt om de vis naar de kwekerij te vervoeren.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5 ter.</w:t>
            </w:r>
            <w:r w:rsidRPr="00A514B5">
              <w:rPr>
                <w:b/>
                <w:i/>
              </w:rPr>
              <w:tab/>
              <w:t xml:space="preserve">De unieke kooinummers worden door middel van een stempel of met verf aangebracht aan weerskanten van de ring </w:t>
            </w:r>
            <w:r w:rsidRPr="00A514B5">
              <w:rPr>
                <w:b/>
                <w:i/>
              </w:rPr>
              <w:lastRenderedPageBreak/>
              <w:t>op de kooi en boven de waterlijn, in een kleur die duidelijk afsteekt tegen de achtergrond waarop zij door middel van een stempel of met verf zijn aangebracht, en moeten te allen tijde zichtbaar en leesbaar zijn voor controledoeleinden. De letters en nummers zijn ten minste 20 centimeter hoog met een lijndikte van ten minste 4 centimeter. Andere manieren om het unieke nummer op de kooi aan te brengen zijn toegestaan, mits zij dezelfde mate van zichtbaarheid, leesbaarheid en duurzaamheid garanderen.”;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6)</w:t>
            </w:r>
            <w:r w:rsidRPr="00A514B5">
              <w:rPr>
                <w:b/>
                <w:i/>
              </w:rPr>
              <w:tab/>
              <w:t>Het volgende lid wordt toegevoegd:</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“7.</w:t>
            </w:r>
            <w:r w:rsidRPr="00A514B5">
              <w:rPr>
                <w:b/>
                <w:i/>
              </w:rPr>
              <w:tab/>
              <w:t>Voor vrijwillige en controleoverhevelingen hoeft geen nieuwe overhevelingstoestemming te worden verleend.”;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novodecies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41</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novodecies)</w:t>
            </w:r>
            <w:r w:rsidRPr="00A514B5">
              <w:rPr>
                <w:b/>
                <w:i/>
              </w:rPr>
              <w:tab/>
              <w:t>Artikel 41 wordt als volgt 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w:t>
            </w:r>
            <w:r w:rsidRPr="00A514B5">
              <w:rPr>
                <w:b/>
                <w:i/>
              </w:rPr>
              <w:tab/>
              <w:t>De titel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41</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Weigering van de overhevelingstoestemming en daaropvolgende vrijlating van blauwvintonijn”;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in lid 1 worden de punten b) en c)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het aantal en de hoeveelheid vissen niet naar behoren door het vangstvaartuig of de tonnara is gemeld, of voor die hoeveelheid geen toestemming om te kooien is gegeven;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het vangstvaartuig dat of de tonnara die volgens de aangifte de vis heeft gevangen, niet beschikte over een geldige, overeenkomstig artikel 26 afgegeven machtiging om op blauwvintonijn te vissen, of”;</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3)</w:t>
            </w:r>
            <w:r w:rsidRPr="00A514B5">
              <w:rPr>
                <w:b/>
                <w:i/>
              </w:rPr>
              <w:tab/>
              <w:t>in lid 1 wordt het volgende punt toegevoegd: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w:t>
            </w:r>
            <w:r w:rsidRPr="00A514B5">
              <w:rPr>
                <w:b/>
                <w:i/>
              </w:rPr>
              <w:tab/>
              <w:t>de kwekerij van bestemming is niet als actief aangemeld in het Iccat-register van kwekerijen.”;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4)</w:t>
            </w:r>
            <w:r w:rsidRPr="00A514B5">
              <w:rPr>
                <w:b/>
                <w:i/>
              </w:rPr>
              <w:tab/>
              <w:t>lid 3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“In het geval van een technisch mankement van zijn VMS tijdens het vervoer naar de kwekerij wordt het sleepvaartuig vervangen door een ander sleepvaartuig met een volledig functionerend VMS, of wordt een nieuw, operationeel VMS geïnstalleerd of gebruikt, en wel zo snel mogelijk en uiterlijk binnen 72 uur na het optreden van dat mankement. Deze periode van 72 uur mag uitzonderlijk worden verlengd in het geval van overmacht of gerechtvaardigde operationele beperkingen. Het technische mankement wordt onmiddellijk ter kennis gebracht van de Commissie, die het Iccat-secretariaat op de hoogte brengt. Vanaf het moment waarop het technische mankement is vastgesteld totdat het is verholpen, delen de kapiteins of hun vertegenwoordigers door middel van passende telecommunicatiemiddelen om het uur aan de controleautoriteiten van de vlaggenlidstaat de geactualiseerde geograﬁsche coördinaten van het vissersvaartuig mee.”;</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42</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vicies)</w:t>
            </w:r>
            <w:r w:rsidRPr="00A514B5">
              <w:rPr>
                <w:b/>
                <w:i/>
              </w:rPr>
              <w:tab/>
              <w:t>Artikel 42 wordt als volgt 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artikel 42 wordt artikel 43;</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lid 1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Kapiteins van vangst- of sleepvaartuigen of hun vertegenwoordigers, of de exploitant van de kwekerij of de tonnara vullen aan het einde van de overhevelingsverrichting de Iccat-overhevelingsaangifte in volgens het model in bijlage VI en zenden deze door naar de bevoegde autoriteit van de lidstaat, naar de regionale Iccat-waarnemer indien diens aanwezigheid verplicht is en, voor zover van toepassing, naar de kapitein van het sleepvaartuig of de ontvangende kwekerij.”;</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c)</w:t>
            </w:r>
            <w:r w:rsidRPr="00A514B5">
              <w:rPr>
                <w:b/>
                <w:i/>
              </w:rPr>
              <w:tab/>
              <w:t>lid 3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5B7025">
            <w:pPr>
              <w:pStyle w:val="Normal6"/>
              <w:rPr>
                <w:szCs w:val="24"/>
              </w:rPr>
            </w:pPr>
            <w:r w:rsidRPr="00A514B5">
              <w:rPr>
                <w:b/>
                <w:i/>
              </w:rPr>
              <w:t>“3.</w:t>
            </w:r>
            <w:r w:rsidRPr="00A514B5">
              <w:rPr>
                <w:b/>
                <w:i/>
              </w:rPr>
              <w:tab/>
              <w:t>Het origineel van de ITD vergezelt de overheveling van de vis tot aan de kwekerij van bestemming waar de vis zal worden gekooid: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 xml:space="preserve">bij de eerste overheveling maakt de kapitein van het vangst- of het sleepvaartuig of diens vertegenwoordiger, of de vertegenwoordiger van een kwekerij of een tonnara, waaruit wordt </w:t>
            </w:r>
            <w:r w:rsidRPr="00A514B5">
              <w:rPr>
                <w:b/>
                <w:i/>
              </w:rPr>
              <w:lastRenderedPageBreak/>
              <w:t>overgeheveld wanneer één vangst wordt overgeheveld uit het ringzegennet of de tonnara naar meerdere transportkooien, een kopie van het origineel van de overhevelingsaangifte;</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in het geval van een verdere overheveling, actualiseert de kapitein van het overhevelende sleepvaartuig de overhevelingsaangifte door rubriek 3 (“verdere overhevelingen”) in te vullen en de geactualiseerde overhevelingsaangifte door te zenden aan het ontvangende sleepvaartuig.</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Een kopie van de ITD wordt bewaard aan boord van de overhevelende vangst- of sleepvaartuigen, of bij de overhevelende tonnara of op de overhevelende kwekerij, en kan te allen tijde gedurende het visseizoen worden ingezien voor controledoeleinden.”;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w:t>
            </w:r>
            <w:r w:rsidRPr="00A514B5">
              <w:rPr>
                <w:b/>
                <w:i/>
              </w:rPr>
              <w:tab/>
              <w:t>lid 5 wordt vervangen door: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Informatie over dode vis tijdens een overhevelingsverrichting of tijdens het vervoer van vis naar de kwekerij van bestemming, wordt geregistreerd overeenkomstig de in bijlage XIII vastgestelde procedures.”;</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unvicies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rPr>
          <w:b w:val="0"/>
        </w:rPr>
      </w:pPr>
      <w:r w:rsidRPr="00A514B5">
        <w:rPr>
          <w:rStyle w:val="HideTWBExt"/>
          <w:b w:val="0"/>
        </w:rPr>
        <w:t>&lt;Article2&gt;</w:t>
      </w:r>
      <w:r w:rsidRPr="00A514B5">
        <w:rPr>
          <w:b w:val="0"/>
        </w:rPr>
        <w:t>Artikel 43</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unvicies)</w:t>
            </w:r>
            <w:r w:rsidRPr="00A514B5">
              <w:rPr>
                <w:b/>
                <w:i/>
              </w:rPr>
              <w:tab/>
              <w:t>Artikel 43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artikel 43 wordt artikel 42;</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lid 1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De kapitein van het vangst- of sleepvaartuig of de exploitant van de kwekerij of tonnara waaruit wordt overgeheveld zorgt ervoor dat de overheveling wordt gemonitord met behulp van een videocamera in het water, om het aantal overgehevelde blauwvintonijnen te bepalen, behoudens overhevelingen uit kooien tussen twee sleepvaartuigen die geen verband houden met het overbrengen van levende tonijn tussen die kooien. De video-opname wordt gemaakt overeenkomstig de in bijlage X vastgestelde minimumnormen en procedures. Elke bevoegde autoriteit van de lidstaat van de overhevelende exploitant treft de nodige maatregelen om ervoor te zorgen dat identieke kopieën van de betrokken video-opnamen onverwijld door de overhevelende exploitant worden verstrekt: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voor de eerste overhevelingsverrichting en de eventuele vrijwillige overheveling, aan de regionale Iccat-waarnemer en aan het ontvangende sleepvaartuig en, aan het einde van de visreis, aan de bevoegde autoriteit van de vlaggenlidstaat of de tonnaralidstaat van de overhevelende exploitant;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voor verdere overhevelingen, aan de nationale waarnemer aan boord van het overhevelende sleepvaartuig, aan de kapitein van het ontvangende sleepvaartuig en, aan het einde van de sleepreis, aan de bevoegde autoriteit van de vlaggenlidstaat van het overhevelende sleepvaartuig;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 xml:space="preserve">voor overhevelingen tussen twee </w:t>
            </w:r>
            <w:r w:rsidRPr="00A514B5">
              <w:rPr>
                <w:b/>
                <w:i/>
              </w:rPr>
              <w:lastRenderedPageBreak/>
              <w:t>verschillende kwekerijen, aan de regionale Iccat-waarnemer, aan het ontvangende sleepvaartuig en aan de bevoegde autoriteit van de overhevelende kwekerijlidstaat; 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w:t>
            </w:r>
            <w:r w:rsidRPr="00A514B5">
              <w:rPr>
                <w:b/>
                <w:i/>
              </w:rPr>
              <w:tab/>
              <w:t>indien een nationale inspecterende autoriteit of een inspecterende autoriteit van de Iccat aanwezig is tijdens de overhevelingsverrichting, ontvangen ook de inspecteurs een kopie van de betrokken video-opname.”;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c)</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 bis.</w:t>
            </w:r>
            <w:r w:rsidRPr="00A514B5">
              <w:rPr>
                <w:b/>
                <w:i/>
              </w:rPr>
              <w:tab/>
              <w:t>De bewuste videobeelden vergezellen de vis tot aan de kwekerij van bestemming. Er wordt een kopie bewaard aan boord van de overhevelende vaartuigen, bij de tonnara’s en op de kwekerijen, en deze blijft te allen tijde gedurende het visseizoen toegankelijk voor controledoeleinden.”;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w:t>
            </w:r>
            <w:r w:rsidRPr="00A514B5">
              <w:rPr>
                <w:b/>
                <w:i/>
              </w:rPr>
              <w:tab/>
              <w:t>het volgende lid wordt toegevoegd: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De kapitein van het vangst- of het sleepvaartuig of diens vertegenwoordiger, of de vertegenwoordiger van een kwekerij of een tonnara, waaruit wordt overgeheveld, en de bevoegde autoriteiten van de lidstaat bewaren de videobeelden in verband met de overhevelingen gedurende ten minste drie jaar, en zo lang als noodzakelijk voor controle- en handhavingsdoeleinden.”;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duovicies (nieuw)</w:t>
      </w:r>
      <w:r w:rsidRPr="00A514B5">
        <w:rPr>
          <w:rStyle w:val="HideTWBExt"/>
          <w:b w:val="0"/>
        </w:rPr>
        <w:t>&lt;/Article&gt;</w:t>
      </w:r>
    </w:p>
    <w:p w:rsidR="00D22A4F" w:rsidRPr="00A514B5" w:rsidRDefault="00B71BA7" w:rsidP="00D22A4F">
      <w:pPr>
        <w:keepNext/>
      </w:pPr>
      <w:r w:rsidRPr="00A514B5">
        <w:rPr>
          <w:rStyle w:val="HideTWBExt"/>
        </w:rPr>
        <w:lastRenderedPageBreak/>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43 bis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duovicies)</w:t>
            </w:r>
            <w:r w:rsidRPr="00A514B5">
              <w:rPr>
                <w:b/>
                <w:i/>
              </w:rPr>
              <w:tab/>
              <w:t>Het volgende artikel wordt ingevoegd: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43 bis</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Vrijwillige en controleoverhevelingen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Wanneer de in artikel 42 bedoelde videobeelden niet voldoen aan de in bijlage X vastgestelde minimumnormen, en met name indien de kwaliteit of duidelijkheid ervan ontoereikend is om het aantal overgehevelde vissen te bepalen, kan de kapitein van het vangst- of het sleepvaartuig of diens vertegenwoordiger, of de vertegenwoordiger van een kwekerij of een tonnara, waaruit wordt overgeheveld, een of meer vrijwillige overhevelingen uitvoeren.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Indien er geen sprake is geweest van vrijwillige overheveling(en), of indien het op basis van de vrijwillige overheveling(en) nog steeds niet mogelijk is het aantal overgehevelde vissen te bepalen, gelast de bevoegde autoriteit van de lidstaat van het vaartuig, de tonnara of de kwekerij waaruit wordt overgeheveld een controleoverheveling, die wordt herhaald totdat de kwaliteit van de video-opname goed genoeg is om het aantal overgehevelde blauwvintonijnen te ramen.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Bij de vrijwillige en/of controleoverheveling(en) wordt overgeheveld naar een andere, lege kooi. Het aan de hand van de geldige vrijwillige of controleoverheveling bepaalde aantal vissen wordt ingevuld in het logboek, de Iccat-overhevelingsaangifte (ITD) en de relevante rubrieken van het eBCD.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De transportkooi wordt pas losgekoppeld van een ringzegen, een tonnara of een kweekkooi wanneer de </w:t>
            </w:r>
            <w:r w:rsidRPr="00A514B5">
              <w:rPr>
                <w:b/>
                <w:i/>
              </w:rPr>
              <w:lastRenderedPageBreak/>
              <w:t>regionale Iccat-waarnemer aan boord van het ringzegenvaartuig, of aanwezig op de kwekerij of bij de tonnara, zijn taken heeft uitgevoerd.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Indien de kwaliteit van de video-opnamen van de vrijwillige overheveling(en) nog steeds ontoereikend is om het aantal overgehevelde exemplaren te bepalen, kan de bevoegde autoriteit van de lidstaat van de kapitein van het vangst- of het sleepvaartuig of diens vertegenwoordiger, of de vertegenwoordiger van de kwekerij of een tonnara, toestaan de transportkooi(en) los te koppelen van het ringzegenvaartuig, de tonnara of de kwekerij. In dat geval worden de deuren van de transportkooi(en) in kwestie op last van de bevoegde autoriteit van de lidstaat van de kapitein van het vangst- of het sleepvaartuig of diens vertegenwoordiger, of de vertegenwoordiger van de kwekerij of een tonnara, verzegeld overeenkomstig de in bijlage XIX vastgestelde procedures, en moeten er controleoverhevelingen op een nader te bepalen tijd en plaats worden uitgevoerd, in aanwezigheid van de bevoegde autoriteit van de vlaggenlidstaat, de tonnaralidstaat of de kwekerijlidstaat.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6.</w:t>
            </w:r>
            <w:r w:rsidRPr="00A514B5">
              <w:rPr>
                <w:b/>
                <w:i/>
              </w:rPr>
              <w:tab/>
              <w:t>Ingeval de bevoegde autoriteiten van de vlaggenlidstaat, de tonnaralidstaat of de kwekerijlidstaat niet bij de controleoverheveling aanwezig kunnen zijn, wordt deze uitgevoerd in aanwezigheid van een regionale Iccat-waarnemer. In dat geval berust de verantwoordelijkheid voor de inzet van de regionale waarnemer bij de exploitant van de kwekerij die eigenaar is van de vervoerde blauwvintonijn, die erop toeziet dat de regionale waarnemer wordt ingezet om de controleoverheveling te verifiëren.”;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lastRenderedPageBreak/>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tervicies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rPr>
          <w:b w:val="0"/>
        </w:rPr>
      </w:pPr>
      <w:r w:rsidRPr="00A514B5">
        <w:rPr>
          <w:rStyle w:val="HideTWBExt"/>
          <w:b w:val="0"/>
        </w:rPr>
        <w:t>&lt;Article2&gt;</w:t>
      </w:r>
      <w:r w:rsidRPr="00A514B5">
        <w:rPr>
          <w:b w:val="0"/>
        </w:rPr>
        <w:t>Artikel 44</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tervicies)</w:t>
            </w:r>
            <w:r w:rsidRPr="00A514B5">
              <w:rPr>
                <w:b/>
                <w:i/>
              </w:rPr>
              <w:tab/>
              <w:t>Artikel 44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de titel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“Onderzoek door de bevoegde autoriteit van de lidstaat”;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lid 1 wordt geschrapt;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c)</w:t>
            </w:r>
            <w:r w:rsidRPr="00A514B5">
              <w:rPr>
                <w:b/>
                <w:i/>
              </w:rPr>
              <w:tab/>
              <w:t>lid 2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verantwoordelijke lidstaat onderzoekt alle gevallen waarin: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het verschil tussen het door de kapitein van het vangst- of sleepvaartuig of de exploitant van de tonnara of de kwekerij in de ITD gemelde aantal vissen en het door de regionale Iccat-waarnemer, of door de nationale waarnemer van de CPC, in voorkomend geval, geraamde aantal vissen meer dan 10 % bedraagt;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b)</w:t>
            </w:r>
            <w:r w:rsidRPr="00A514B5">
              <w:rPr>
                <w:b/>
                <w:i/>
              </w:rPr>
              <w:tab/>
              <w:t>de regionale Iccat-waarnemer de ITD niet heeft ondertekend.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De foutenmarge van 10 % als bedoeld in punt a) wordt uitgedrukt als een percentage van de cijfers van de kapitein van het vangst- of sleepvaartuig of de exploitant van de tonnara of de kwekerij.</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 xml:space="preserve">Bij het inleiden van een onderzoek stelt de bevoegde autoriteit van de lidstaat de bevoegde autoriteit van de vlaggenlidstaat </w:t>
            </w:r>
            <w:r w:rsidRPr="00A514B5">
              <w:rPr>
                <w:b/>
                <w:i/>
              </w:rPr>
              <w:lastRenderedPageBreak/>
              <w:t>of de CPC van de betrokken sleepvaartuigen in kennis van het onderzoek, en zorgt zij ervoor dat, totdat het onderzoek wordt afgerond, overheveling uit of naar de transportkooi in kwestie niet is toegestaan.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In voorkomend geval omvat het onderzoek de analyse van alle relevante videobeelden. Dat onderzoek wordt afgerond vóór het tijdstip van het kooien op de kwekerij en in ieder geval binnen 96 uur nadat het onderzoek is ingeleid, behalve in gevallen van overmacht. Zolang de resultaten van dit onderzoek niet bekend zijn, is kooien niet toegestaan en wordt de desbetreffende rubriek van het BCD niet gewaarmerkt.”;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w:t>
            </w:r>
            <w:r w:rsidRPr="00A514B5">
              <w:rPr>
                <w:b/>
                <w:i/>
              </w:rPr>
              <w:tab/>
              <w:t>de leden 3, 4 en 5 worden geschrapt;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e)</w:t>
            </w:r>
            <w:r w:rsidRPr="00A514B5">
              <w:rPr>
                <w:b/>
                <w:i/>
              </w:rPr>
              <w:tab/>
              <w:t>het volgende lid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 bis.</w:t>
            </w:r>
            <w:r w:rsidRPr="00A514B5">
              <w:rPr>
                <w:b/>
                <w:i/>
              </w:rPr>
              <w:tab/>
              <w:t>Voor alle overhevelingsverrichtingen waarvoor een video-opname vereist is, vormt een verschil van meer dan 10 %, tussen het door de kapitein van het vissersvaartuig of diens vertegenwoordiger, of de vertegenwoordiger van de kwekerij of de tonnara, in de ITD gemelde aantal blauwvintonijnen en het door de bevoegde autoriteit van de CPC van de kapitein van het vissersvaartuig of diens vertegenwoordiger, of de vertegenwoordiger van de kwekerij of tonnara, na een onderzoek vastgestelde aantal, een mogelijke niet-naleving van het visvaartuig, de tonnara of de kwekerij in kwestie.”;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lastRenderedPageBreak/>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59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quatervicies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45 bis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quatervicies)</w:t>
            </w:r>
            <w:r w:rsidRPr="00A514B5">
              <w:rPr>
                <w:b/>
                <w:i/>
              </w:rPr>
              <w:tab/>
              <w:t>Het volgende artikel wordt ingevoegd: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45 bis</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Wijzigingen in ITD’s en eBCD’s na inspecties op zee of onderzoeken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Indien na afloop van een inspectie op zee of een onderzoek wordt vastgesteld dat het aantal vissen dat is aangegeven in de ITD en het eBCD met meer dan 10 % verschilt, wordt het eBCD gewijzigd door de bevoegde autoriteit van de CPC van de overhevelende exploitant zodat het aantal overeenstemt met de bevindingen van het onderzoek.”;</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quinvicies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45 ter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quinvicies)</w:t>
            </w:r>
            <w:r w:rsidRPr="00A514B5">
              <w:rPr>
                <w:b/>
                <w:i/>
              </w:rPr>
              <w:tab/>
              <w:t>Het volgende artikel wordt ingevoegd: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45 ter</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Algemene bepalingen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Elke kwekerijlidstaat benoemt één bevoegde autoriteit die verantwoordelijk is voor de coördinatie van het verzamelen en verifiëren van informatie over de kooiactiviteiten van de lidstaten, voor de controle van onder zijn jurisdictie uitgevoerde kweekactiviteiten, en voor de rapportage aan en de samenwerking met de bevoegde autoriteiten van de lidstaten en de CPC waarvan de vaartuigen die hun vlag voeren of de tonnara de gekooide tonijn hebben gevangen.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2.</w:t>
            </w:r>
            <w:r w:rsidRPr="00A514B5">
              <w:rPr>
                <w:b/>
                <w:i/>
              </w:rPr>
              <w:tab/>
              <w:t>Alle activiteiten in verband met het bevissen en kweken van blauwvintonijn worden gecontroleerd volgens het op grond van artikel 15 ingediende monitoring-, controle- en inspectieplan.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De lidstaten die betrokken zijn bij kooiactiviteiten wisselen informatie uit en werken samen om ervoor te zorgen dat het aantal en het gewicht van voor het kooien bestemde blauwvintonijn juist zijn en overeenstemmen met de door het ringzegenvaartuig of de tonnara gemelde vangsthoeveelheden en zijn aangegeven in de desbetreffende rubrieken van het eBCD.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Kwekerijlidstaten zien erop toe dat exploitanten van kwekerijen te allen tijde een nauwkeurig situatieoverzicht van hun kwekerijen bijhouden, met het unieke nummer van alle kooien en de individuele plaats ervan op de kwekerij. Het geactualiseerde overzicht moet te allen tijde kunnen worden ingezien voor controledoeleinden door de bevoegde autoriteit van de lidstaat en door de regionale Iccat-waarnemer die op de kwekerij is ingezet. Wijzigingen in het situatieoverzicht moeten vooraf worden gemeld aan de bevoegde autoriteit van de kwekerijlidstaat. Het situatieoverzicht wordt telkens aangepast wanneer het nummer en/of de verdeling van de </w:t>
            </w:r>
            <w:r w:rsidRPr="00A514B5">
              <w:rPr>
                <w:b/>
                <w:i/>
              </w:rPr>
              <w:lastRenderedPageBreak/>
              <w:t>kweekkooien wordt gewijzigd.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De bevoegde autoriteit van de kwekerijlidstaat en de exploitant van de kwekerij bewaren alle informatie, documentatie en materiaal in verband met de kooiactiviteiten op kwekerijen onder zijn jurisdictie gedurende ten minste drie jaar, en de informatie zo lang als noodzakelijk voor handhavingsdoeleinden.”;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sexvicies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rPr>
          <w:b w:val="0"/>
        </w:rPr>
      </w:pPr>
      <w:r w:rsidRPr="00A514B5">
        <w:rPr>
          <w:rStyle w:val="HideTWBExt"/>
          <w:b w:val="0"/>
        </w:rPr>
        <w:t>&lt;Article2&gt;</w:t>
      </w:r>
      <w:r w:rsidRPr="00A514B5">
        <w:rPr>
          <w:b w:val="0"/>
        </w:rPr>
        <w:t>Artikel 45 quater (nieuw)</w:t>
      </w:r>
      <w:r w:rsidRPr="00A514B5">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sexvicies)</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45 quater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Uniek identificatienummer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Vóór aanvang van het visseizoen voor blauwvintonijn wijst de bevoegde autoriteit van de kwekerij-CPC een uniek en identificeerbaar nummer toe aan elke kooi van de kwekerijen onder hun jurisdictie, met inbegrip van de kooien die worden gebruikt om de vis naar de kwekerij te vervoeren.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 xml:space="preserve">De kooinummers worden toegekend aan de hand van een uniek nummeringsysteem dat bestaat uit ten minste de drielettercode van de </w:t>
            </w:r>
            <w:r w:rsidRPr="00A514B5">
              <w:rPr>
                <w:b/>
                <w:i/>
              </w:rPr>
              <w:lastRenderedPageBreak/>
              <w:t>kwekerijlidstaat gevolgd door drie cijfers. De unieke kooinummers zijn permanent en niet-overdraagbaar van de ene naar de andere kooi.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De unieke kooinummers worden door middel van een stempel of met verf aangebracht aan weerskanten van de ring op de kooi en boven de waterlijn, in een kleur die duidelijk afsteekt tegen de achtergrond waarop zij door middel van een stempel of met verf zijn aangebracht, en moeten te allen tijde zichtbaar en leesbaar voor controledoeleinden. De letters en nummers zijn ten minste 20 centimeter hoog met een lijndikte van ten minste 4 centimeter.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Andere manieren om het unieke nummer op de kooi aan te brengen zijn toegestaan, mits zij dezelfde mate van zichtbaarheid, leesbaarheid en duurzaamheid garanderen.”;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1 septvicies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keepNext/>
      </w:pPr>
      <w:r w:rsidRPr="00A514B5">
        <w:rPr>
          <w:rStyle w:val="HideTWBExt"/>
        </w:rPr>
        <w:t>&lt;Article2&gt;</w:t>
      </w:r>
      <w:r w:rsidRPr="00A514B5">
        <w:t>Artikel 45 quinquies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22A4F">
        <w:trPr>
          <w:jc w:val="center"/>
        </w:trPr>
        <w:tc>
          <w:tcPr>
            <w:tcW w:w="9752" w:type="dxa"/>
            <w:gridSpan w:val="2"/>
          </w:tcPr>
          <w:p w:rsidR="0049599D" w:rsidRPr="00A514B5" w:rsidRDefault="0049599D" w:rsidP="00D22A4F">
            <w:pPr>
              <w:keepNext/>
            </w:pPr>
          </w:p>
        </w:tc>
      </w:tr>
      <w:tr w:rsidR="00B9071D" w:rsidRPr="00A514B5" w:rsidTr="00D22A4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 septvicies)</w:t>
            </w:r>
            <w:r w:rsidRPr="00A514B5">
              <w:rPr>
                <w:b/>
                <w:i/>
              </w:rPr>
              <w:tab/>
              <w:t>Het volgende artikel wordt ingevoegd: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45 quinquies</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Toestemming om te kooien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1.</w:t>
            </w:r>
            <w:r w:rsidRPr="00A514B5">
              <w:rPr>
                <w:b/>
                <w:i/>
              </w:rPr>
              <w:tab/>
              <w:t xml:space="preserve">Voor elke kooiverrichting geldt de </w:t>
            </w:r>
            <w:r w:rsidRPr="00A514B5">
              <w:rPr>
                <w:b/>
                <w:i/>
              </w:rPr>
              <w:lastRenderedPageBreak/>
              <w:t>in de leden 2 tot en met 4 vastgestelde procedure.</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exploitant van de kwekerijen vraagt de bevoegde autoriteit van de kwekerijlidstaat om toestemming om te kooien, die de volgende informatie omvat: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het aantal en het gewicht van de te kooien vissen als bedoeld in de overhevelingsaangifte (ITD);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de relevante overhevelingsaangiftes (ITD);</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het referentienummer van het eBCD of de eBCD’s in kwestie, als bevestigd en gewaarmerkt door de bevoegde autoriteit van de vangst-, vlaggen- of tonnaralidstaat of de CPC;</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w:t>
            </w:r>
            <w:r w:rsidRPr="00A514B5">
              <w:rPr>
                <w:b/>
                <w:i/>
              </w:rPr>
              <w:tab/>
              <w:t>alle meldingen van vissen die overlijden tijdens het transport, naar behoren geregistreerd overeenkomstig bijlage XIII.</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3.</w:t>
            </w:r>
            <w:r w:rsidRPr="00A514B5">
              <w:rPr>
                <w:b/>
                <w:i/>
              </w:rPr>
              <w:tab/>
              <w:t>De bevoegde autoriteit van de kwekerijlidstaat stelt de informatie in lid 2 ter kennis van de relevante bevoegde autoriteit(en) van de vangst-, vlaggen- of tonnaralidstaat of de CPC, en verzoekt om bevestiging dat de kooiverrichting kan worden toegestaan.</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Binnen drie werkdagen stellen de bevoegde autoriteiten van de vangst-, vlaggen- of kwekerijlidstaat of de CPC(’s) de bevoegde autoriteit van de kwekerijlidstaat of de CPC ervan in kennis dat toestemming kan worden verleend of geweigerd voor de betrokken kooiverrichting. In het geval van weigering vermeldt de bevoegde autoriteit van de vlaggen- of tonnaralidstaat de reden(en) voor de weigering en de weigering omvat het bijbehorende vrijlatingsbevel.</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 xml:space="preserve">De kwekerijlidstaat verleent de toestemming om te kooien onmiddellijk na ontvangst van de bevestiging door de bevoegde autoriteit van de vangst-, </w:t>
            </w:r>
            <w:r w:rsidRPr="00A514B5">
              <w:rPr>
                <w:b/>
                <w:i/>
              </w:rPr>
              <w:lastRenderedPageBreak/>
              <w:t>vlaggen- of tonnaralidstaat of de CPC in kwestie. Bij gebreke van die bevestiging wordt door de bevoegde autoriteit van de kwekerijlidstaat geen toestemming verleend voor de kooiverrichting.</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6.</w:t>
            </w:r>
            <w:r w:rsidRPr="00A514B5">
              <w:rPr>
                <w:b/>
                <w:i/>
              </w:rPr>
              <w:tab/>
              <w:t>Er wordt geen toestemming om te kooien verleend indien de vis waarvoor toestemming om te kooien moet worden verleend niet wordt vergezeld door de volledige verzameling documenten als vereist in lid 2 van dit artikel.</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Zolang de resultaten van het door de bevoegde autoriteit van de vangst-, vlaggen- of tonnaralidstaat of de CPC uitgevoerde onderzoek als bedoeld in artikel 43 niet bekend zijn, wordt geen toestemming verleend voor de kooiverrichting en worden de desbetreffende rubrieken “vangsten” en “verhandeling van levende vis” van het eBCD niet gewaarmerkt.</w:t>
            </w:r>
          </w:p>
        </w:tc>
      </w:tr>
      <w:tr w:rsidR="00B9071D" w:rsidRPr="00A514B5" w:rsidTr="00D22A4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8.</w:t>
            </w:r>
            <w:r w:rsidRPr="00A514B5">
              <w:rPr>
                <w:b/>
                <w:i/>
              </w:rPr>
              <w:tab/>
              <w:t>Indien de toestemming om te kooien niet binnen één maand na het verzoek om toestemming om te kooien van de exploitant van de kwekerij is verleend door de bevoegde autoriteit van de kwekerijlidstaat of de CPC, gelast de bevoegde autoriteit van de kwekerijlidstaat de vrijlating van alle vis in de betrokken transportkooi, overeenkomstig bijlage XII. De bevoegde autoriteit van de kwekerijlidstaat stelt de bevoegde autoriteit van de vangst-, vlaggen- of tonnaralidstaat of de CPC alsook het Iccat-secretariaat onverwijld van de vrijlating op de hoogte.”.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63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46</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A31D6F">
        <w:trPr>
          <w:jc w:val="center"/>
        </w:trPr>
        <w:tc>
          <w:tcPr>
            <w:tcW w:w="9752" w:type="dxa"/>
            <w:gridSpan w:val="2"/>
          </w:tcPr>
          <w:p w:rsidR="0049599D" w:rsidRPr="00A514B5" w:rsidRDefault="0049599D" w:rsidP="004B110E">
            <w:pPr>
              <w:keepNext/>
            </w:pPr>
          </w:p>
        </w:tc>
      </w:tr>
      <w:tr w:rsidR="00B9071D" w:rsidRPr="00A514B5" w:rsidTr="00A31D6F">
        <w:trPr>
          <w:jc w:val="center"/>
        </w:trPr>
        <w:tc>
          <w:tcPr>
            <w:tcW w:w="4876" w:type="dxa"/>
          </w:tcPr>
          <w:p w:rsidR="0049599D" w:rsidRPr="00A514B5" w:rsidRDefault="00B71BA7" w:rsidP="004B110E">
            <w:pPr>
              <w:pStyle w:val="ColumnHeading"/>
              <w:keepNext/>
            </w:pPr>
            <w:r w:rsidRPr="00A514B5">
              <w:t>Door de Commissie voorgestelde tekst</w:t>
            </w:r>
          </w:p>
        </w:tc>
        <w:tc>
          <w:tcPr>
            <w:tcW w:w="4876" w:type="dxa"/>
          </w:tcPr>
          <w:p w:rsidR="0049599D" w:rsidRPr="00A514B5" w:rsidRDefault="00B71BA7" w:rsidP="004B110E">
            <w:pPr>
              <w:pStyle w:val="ColumnHeading"/>
              <w:keepNext/>
            </w:pPr>
            <w:r w:rsidRPr="00A514B5">
              <w:t>Amendement</w:t>
            </w:r>
          </w:p>
        </w:tc>
      </w:tr>
      <w:tr w:rsidR="00B9071D" w:rsidRPr="00A514B5" w:rsidTr="00A31D6F">
        <w:trPr>
          <w:jc w:val="center"/>
        </w:trPr>
        <w:tc>
          <w:tcPr>
            <w:tcW w:w="4876" w:type="dxa"/>
          </w:tcPr>
          <w:p w:rsidR="0049599D" w:rsidRPr="00A514B5" w:rsidRDefault="00B71BA7" w:rsidP="004B110E">
            <w:pPr>
              <w:pStyle w:val="Normal6"/>
            </w:pPr>
            <w:r w:rsidRPr="00A514B5">
              <w:rPr>
                <w:b/>
                <w:i/>
              </w:rPr>
              <w:t>2)</w:t>
            </w:r>
            <w:r w:rsidRPr="00A514B5">
              <w:rPr>
                <w:b/>
                <w:i/>
              </w:rPr>
              <w:tab/>
              <w:t>In artikel 46 worden in lid (...) de volgende punten a) en b) ingevoegd:</w:t>
            </w:r>
          </w:p>
        </w:tc>
        <w:tc>
          <w:tcPr>
            <w:tcW w:w="4876" w:type="dxa"/>
          </w:tcPr>
          <w:p w:rsidR="0049599D" w:rsidRPr="00A514B5" w:rsidRDefault="00B71BA7" w:rsidP="004B110E">
            <w:pPr>
              <w:pStyle w:val="Normal6"/>
              <w:rPr>
                <w:szCs w:val="24"/>
              </w:rPr>
            </w:pPr>
            <w:r w:rsidRPr="00A514B5">
              <w:rPr>
                <w:b/>
                <w:i/>
              </w:rPr>
              <w:t>Schrappen</w:t>
            </w:r>
          </w:p>
        </w:tc>
      </w:tr>
      <w:tr w:rsidR="00B9071D" w:rsidRPr="00A514B5" w:rsidTr="00A31D6F">
        <w:trPr>
          <w:jc w:val="center"/>
        </w:trPr>
        <w:tc>
          <w:tcPr>
            <w:tcW w:w="4876" w:type="dxa"/>
          </w:tcPr>
          <w:p w:rsidR="0049599D" w:rsidRPr="00A514B5" w:rsidRDefault="00B71BA7" w:rsidP="004B110E">
            <w:pPr>
              <w:pStyle w:val="Normal6"/>
            </w:pPr>
            <w:r w:rsidRPr="00A514B5">
              <w:rPr>
                <w:b/>
                <w:i/>
              </w:rPr>
              <w:t>a)</w:t>
            </w:r>
            <w:r w:rsidRPr="00A514B5">
              <w:rPr>
                <w:b/>
                <w:i/>
              </w:rPr>
              <w:tab/>
              <w:t>De lidstaten mogen geen tonijn onderbrengen in een kwekerij die niet is erkend door een lidstaat of een CPC, of die niet is opgenomen in het Iccat-register van kweekvoorzieningen.</w:t>
            </w:r>
          </w:p>
        </w:tc>
        <w:tc>
          <w:tcPr>
            <w:tcW w:w="4876" w:type="dxa"/>
          </w:tcPr>
          <w:p w:rsidR="0049599D" w:rsidRPr="00A514B5" w:rsidRDefault="0049599D" w:rsidP="004B110E">
            <w:pPr>
              <w:pStyle w:val="Normal6"/>
              <w:rPr>
                <w:szCs w:val="24"/>
              </w:rPr>
            </w:pPr>
          </w:p>
        </w:tc>
      </w:tr>
      <w:tr w:rsidR="00B9071D" w:rsidRPr="00A514B5" w:rsidTr="00A31D6F">
        <w:trPr>
          <w:jc w:val="center"/>
        </w:trPr>
        <w:tc>
          <w:tcPr>
            <w:tcW w:w="4876" w:type="dxa"/>
          </w:tcPr>
          <w:p w:rsidR="0049599D" w:rsidRPr="00A514B5" w:rsidRDefault="00B71BA7" w:rsidP="004B110E">
            <w:pPr>
              <w:pStyle w:val="Normal6"/>
            </w:pPr>
            <w:r w:rsidRPr="00A514B5">
              <w:rPr>
                <w:b/>
                <w:i/>
              </w:rPr>
              <w:t>b)</w:t>
            </w:r>
            <w:r w:rsidRPr="00A514B5">
              <w:rPr>
                <w:b/>
                <w:i/>
              </w:rPr>
              <w:tab/>
              <w:t>Kwekerijlidstaten zorgen ervoor dat vangsten van blauwvintonijn in aparte kooien of reeksen kooien worden geplaatst en per vlaggenlidstaat of CPC van oorsprong worden gescheiden. In afwijking daarvan zorgen kwekerijlidstaten ervoor dat blauwvintonijn die wordt gevangen in het kader van een gezamenlijke visserijactiviteit met verschillende lidstaten, in aparte kooien of reeksen kooien wordt geplaatst en per gezamenlijke visserijactiviteit wordt gescheiden.</w:t>
            </w:r>
          </w:p>
        </w:tc>
        <w:tc>
          <w:tcPr>
            <w:tcW w:w="4876" w:type="dxa"/>
          </w:tcPr>
          <w:p w:rsidR="0049599D" w:rsidRPr="00A514B5" w:rsidRDefault="0049599D" w:rsidP="004B110E">
            <w:pPr>
              <w:pStyle w:val="Normal6"/>
              <w:rPr>
                <w:szCs w:val="24"/>
              </w:rPr>
            </w:pP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Deze bepaling maakt al deel uit van Verordening (EU) 2022/XX.</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bis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46</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 bis)</w:t>
            </w:r>
            <w:r w:rsidRPr="00A514B5">
              <w:rPr>
                <w:b/>
                <w:i/>
              </w:rPr>
              <w:tab/>
              <w:t>Artikel 46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46</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Weigering van toestemming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De bevoegde autoriteit van de voor het vangstvaartuig of de tonnara verantwoordelijke lidstaat weigert toestemming om te kooien te verlenen indien zij van oordeel is dat: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het vangstvaartuig dat of de tonnara die de vis heeft gevangen, niet over een toereikend quotum voor de te kooien blauwvintonijn beschikte;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b)</w:t>
            </w:r>
            <w:r w:rsidRPr="00A514B5">
              <w:rPr>
                <w:b/>
                <w:i/>
              </w:rPr>
              <w:tab/>
              <w:t>de hoeveelheid te kooien vis niet naar behoren door het vangstvaartuig of de tonnara is gemeld; of</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het vangstvaartuig dat of de tonnara die volgens de aangifte de vis heeft gevangen, niet beschikt over een geldige, overeenkomstig artikel 26 afgegeven machtiging om op blauwvintonijn te vissen.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Ingeval de voor het vangstvaartuig of de tonnara verantwoordelijke lidstaat weigert toestemming om te kooien te verlenen: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stelt hij de bevoegde autoriteit van de voor de kwekerij verantwoordelijke lidstaat of CPC daarvan in kennis; 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verzoekt hij die bevoegde autoriteit over te gaan tot de inbeslagname van de vangsten en de vrijlating van de vis in zee.”;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65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ter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46 ter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ter)</w:t>
            </w:r>
            <w:r w:rsidRPr="00A514B5">
              <w:rPr>
                <w:b/>
                <w:i/>
              </w:rPr>
              <w:tab/>
              <w:t>Het volgende artikel wordt ingevoegd: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b/>
                <w:i/>
              </w:rPr>
            </w:pPr>
            <w:r w:rsidRPr="00A514B5">
              <w:rPr>
                <w:b/>
                <w:i/>
              </w:rPr>
              <w:t>“Artikel 46 ter</w:t>
            </w:r>
          </w:p>
        </w:tc>
      </w:tr>
      <w:tr w:rsidR="00B9071D" w:rsidRPr="00A514B5" w:rsidTr="004B110E">
        <w:trPr>
          <w:jc w:val="center"/>
        </w:trPr>
        <w:tc>
          <w:tcPr>
            <w:tcW w:w="4876" w:type="dxa"/>
          </w:tcPr>
          <w:p w:rsidR="00BD2408" w:rsidRPr="00A514B5" w:rsidRDefault="00BD2408" w:rsidP="004B110E">
            <w:pPr>
              <w:pStyle w:val="Normal6"/>
            </w:pPr>
          </w:p>
        </w:tc>
        <w:tc>
          <w:tcPr>
            <w:tcW w:w="4876" w:type="dxa"/>
          </w:tcPr>
          <w:p w:rsidR="00BD2408" w:rsidRPr="00A514B5" w:rsidRDefault="00B71BA7" w:rsidP="004B110E">
            <w:pPr>
              <w:pStyle w:val="Normal6"/>
              <w:rPr>
                <w:b/>
                <w:i/>
              </w:rPr>
            </w:pPr>
            <w:r w:rsidRPr="00A514B5">
              <w:rPr>
                <w:b/>
                <w:i/>
              </w:rPr>
              <w:t>Kooiverrichtingen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Bij aankomst van het sleepvaartuig in de nabijheid van de kwekerij ziet de bevoegde autoriteit van de lidstaat erop toe dat het bewuste sleepvaartuig op een afstand van ten minste één zeemijl blijft van alle voorzieningen van de kwekerij totdat de bevoegde autoriteit van de lidstaat ter plaatse is; de positie en activiteit van de relevante sleepvaartuigen worden te allen tijde gemonitord.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bevoegde autoriteiten van de lidstaten verlenen geen toestemming om te beginnen met de kooiverrichting zonder de aanwezigheid van de bevoegde autoriteit van de kwekerijlidstaat en de regionale Iccat-waarnemer, en voordat de rubrieken “vangsten” en “handel in levende vis” van het eBCD zijn ingevuld en gewaarmerkt door de bevoegde autoriteit(en) van de vangst-, vlaggen- of tonnaralidstaat of de CPC.</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Het is verboden transportkooien als kweekkooien te verankeren, zonder dat er vis wordt overgebracht, om opnamen met stereoscopische camera’s mogelijk te maken.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Na overheveling van de blauwvintonijn uit de sleepkooi naar de kweekkooi ziet de controleautoriteit van de lidstaat erop toe dat de kweekkooien met blauwvintonijn te allen tijde verzegeld </w:t>
            </w:r>
            <w:r w:rsidRPr="00A514B5">
              <w:rPr>
                <w:b/>
                <w:i/>
              </w:rPr>
              <w:lastRenderedPageBreak/>
              <w:t>zijn. De verzegeling mag alleen worden opgeheven in de aanwezigheid van de bevoegde autoriteit van de kwekerijlidstaat en na diens toestemming. De controlerende autoriteit van de kwekerijlidstaat stelt protocollen vast voor het verzegelen van kweekkooien, en zorgt ervoor dat gebruikgemaakt wordt van officiële zegels en dat deze zegels zodanig worden aangebracht dat wordt voorkomen dat de deuren worden geopend zonder dat de zegels worden verbroken.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De kwekerijlidstaten zorgen ervoor dat de vangsten van blauwvintonijn in aparte kooien of reeksen kooien worden geplaatst en per vlaggenlidstaat of CPC van oorsprong en vangstjaar worden gescheiden. In afwijking daarvan worden de vangsten van blauwvintonijn die is gevangen in het kader van een gezamenlijke visserijactiviteit in aparte kooien of reeksen kooien geplaatst en per gezamenlijke visserijactiviteit en per vangstjaar gescheiden.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6.</w:t>
            </w:r>
            <w:r w:rsidRPr="00A514B5">
              <w:rPr>
                <w:b/>
                <w:i/>
              </w:rPr>
              <w:tab/>
              <w:t>De vis wordt elk jaar vóór 22 augustus gekooid, tenzij de bevoegde autoriteiten van de voor de kwekerij verantwoordelijke lidstaat of CPC naar behoren gemotiveerde redenen, met inbegrip van overmacht, opgeven, die samen met het kooirapport worden ingediend. De vis wordt in geen geval gekooid na 7 september van elk jaar. Bovengenoemde termijnen gelden niet voor overhevelingen tussen kwekerijen.”;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AF0449" w:rsidRPr="00A514B5" w:rsidRDefault="00B71BA7" w:rsidP="00AF0449">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66</w:t>
      </w:r>
      <w:r w:rsidRPr="00A514B5">
        <w:rPr>
          <w:rStyle w:val="HideTWBExt"/>
          <w:b w:val="0"/>
        </w:rPr>
        <w:t>&lt;/NumAm&gt;</w:t>
      </w:r>
    </w:p>
    <w:p w:rsidR="00AF0449" w:rsidRPr="00A514B5" w:rsidRDefault="00B71BA7" w:rsidP="00AF0449">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AF0449" w:rsidRPr="00A514B5" w:rsidRDefault="00B71BA7" w:rsidP="00AF0449">
      <w:pPr>
        <w:pStyle w:val="NormalBold"/>
      </w:pPr>
      <w:r w:rsidRPr="00A514B5">
        <w:rPr>
          <w:rStyle w:val="HideTWBExt"/>
          <w:b w:val="0"/>
        </w:rPr>
        <w:t>&lt;Article&gt;</w:t>
      </w:r>
      <w:r w:rsidRPr="00A514B5">
        <w:t>Artikel 2 – alinea 1 – punt 2 quater (nieuw)</w:t>
      </w:r>
      <w:r w:rsidRPr="00A514B5">
        <w:rPr>
          <w:rStyle w:val="HideTWBExt"/>
          <w:b w:val="0"/>
        </w:rPr>
        <w:t>&lt;/Article&gt;</w:t>
      </w:r>
    </w:p>
    <w:p w:rsidR="00AF0449" w:rsidRPr="00A514B5" w:rsidRDefault="00B71BA7" w:rsidP="00AF0449">
      <w:pPr>
        <w:keepNext/>
      </w:pPr>
      <w:r w:rsidRPr="00A514B5">
        <w:rPr>
          <w:rStyle w:val="HideTWBExt"/>
        </w:rPr>
        <w:t>&lt;DocAmend2&gt;</w:t>
      </w:r>
      <w:r w:rsidRPr="00A514B5">
        <w:t>Verordening (EU) 2023/XX</w:t>
      </w:r>
      <w:r w:rsidRPr="00A514B5">
        <w:rPr>
          <w:rStyle w:val="HideTWBExt"/>
        </w:rPr>
        <w:t>&lt;/DocAmend2&gt;</w:t>
      </w:r>
    </w:p>
    <w:p w:rsidR="00AF0449" w:rsidRPr="00A514B5" w:rsidRDefault="00B71BA7" w:rsidP="00AF0449">
      <w:r w:rsidRPr="00A514B5">
        <w:rPr>
          <w:rStyle w:val="HideTWBExt"/>
        </w:rPr>
        <w:t>&lt;Article2&gt;</w:t>
      </w:r>
      <w:r w:rsidRPr="00A514B5">
        <w:t>Artikel 47</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618C2">
        <w:trPr>
          <w:jc w:val="center"/>
        </w:trPr>
        <w:tc>
          <w:tcPr>
            <w:tcW w:w="9752" w:type="dxa"/>
            <w:gridSpan w:val="2"/>
          </w:tcPr>
          <w:p w:rsidR="00AF0449" w:rsidRPr="00A514B5" w:rsidRDefault="00AF0449" w:rsidP="00D618C2">
            <w:pPr>
              <w:keepNext/>
            </w:pPr>
          </w:p>
        </w:tc>
      </w:tr>
      <w:tr w:rsidR="00B9071D" w:rsidRPr="00A514B5" w:rsidTr="00D618C2">
        <w:trPr>
          <w:jc w:val="center"/>
        </w:trPr>
        <w:tc>
          <w:tcPr>
            <w:tcW w:w="4876" w:type="dxa"/>
          </w:tcPr>
          <w:p w:rsidR="00AF0449" w:rsidRPr="00A514B5" w:rsidRDefault="00B71BA7" w:rsidP="00D618C2">
            <w:pPr>
              <w:pStyle w:val="ColumnHeading"/>
              <w:keepNext/>
            </w:pPr>
            <w:r w:rsidRPr="00A514B5">
              <w:t>Bestaande tekst</w:t>
            </w:r>
          </w:p>
        </w:tc>
        <w:tc>
          <w:tcPr>
            <w:tcW w:w="4876" w:type="dxa"/>
          </w:tcPr>
          <w:p w:rsidR="00AF0449" w:rsidRPr="00A514B5" w:rsidRDefault="00B71BA7" w:rsidP="00D618C2">
            <w:pPr>
              <w:pStyle w:val="ColumnHeading"/>
              <w:keepNext/>
            </w:pPr>
            <w:r w:rsidRPr="00A514B5">
              <w:t>Amendement</w:t>
            </w:r>
          </w:p>
        </w:tc>
      </w:tr>
      <w:tr w:rsidR="00B9071D" w:rsidRPr="00A514B5" w:rsidTr="00D618C2">
        <w:trPr>
          <w:jc w:val="center"/>
        </w:trPr>
        <w:tc>
          <w:tcPr>
            <w:tcW w:w="4876" w:type="dxa"/>
          </w:tcPr>
          <w:p w:rsidR="00AF0449" w:rsidRPr="00A514B5" w:rsidRDefault="00AF0449" w:rsidP="00D618C2">
            <w:pPr>
              <w:pStyle w:val="Normal6"/>
            </w:pPr>
          </w:p>
        </w:tc>
        <w:tc>
          <w:tcPr>
            <w:tcW w:w="4876" w:type="dxa"/>
          </w:tcPr>
          <w:p w:rsidR="00AF0449" w:rsidRPr="00A514B5" w:rsidRDefault="00B71BA7" w:rsidP="004D3CA0">
            <w:pPr>
              <w:pStyle w:val="Normal6"/>
              <w:rPr>
                <w:szCs w:val="24"/>
              </w:rPr>
            </w:pPr>
            <w:r w:rsidRPr="00A514B5">
              <w:rPr>
                <w:b/>
                <w:i/>
              </w:rPr>
              <w:t>2 quater)</w:t>
            </w:r>
            <w:r w:rsidRPr="00A514B5">
              <w:rPr>
                <w:b/>
                <w:i/>
              </w:rPr>
              <w:tab/>
              <w:t>In artikel 47 worden de leden 2 en 3 geschrapt.</w:t>
            </w:r>
          </w:p>
        </w:tc>
      </w:tr>
    </w:tbl>
    <w:p w:rsidR="00AF0449" w:rsidRPr="00A514B5" w:rsidRDefault="00B71BA7" w:rsidP="00AF0449">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AF0449" w:rsidRPr="00A514B5" w:rsidRDefault="00B71BA7" w:rsidP="00AF0449">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AF0449" w:rsidRPr="00A514B5" w:rsidRDefault="00B71BA7" w:rsidP="00AF0449">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AF0449" w:rsidRPr="00A514B5" w:rsidRDefault="00B71BA7" w:rsidP="00AF0449">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F717E6" w:rsidRPr="00A514B5" w:rsidRDefault="00B71BA7" w:rsidP="00F717E6">
      <w:pPr>
        <w:pStyle w:val="AMNumberTabs0"/>
        <w:keepNext/>
        <w:spacing w:before="0"/>
      </w:pPr>
      <w:r w:rsidRPr="00A514B5">
        <w:rPr>
          <w:rStyle w:val="HideTWBExt"/>
          <w:b w:val="0"/>
        </w:rPr>
        <w:t>&lt;Article&gt;</w:t>
      </w:r>
      <w:r w:rsidRPr="00A514B5">
        <w:t>Artikel 2 – alinea 1 – punt 2 quinquies (nieuw)</w:t>
      </w:r>
      <w:r w:rsidRPr="00A514B5">
        <w:rPr>
          <w:rStyle w:val="HideTWBExt"/>
          <w:b w:val="0"/>
        </w:rPr>
        <w:t>&lt;/Article&gt;</w:t>
      </w:r>
    </w:p>
    <w:p w:rsidR="00D71C36" w:rsidRPr="00A514B5" w:rsidRDefault="00B71BA7" w:rsidP="00D71C36">
      <w:pPr>
        <w:keepNext/>
      </w:pPr>
      <w:r w:rsidRPr="00A514B5">
        <w:rPr>
          <w:rStyle w:val="HideTWBExt"/>
        </w:rPr>
        <w:t>&lt;DocAmend2&gt;</w:t>
      </w:r>
      <w:r w:rsidRPr="00A514B5">
        <w:t>Verordening (EU) 2023/XX</w:t>
      </w:r>
      <w:r w:rsidRPr="00A514B5">
        <w:rPr>
          <w:rStyle w:val="HideTWBExt"/>
        </w:rPr>
        <w:t>&lt;/DocAmend2&gt;</w:t>
      </w:r>
    </w:p>
    <w:p w:rsidR="00D71C36" w:rsidRPr="00A514B5" w:rsidRDefault="00B71BA7" w:rsidP="00D71C36">
      <w:r w:rsidRPr="00A514B5">
        <w:rPr>
          <w:rStyle w:val="HideTWBExt"/>
        </w:rPr>
        <w:t>&lt;Article2&gt;</w:t>
      </w:r>
      <w:r w:rsidRPr="00A514B5">
        <w:t>Artikel 48</w:t>
      </w:r>
      <w:r w:rsidRPr="00A514B5">
        <w:rPr>
          <w:rStyle w:val="HideTWBExt"/>
        </w:rPr>
        <w:t>&lt;/Article2&gt;</w:t>
      </w:r>
    </w:p>
    <w:p w:rsidR="00D71C36" w:rsidRPr="00A514B5"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D3CA0">
            <w:pPr>
              <w:pStyle w:val="Normal6"/>
              <w:rPr>
                <w:szCs w:val="24"/>
              </w:rPr>
            </w:pPr>
            <w:r w:rsidRPr="00A514B5">
              <w:rPr>
                <w:b/>
                <w:i/>
              </w:rPr>
              <w:t>2 quinquies)</w:t>
            </w:r>
            <w:r w:rsidRPr="00A514B5">
              <w:rPr>
                <w:b/>
                <w:i/>
              </w:rPr>
              <w:tab/>
              <w:t>Artikel 48 wordt geschrapt.</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sexies (nieuw)</w:t>
      </w:r>
      <w:r w:rsidRPr="00A514B5">
        <w:rPr>
          <w:rStyle w:val="HideTWBExt"/>
          <w:b w:val="0"/>
        </w:rPr>
        <w:t>&lt;/Article&gt;</w:t>
      </w:r>
    </w:p>
    <w:p w:rsidR="0049599D" w:rsidRPr="00A514B5" w:rsidRDefault="00B71BA7" w:rsidP="0049599D">
      <w:pPr>
        <w:keepNext/>
      </w:pPr>
      <w:r w:rsidRPr="00A514B5">
        <w:rPr>
          <w:rStyle w:val="HideTWBExt"/>
        </w:rPr>
        <w:lastRenderedPageBreak/>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49</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 sexies)</w:t>
            </w:r>
            <w:r w:rsidRPr="00A514B5">
              <w:rPr>
                <w:b/>
                <w:i/>
              </w:rPr>
              <w:tab/>
              <w:t>Artikel 49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49</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Opnamen van de kooiverrichting met controlecamera’s en kooiverklaringen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Voor kwekerijen verantwoordelijke lidstaten zien erop toe dat kooiverrichtingen worden gemonitord door hun controleautoriteiten met behulp van conventionele en stereoscopische camera’s. Van elke verrichting worden videobeelden gemaakt overeenkomstig de in bijlage X vastgestelde procedures.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Indien de kwaliteit van de videobeelden van de controlecamera aan de hand waarvan het aantal en/of het gewicht van de gekooide blauwvintonijn wordt bepaald, niet voldoet aan de minimumnormen van bijlage X, gelast de bevoegde autoriteit van de lidstaat een controlekooiing totdat het mogelijk is het aantal en/of het gewicht vast te stellen. Voor de herhaling van de kooiverrichting hoeft geen nieuwe toestemming om te kooien te worden verleend.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In het geval van controlekooiing ziet de bevoegde autoriteit van de kwekerijlidstaat erop toe dat de overhevelende kweekkooi wordt verzegeld en dat de kooi niet kan worden gemanipuleerd voorafgaand aan de nieuwe kooiverrichting. De bij de controlekooiing gebruikte ontvangende kweekkooien zijn leeg.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Bij de voltooiing van de kooiverrichting ziet de bevoegde autoriteit van de kwekerijlidstaat erop toe dat de regionale Iccat-waarnemer onmiddellijke toegang heeft tot alle stereoscopische en conventionele camerabeelden, en er een </w:t>
            </w:r>
            <w:r w:rsidRPr="00A514B5">
              <w:rPr>
                <w:b/>
                <w:i/>
              </w:rPr>
              <w:lastRenderedPageBreak/>
              <w:t>kopie van mag maken indien hij voornemens is de hem opgedragen analyse op een later tijdstip of elders af te ronden.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Voor kwekerijen verantwoordelijke lidstaten zien erop toe dat de exploitant van de kwekerij voor elke kooiverrichting binnen één week nadat de kooiverrichting heeft plaatsgevonden een kooiverklaring indient, met gebruikmaking van het formulier in bijlage XIV.”;</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69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septies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50</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2 septies)</w:t>
            </w:r>
            <w:r w:rsidRPr="00A514B5">
              <w:rPr>
                <w:b/>
                <w:i/>
              </w:rPr>
              <w:tab/>
              <w:t>Artikel 50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50</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Instelling en uitvoering van onderzoeken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 xml:space="preserve">Wanneer voor één vangstverrichting het aantal blauwvintonijnen dat volgens de mededeling van de bevoegde autoriteit van de kwekerijlidstaat overeenkomstig artikel 50, lid 2, wordt gekooid, met meer dan 10 % verschilt van de in de ITD of het eBCD als gevangen en/of overgehevelde gemelde hoeveelheden, leidt de bevoegde autoriteit van de vangst-, vlaggen- of tonnaralidstaat een onderzoek in om het juiste vangstgewicht te bepalen dat in </w:t>
            </w:r>
            <w:r w:rsidRPr="00A514B5">
              <w:rPr>
                <w:b/>
                <w:i/>
              </w:rPr>
              <w:lastRenderedPageBreak/>
              <w:t>mindering wordt gebracht op het nationale quotum voor blauwvintonijn. Ter ondersteuning van dit onderzoek vraagt de bevoegde autoriteit van de vangst-, vlaggen- of tonnaralidstaat om alle aanvullende informatie en de resultaten van de relevante analyse van de videobeelden die is uitgevoerd door de bevoegde autoriteit van de vlaggen- en de kwekerijlidstaat die betrokken was bij het vervoer en de kooiverrichting in kwestie. Alle bevoegde autoriteiten, met inbegrip van die waarvan de vaartuigen betrokken waren bij het vervoer van de vis, werken actief samen, onder meer door de uitwisseling van alle informatie en documentatie waarover zij beschikken. De bevoegde autoriteit van de vangst-, vlaggen- of tonnaralidstaat rondt het onderzoek binnen één maand na de mededeling van de kooiresultaten door de bevoegde autoriteit van de kwekerijlidstaat af. Een verschil van meer dan 10 % tussen het door het vaartuig of de tonnara in kwestie als gevangen gemelde aantal en het door de bevoegde autoriteit van de vangst-, vlaggen- of tonnaralidstaat ingevolge het onderzoek vastgestelde aantal vormt een mogelijke niet-naleving van het vaartuig of de tonnara in kwestie.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in lid 1 bedoelde foutenmarge van 10 % wordt uitgedrukt als een percentage van de door de kapitein van het vissersvaartuig of de vertegenwoordiger van de tonnara gemelde cijfers en geldt voor de specifieke kooiverrichting.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3.</w:t>
            </w:r>
            <w:r w:rsidRPr="00A514B5">
              <w:rPr>
                <w:b/>
                <w:i/>
              </w:rPr>
              <w:tab/>
              <w:t xml:space="preserve">De vangst-, vlaggen- of tonnaralidstaat bepaalt het gewicht van de blauwvintonijn dat in mindering moet worden gebracht op zijn nationale quotum, rekening houdende met de gekooide hoeveelheden, berekend overeenkomstig de bepalingen van bijlage XI, om ervoor te zorgen dat het gewicht bij het kooien wordt berekend op </w:t>
            </w:r>
            <w:r w:rsidRPr="00A514B5">
              <w:rPr>
                <w:b/>
                <w:i/>
              </w:rPr>
              <w:lastRenderedPageBreak/>
              <w:t>basis van de lengte-gewichtverhouding voor wilde vis, en de gemelde sterftegevallen, overeenkomstig bijlage XIII.</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Indien uit het in lid 1 bedoelde onderzoek blijkt dat er blauwvintonijnen ontbreken in de zin van lid 2 van bijlage XIII, wordt het gewicht van de ontbrekende vis in mindering gebracht op het nationale quotum overeenkomstig bijlage XIII, door het door de bevoegde autoriteit van de kwekerijlidstaat medegedeelde gemiddelde individuele gewicht bij het kooien toe te passen op het aantal blauwvintonijnen in de vangst als bepaald door de bevoegde autoriteit van de vlaggen- of tonnaralidstaat ingevolge zijn analyse van de videobeelden van de eerste overheveling in het kader van het onderzoek.</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Niettegenstaande lid 4 kan de vlaggen- of tonnaralidstaat na raadpleging van de bij het vervoer van de vis naar de kwekerij van bestemming betrokken lidstaat besluiten de vis waarvan in het onderzoek is vastgesteld dat deze verloren is gegaan niet in mindering te brengen op het nationale quotum, wanneer de verliezen door de exploitant naar behoren zijn geboekstaafd als “overmacht” (d.w.z., met foto’s van de beschadigde kooi, meteorologische rapporten), de relevante informatie onmiddellijk na het gebeurde is medegedeeld aan de bevoegde autoriteit van zijn lidstaat en de verliezen voor zover bekend niet tot sterftegevallen hebben geleid.”;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lastRenderedPageBreak/>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octies (nieuw)</w:t>
      </w:r>
      <w:r w:rsidRPr="00A514B5">
        <w:rPr>
          <w:rStyle w:val="HideTWBExt"/>
          <w:b w:val="0"/>
        </w:rPr>
        <w:t>&lt;/Article&gt;</w:t>
      </w:r>
    </w:p>
    <w:p w:rsidR="00D22A4F" w:rsidRPr="00A514B5" w:rsidRDefault="00B71BA7" w:rsidP="00D22A4F">
      <w:pPr>
        <w:keepNext/>
      </w:pPr>
      <w:r w:rsidRPr="00A514B5">
        <w:rPr>
          <w:rStyle w:val="HideTWBExt"/>
        </w:rPr>
        <w:t>&lt;DocAmend2&gt;</w:t>
      </w:r>
      <w:r w:rsidRPr="00A514B5">
        <w:t>Verordening (EU) 2023/XX</w:t>
      </w:r>
      <w:r w:rsidRPr="00A514B5">
        <w:rPr>
          <w:rStyle w:val="HideTWBExt"/>
        </w:rPr>
        <w:t>&lt;/DocAmend2&gt;</w:t>
      </w:r>
    </w:p>
    <w:p w:rsidR="00D22A4F" w:rsidRPr="00A514B5" w:rsidRDefault="00B71BA7" w:rsidP="00D22A4F">
      <w:pPr>
        <w:pStyle w:val="NormalBold"/>
        <w:rPr>
          <w:b w:val="0"/>
        </w:rPr>
      </w:pPr>
      <w:r w:rsidRPr="00A514B5">
        <w:rPr>
          <w:rStyle w:val="HideTWBExt"/>
          <w:b w:val="0"/>
        </w:rPr>
        <w:t>&lt;Article2&gt;</w:t>
      </w:r>
      <w:r w:rsidRPr="00A514B5">
        <w:rPr>
          <w:b w:val="0"/>
        </w:rPr>
        <w:t>Artikel 51</w:t>
      </w:r>
      <w:r w:rsidRPr="00A514B5">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A31D6F">
        <w:trPr>
          <w:jc w:val="center"/>
        </w:trPr>
        <w:tc>
          <w:tcPr>
            <w:tcW w:w="9752" w:type="dxa"/>
            <w:gridSpan w:val="2"/>
          </w:tcPr>
          <w:p w:rsidR="0049599D" w:rsidRPr="00A514B5" w:rsidRDefault="0049599D" w:rsidP="004B110E">
            <w:pPr>
              <w:keepNext/>
            </w:pPr>
          </w:p>
        </w:tc>
      </w:tr>
      <w:tr w:rsidR="00B9071D" w:rsidRPr="00A514B5" w:rsidTr="00A31D6F">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2 octies)</w:t>
            </w:r>
            <w:r w:rsidRPr="00A514B5">
              <w:rPr>
                <w:b/>
                <w:i/>
              </w:rPr>
              <w:tab/>
              <w:t>Artikel 51 wordt als volgt gewijzigd:</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de titel wordt vervangen door: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51</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Maatregelen en programma’s ter raming van het aantal en het gewicht van de te kooien blauwvintonijn”;</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lid 1 wordt vervangen door:</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 xml:space="preserve">De bevoegde autoriteit van de kwekerijlidstaat bepaalt het aantal en het gewicht van de blauwvintonijn die wordt gekooid, door de door de exploitant van de kwekerij verstrekte videobeelden van elke kooiverrichting te analyseren. De autoriteiten voeren de analyse uit aan de hand van de in bijlage XIV vastgestelde procedures. Wanneer het verschil tussen het door de bevoegde autoriteit van de kwekerij-CPC bepaalde aantal en/of gewicht en de overeenkomstige in de kooiverklaring gemelde cijfers meer dan 10 % bedraagt, stelt de bevoegde autoriteit van de kwekerijlidstaat een onderzoek in om de redenen voor het verschil te achterhalen en past zij het aantal en/of het gewicht van de gekooide vis dienovereenkomstig aan. De bovengenoemde foutenmarge van 10 % wordt uitgedrukt als een percentage van de cijfers van de exploitant van de kwekerij. Na de voltooiing van een kooiverrichting of, in het geval van een gezamenlijke visserijactiviteit of tonnara’s van een en dezelfde EU-lidstaat, van de laatste kooiverrichting in verband met die </w:t>
            </w:r>
            <w:r w:rsidRPr="00A514B5">
              <w:rPr>
                <w:b/>
                <w:i/>
              </w:rPr>
              <w:lastRenderedPageBreak/>
              <w:t>gezamenlijke visserijactiviteit of tonnara’s, delen de voor de kwekerij verantwoordelijke lidstaten de resultaten van dit programma mede aan de lidstaat of CPC die verantwoordelijk is voor de vangstvaartuigen of de tonnara overeenkomstig bijlage XI, punt 2, onder a) en b).”;</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c)</w:t>
            </w:r>
            <w:r w:rsidRPr="00A514B5">
              <w:rPr>
                <w:b/>
                <w:i/>
              </w:rPr>
              <w:tab/>
              <w:t>de volgende leden worden toegevoegd:</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 bis.</w:t>
            </w:r>
            <w:r w:rsidRPr="00A514B5">
              <w:rPr>
                <w:b/>
                <w:i/>
              </w:rPr>
              <w:tab/>
              <w:t>Elke voor kwekerijen verantwoordelijke lidstaat dient de procedures en resultaten in verband met het programma waarbij gebruik wordt gemaakt van stereoscopische camera’s (of alternatieve methoden) uiterlijk op 30 september bij de Commissie in, die uiterlijk op 31 oktober van elk jaar moeten worden doorgezonden naar het SCRS.</w:t>
            </w:r>
          </w:p>
        </w:tc>
      </w:tr>
      <w:tr w:rsidR="00B9071D" w:rsidRPr="00A514B5" w:rsidTr="00A31D6F">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 ter.</w:t>
            </w:r>
            <w:r w:rsidRPr="00A514B5">
              <w:rPr>
                <w:b/>
                <w:i/>
              </w:rPr>
              <w:tab/>
              <w:t>Alle blauwvintonijnen die overlijden tijdens een kooiverrichting worden gerapporteerd door de exploitant van de kwekerij, overeenkomstig de in bijlage XIII vastgestelde procedures.”;</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71</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nonies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52</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 nonies)</w:t>
            </w:r>
            <w:r w:rsidRPr="00A514B5">
              <w:rPr>
                <w:b/>
                <w:i/>
              </w:rPr>
              <w:tab/>
              <w:t>Artikel 52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52</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Vrijlatingen in verband met kooiverrichtingen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Welke vis wordt vrijgelaten, wordt bepaald overeenkomstig de bepalingen van bijlage XI, lid 4. Indien het gewicht van de blauwvintonijn die wordt gekooid, groter is dan als gevangen en/of overgeheveld aangegeven, vaardigt de bevoegde autoriteit van de vangst-, vlaggen- of tonnara-CPC een vrijlatingsbevel uit en deelt zij dit onverwijld mede aan de bevoegde autoriteit van de kwekerij-CPC in kwestie. Bij het vrijlatingsbevel worden de bepalingen van bijlage IX, lid 4, gevolgd, rekening houdende met de mogelijke compensatie op het niveau van de gezamenlijke visserijactiviteit of de tonnara, overeenkomstig bijlage IX, lid 5. De vrijlatingsverrichting wordt uitgevoerd overeenkomstig het in bijlage XII vastgestelde protocol.”;</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AF0449" w:rsidRPr="00A514B5" w:rsidRDefault="00B71BA7" w:rsidP="00AF0449">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72</w:t>
      </w:r>
      <w:r w:rsidRPr="00A514B5">
        <w:rPr>
          <w:rStyle w:val="HideTWBExt"/>
          <w:b w:val="0"/>
        </w:rPr>
        <w:t>&lt;/NumAm&gt;</w:t>
      </w:r>
    </w:p>
    <w:p w:rsidR="00AF0449" w:rsidRPr="00A514B5" w:rsidRDefault="00B71BA7" w:rsidP="00AF0449">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F717E6" w:rsidRPr="00A514B5" w:rsidRDefault="00B71BA7" w:rsidP="00F717E6">
      <w:pPr>
        <w:pStyle w:val="AMNumberTabs0"/>
        <w:keepNext/>
        <w:spacing w:before="0"/>
      </w:pPr>
      <w:r w:rsidRPr="00A514B5">
        <w:rPr>
          <w:rStyle w:val="HideTWBExt"/>
          <w:b w:val="0"/>
        </w:rPr>
        <w:t>&lt;Article&gt;</w:t>
      </w:r>
      <w:r w:rsidRPr="00A514B5">
        <w:t>Artikel 2 – alinea 1 – punt 2 decies (nieuw)</w:t>
      </w:r>
      <w:r w:rsidRPr="00A514B5">
        <w:rPr>
          <w:rStyle w:val="HideTWBExt"/>
          <w:b w:val="0"/>
        </w:rPr>
        <w:t>&lt;/Article&gt;</w:t>
      </w:r>
    </w:p>
    <w:p w:rsidR="00AF0449" w:rsidRPr="00A514B5" w:rsidRDefault="00B71BA7" w:rsidP="00AF0449">
      <w:pPr>
        <w:keepNext/>
      </w:pPr>
      <w:r w:rsidRPr="00A514B5">
        <w:rPr>
          <w:rStyle w:val="HideTWBExt"/>
        </w:rPr>
        <w:t>&lt;DocAmend2&gt;</w:t>
      </w:r>
      <w:r w:rsidRPr="00A514B5">
        <w:t>Verordening (EU) 2023/XX</w:t>
      </w:r>
      <w:r w:rsidRPr="00A514B5">
        <w:rPr>
          <w:rStyle w:val="HideTWBExt"/>
        </w:rPr>
        <w:t>&lt;/DocAmend2&gt;</w:t>
      </w:r>
    </w:p>
    <w:p w:rsidR="00AF0449" w:rsidRPr="00A514B5" w:rsidRDefault="00B71BA7" w:rsidP="00A31D6F">
      <w:r w:rsidRPr="00A514B5">
        <w:rPr>
          <w:rStyle w:val="HideTWBExt"/>
        </w:rPr>
        <w:t>&lt;Article2&gt;</w:t>
      </w:r>
      <w:r w:rsidRPr="00A514B5">
        <w:t>Artikel 53</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618C2">
        <w:trPr>
          <w:jc w:val="center"/>
        </w:trPr>
        <w:tc>
          <w:tcPr>
            <w:tcW w:w="9752" w:type="dxa"/>
            <w:gridSpan w:val="2"/>
          </w:tcPr>
          <w:p w:rsidR="00AF0449" w:rsidRPr="00A514B5" w:rsidRDefault="00AF0449" w:rsidP="00D618C2">
            <w:pPr>
              <w:keepNext/>
            </w:pPr>
          </w:p>
        </w:tc>
      </w:tr>
      <w:tr w:rsidR="00B9071D" w:rsidRPr="00A514B5" w:rsidTr="00D618C2">
        <w:trPr>
          <w:jc w:val="center"/>
        </w:trPr>
        <w:tc>
          <w:tcPr>
            <w:tcW w:w="4876" w:type="dxa"/>
          </w:tcPr>
          <w:p w:rsidR="00AF0449" w:rsidRPr="00A514B5" w:rsidRDefault="00B71BA7" w:rsidP="00D618C2">
            <w:pPr>
              <w:pStyle w:val="ColumnHeading"/>
              <w:keepNext/>
            </w:pPr>
            <w:r w:rsidRPr="00A514B5">
              <w:t>Bestaande tekst</w:t>
            </w:r>
          </w:p>
        </w:tc>
        <w:tc>
          <w:tcPr>
            <w:tcW w:w="4876" w:type="dxa"/>
          </w:tcPr>
          <w:p w:rsidR="00AF0449" w:rsidRPr="00A514B5" w:rsidRDefault="00B71BA7" w:rsidP="00D618C2">
            <w:pPr>
              <w:pStyle w:val="ColumnHeading"/>
              <w:keepNext/>
            </w:pPr>
            <w:r w:rsidRPr="00A514B5">
              <w:t>Amendement</w:t>
            </w:r>
          </w:p>
        </w:tc>
      </w:tr>
      <w:tr w:rsidR="00B9071D" w:rsidRPr="00A514B5" w:rsidTr="00D618C2">
        <w:trPr>
          <w:jc w:val="center"/>
        </w:trPr>
        <w:tc>
          <w:tcPr>
            <w:tcW w:w="4876" w:type="dxa"/>
          </w:tcPr>
          <w:p w:rsidR="00AF0449" w:rsidRPr="00A514B5" w:rsidRDefault="00AF0449" w:rsidP="00D618C2">
            <w:pPr>
              <w:pStyle w:val="Normal6"/>
            </w:pPr>
          </w:p>
        </w:tc>
        <w:tc>
          <w:tcPr>
            <w:tcW w:w="4876" w:type="dxa"/>
          </w:tcPr>
          <w:p w:rsidR="00AF0449" w:rsidRPr="00A514B5" w:rsidRDefault="00B71BA7" w:rsidP="004D3CA0">
            <w:pPr>
              <w:pStyle w:val="Normal6"/>
              <w:rPr>
                <w:szCs w:val="24"/>
              </w:rPr>
            </w:pPr>
            <w:r w:rsidRPr="00A514B5">
              <w:rPr>
                <w:b/>
                <w:i/>
              </w:rPr>
              <w:t>2 decies)</w:t>
            </w:r>
            <w:r w:rsidRPr="00A514B5">
              <w:rPr>
                <w:b/>
                <w:i/>
              </w:rPr>
              <w:tab/>
              <w:t>Artikel 53 wordt geschrapt.</w:t>
            </w:r>
          </w:p>
        </w:tc>
      </w:tr>
    </w:tbl>
    <w:p w:rsidR="00AF0449" w:rsidRPr="00A514B5" w:rsidRDefault="00B71BA7" w:rsidP="00AF0449">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AF0449" w:rsidRPr="00A514B5" w:rsidRDefault="00B71BA7" w:rsidP="00AF0449">
      <w:pPr>
        <w:pStyle w:val="JustificationTitle"/>
        <w:rPr>
          <w:noProof w:val="0"/>
        </w:rPr>
      </w:pPr>
      <w:r w:rsidRPr="00A514B5">
        <w:rPr>
          <w:rStyle w:val="HideTWBExt"/>
          <w:i w:val="0"/>
        </w:rPr>
        <w:lastRenderedPageBreak/>
        <w:t>&lt;TitreJust&gt;</w:t>
      </w:r>
      <w:r w:rsidRPr="00A514B5">
        <w:t>Motivering</w:t>
      </w:r>
      <w:r w:rsidRPr="00A514B5">
        <w:rPr>
          <w:rStyle w:val="HideTWBExt"/>
          <w:i w:val="0"/>
        </w:rPr>
        <w:t>&lt;/TitreJust&gt;</w:t>
      </w:r>
    </w:p>
    <w:p w:rsidR="00AF0449" w:rsidRPr="00A514B5" w:rsidRDefault="00B71BA7" w:rsidP="00AF0449">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AF0449" w:rsidRPr="00A514B5" w:rsidRDefault="00B71BA7" w:rsidP="00AF0449">
      <w:r w:rsidRPr="00A514B5">
        <w:rPr>
          <w:rStyle w:val="HideTWBExt"/>
        </w:rPr>
        <w:t>&lt;/Amend&gt;</w:t>
      </w:r>
    </w:p>
    <w:p w:rsidR="00AF0449" w:rsidRPr="00A514B5" w:rsidRDefault="00B71BA7" w:rsidP="00AF0449">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73</w:t>
      </w:r>
      <w:r w:rsidRPr="00A514B5">
        <w:rPr>
          <w:rStyle w:val="HideTWBExt"/>
          <w:b w:val="0"/>
        </w:rPr>
        <w:t>&lt;/NumAm&gt;</w:t>
      </w:r>
    </w:p>
    <w:p w:rsidR="00AF0449" w:rsidRPr="00A514B5" w:rsidRDefault="00B71BA7" w:rsidP="00AF0449">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F717E6" w:rsidRPr="00A514B5" w:rsidRDefault="00B71BA7" w:rsidP="00F717E6">
      <w:pPr>
        <w:pStyle w:val="AMNumberTabs0"/>
        <w:keepNext/>
        <w:spacing w:before="0"/>
      </w:pPr>
      <w:r w:rsidRPr="00A514B5">
        <w:rPr>
          <w:rStyle w:val="HideTWBExt"/>
          <w:b w:val="0"/>
        </w:rPr>
        <w:t>&lt;Article&gt;</w:t>
      </w:r>
      <w:r w:rsidRPr="00A514B5">
        <w:t>Artikel 2 – alinea 1 – punt 2 undecies (nieuw)</w:t>
      </w:r>
      <w:r w:rsidRPr="00A514B5">
        <w:rPr>
          <w:rStyle w:val="HideTWBExt"/>
          <w:b w:val="0"/>
        </w:rPr>
        <w:t>&lt;/Article&gt;</w:t>
      </w:r>
    </w:p>
    <w:p w:rsidR="00AF0449" w:rsidRPr="00A514B5" w:rsidRDefault="00B71BA7" w:rsidP="00AF0449">
      <w:pPr>
        <w:keepNext/>
      </w:pPr>
      <w:r w:rsidRPr="00A514B5">
        <w:rPr>
          <w:rStyle w:val="HideTWBExt"/>
        </w:rPr>
        <w:t>&lt;DocAmend2&gt;</w:t>
      </w:r>
      <w:r w:rsidRPr="00A514B5">
        <w:t>Verordening (EU) 2023/XX</w:t>
      </w:r>
      <w:r w:rsidRPr="00A514B5">
        <w:rPr>
          <w:rStyle w:val="HideTWBExt"/>
        </w:rPr>
        <w:t>&lt;/DocAmend2&gt;</w:t>
      </w:r>
    </w:p>
    <w:p w:rsidR="00AF0449" w:rsidRPr="00A514B5" w:rsidRDefault="00B71BA7" w:rsidP="00A31D6F">
      <w:r w:rsidRPr="00A514B5">
        <w:rPr>
          <w:rStyle w:val="HideTWBExt"/>
        </w:rPr>
        <w:t>&lt;Article2&gt;</w:t>
      </w:r>
      <w:r w:rsidRPr="00A514B5">
        <w:t>Artikel 54</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618C2">
        <w:trPr>
          <w:jc w:val="center"/>
        </w:trPr>
        <w:tc>
          <w:tcPr>
            <w:tcW w:w="9752" w:type="dxa"/>
            <w:gridSpan w:val="2"/>
          </w:tcPr>
          <w:p w:rsidR="00AF0449" w:rsidRPr="00A514B5" w:rsidRDefault="00AF0449" w:rsidP="00D618C2">
            <w:pPr>
              <w:keepNext/>
            </w:pPr>
          </w:p>
        </w:tc>
      </w:tr>
      <w:tr w:rsidR="00B9071D" w:rsidRPr="00A514B5" w:rsidTr="00D618C2">
        <w:trPr>
          <w:jc w:val="center"/>
        </w:trPr>
        <w:tc>
          <w:tcPr>
            <w:tcW w:w="4876" w:type="dxa"/>
          </w:tcPr>
          <w:p w:rsidR="00AF0449" w:rsidRPr="00A514B5" w:rsidRDefault="00B71BA7" w:rsidP="00D618C2">
            <w:pPr>
              <w:pStyle w:val="ColumnHeading"/>
              <w:keepNext/>
            </w:pPr>
            <w:r w:rsidRPr="00A514B5">
              <w:t>Bestaande tekst</w:t>
            </w:r>
          </w:p>
        </w:tc>
        <w:tc>
          <w:tcPr>
            <w:tcW w:w="4876" w:type="dxa"/>
          </w:tcPr>
          <w:p w:rsidR="00AF0449" w:rsidRPr="00A514B5" w:rsidRDefault="00B71BA7" w:rsidP="00D618C2">
            <w:pPr>
              <w:pStyle w:val="ColumnHeading"/>
              <w:keepNext/>
            </w:pPr>
            <w:r w:rsidRPr="00A514B5">
              <w:t>Amendement</w:t>
            </w:r>
          </w:p>
        </w:tc>
      </w:tr>
      <w:tr w:rsidR="00B9071D" w:rsidRPr="00A514B5" w:rsidTr="00D618C2">
        <w:trPr>
          <w:jc w:val="center"/>
        </w:trPr>
        <w:tc>
          <w:tcPr>
            <w:tcW w:w="4876" w:type="dxa"/>
          </w:tcPr>
          <w:p w:rsidR="00AF0449" w:rsidRPr="00A514B5" w:rsidRDefault="00AF0449" w:rsidP="00D618C2">
            <w:pPr>
              <w:pStyle w:val="Normal6"/>
            </w:pPr>
          </w:p>
        </w:tc>
        <w:tc>
          <w:tcPr>
            <w:tcW w:w="4876" w:type="dxa"/>
          </w:tcPr>
          <w:p w:rsidR="00AF0449" w:rsidRPr="00A514B5" w:rsidRDefault="00B71BA7" w:rsidP="004D3CA0">
            <w:pPr>
              <w:pStyle w:val="Normal6"/>
              <w:rPr>
                <w:szCs w:val="24"/>
              </w:rPr>
            </w:pPr>
            <w:r w:rsidRPr="00A514B5">
              <w:rPr>
                <w:b/>
                <w:i/>
              </w:rPr>
              <w:t>2 undecies)</w:t>
            </w:r>
            <w:r w:rsidRPr="00A514B5">
              <w:rPr>
                <w:b/>
                <w:i/>
              </w:rPr>
              <w:tab/>
              <w:t>Artikel 54 wordt geschrapt.</w:t>
            </w:r>
          </w:p>
        </w:tc>
      </w:tr>
    </w:tbl>
    <w:p w:rsidR="00AF0449" w:rsidRPr="00A514B5" w:rsidRDefault="00B71BA7" w:rsidP="00AF0449">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AF0449" w:rsidRPr="00A514B5" w:rsidRDefault="00B71BA7" w:rsidP="00AF0449">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AF0449" w:rsidRPr="00A514B5" w:rsidRDefault="00B71BA7" w:rsidP="00AF0449">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AF0449" w:rsidRPr="00A514B5" w:rsidRDefault="00B71BA7" w:rsidP="00AF0449">
      <w:r w:rsidRPr="00A514B5">
        <w:rPr>
          <w:rStyle w:val="HideTWBExt"/>
        </w:rPr>
        <w:t>&lt;/Amend&gt;</w:t>
      </w:r>
    </w:p>
    <w:p w:rsidR="00AF0449" w:rsidRPr="00A514B5" w:rsidRDefault="00B71BA7" w:rsidP="00AF0449">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74</w:t>
      </w:r>
      <w:r w:rsidRPr="00A514B5">
        <w:rPr>
          <w:rStyle w:val="HideTWBExt"/>
          <w:b w:val="0"/>
        </w:rPr>
        <w:t>&lt;/NumAm&gt;</w:t>
      </w:r>
    </w:p>
    <w:p w:rsidR="00AF0449" w:rsidRPr="00A514B5" w:rsidRDefault="00B71BA7" w:rsidP="00AF0449">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F717E6" w:rsidRPr="00A514B5" w:rsidRDefault="00B71BA7" w:rsidP="00F717E6">
      <w:pPr>
        <w:pStyle w:val="AMNumberTabs0"/>
        <w:keepNext/>
        <w:spacing w:before="0"/>
      </w:pPr>
      <w:r w:rsidRPr="00A514B5">
        <w:rPr>
          <w:rStyle w:val="HideTWBExt"/>
          <w:b w:val="0"/>
        </w:rPr>
        <w:t>&lt;Article&gt;</w:t>
      </w:r>
      <w:r w:rsidRPr="00A514B5">
        <w:t>Artikel 2 – alinea 1 – punt 2 duodecies (nieuw)</w:t>
      </w:r>
      <w:r w:rsidRPr="00A514B5">
        <w:rPr>
          <w:rStyle w:val="HideTWBExt"/>
          <w:b w:val="0"/>
        </w:rPr>
        <w:t>&lt;/Article&gt;</w:t>
      </w:r>
    </w:p>
    <w:p w:rsidR="00AF0449" w:rsidRPr="00A514B5" w:rsidRDefault="00B71BA7" w:rsidP="00AF0449">
      <w:pPr>
        <w:keepNext/>
      </w:pPr>
      <w:r w:rsidRPr="00A514B5">
        <w:rPr>
          <w:rStyle w:val="HideTWBExt"/>
        </w:rPr>
        <w:t>&lt;DocAmend2&gt;</w:t>
      </w:r>
      <w:r w:rsidRPr="00A514B5">
        <w:t>Verordening (EU) 2023/XX</w:t>
      </w:r>
      <w:r w:rsidRPr="00A514B5">
        <w:rPr>
          <w:rStyle w:val="HideTWBExt"/>
        </w:rPr>
        <w:t>&lt;/DocAmend2&gt;</w:t>
      </w:r>
    </w:p>
    <w:p w:rsidR="00AF0449" w:rsidRPr="00A514B5" w:rsidRDefault="00B71BA7" w:rsidP="00A31D6F">
      <w:r w:rsidRPr="00A514B5">
        <w:rPr>
          <w:rStyle w:val="HideTWBExt"/>
        </w:rPr>
        <w:t>&lt;Article2&gt;</w:t>
      </w:r>
      <w:r w:rsidRPr="00A514B5">
        <w:t>Artikel 55</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D618C2">
        <w:trPr>
          <w:jc w:val="center"/>
        </w:trPr>
        <w:tc>
          <w:tcPr>
            <w:tcW w:w="9752" w:type="dxa"/>
            <w:gridSpan w:val="2"/>
          </w:tcPr>
          <w:p w:rsidR="00AF0449" w:rsidRPr="00A514B5" w:rsidRDefault="00AF0449" w:rsidP="00D618C2">
            <w:pPr>
              <w:keepNext/>
            </w:pPr>
          </w:p>
        </w:tc>
      </w:tr>
      <w:tr w:rsidR="00B9071D" w:rsidRPr="00A514B5" w:rsidTr="00D618C2">
        <w:trPr>
          <w:jc w:val="center"/>
        </w:trPr>
        <w:tc>
          <w:tcPr>
            <w:tcW w:w="4876" w:type="dxa"/>
          </w:tcPr>
          <w:p w:rsidR="00AF0449" w:rsidRPr="00A514B5" w:rsidRDefault="00B71BA7" w:rsidP="00D618C2">
            <w:pPr>
              <w:pStyle w:val="ColumnHeading"/>
              <w:keepNext/>
            </w:pPr>
            <w:r w:rsidRPr="00A514B5">
              <w:t>Bestaande tekst</w:t>
            </w:r>
          </w:p>
        </w:tc>
        <w:tc>
          <w:tcPr>
            <w:tcW w:w="4876" w:type="dxa"/>
          </w:tcPr>
          <w:p w:rsidR="00AF0449" w:rsidRPr="00A514B5" w:rsidRDefault="00B71BA7" w:rsidP="00D618C2">
            <w:pPr>
              <w:pStyle w:val="ColumnHeading"/>
              <w:keepNext/>
            </w:pPr>
            <w:r w:rsidRPr="00A514B5">
              <w:t>Amendement</w:t>
            </w:r>
          </w:p>
        </w:tc>
      </w:tr>
      <w:tr w:rsidR="00B9071D" w:rsidRPr="00A514B5" w:rsidTr="00D618C2">
        <w:trPr>
          <w:jc w:val="center"/>
        </w:trPr>
        <w:tc>
          <w:tcPr>
            <w:tcW w:w="4876" w:type="dxa"/>
          </w:tcPr>
          <w:p w:rsidR="00AF0449" w:rsidRPr="00A514B5" w:rsidRDefault="00AF0449" w:rsidP="00D618C2">
            <w:pPr>
              <w:pStyle w:val="Normal6"/>
            </w:pPr>
          </w:p>
        </w:tc>
        <w:tc>
          <w:tcPr>
            <w:tcW w:w="4876" w:type="dxa"/>
          </w:tcPr>
          <w:p w:rsidR="00AF0449" w:rsidRPr="00A514B5" w:rsidRDefault="00B71BA7" w:rsidP="004D3CA0">
            <w:pPr>
              <w:pStyle w:val="Normal6"/>
              <w:rPr>
                <w:szCs w:val="24"/>
              </w:rPr>
            </w:pPr>
            <w:r w:rsidRPr="00A514B5">
              <w:rPr>
                <w:b/>
                <w:i/>
              </w:rPr>
              <w:t>2 duodecies)</w:t>
            </w:r>
            <w:r w:rsidRPr="00A514B5">
              <w:rPr>
                <w:b/>
                <w:i/>
              </w:rPr>
              <w:tab/>
              <w:t>Artikel 55 wordt geschrapt.</w:t>
            </w:r>
          </w:p>
        </w:tc>
      </w:tr>
    </w:tbl>
    <w:p w:rsidR="00AF0449" w:rsidRPr="00A514B5" w:rsidRDefault="00B71BA7" w:rsidP="00AF0449">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AF0449" w:rsidRPr="00A514B5" w:rsidRDefault="00B71BA7" w:rsidP="00AF0449">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AF0449" w:rsidRPr="00A514B5" w:rsidRDefault="00B71BA7" w:rsidP="00AF0449">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AF0449" w:rsidRPr="00A514B5" w:rsidRDefault="00B71BA7" w:rsidP="00AF0449">
      <w:r w:rsidRPr="00A514B5">
        <w:rPr>
          <w:rStyle w:val="HideTWBExt"/>
        </w:rPr>
        <w:t>&lt;/Amend&gt;</w:t>
      </w:r>
    </w:p>
    <w:p w:rsidR="0049599D" w:rsidRPr="00A514B5" w:rsidRDefault="00B71BA7" w:rsidP="0049599D">
      <w:pPr>
        <w:pStyle w:val="AMNumberTabs0"/>
        <w:keepNext/>
      </w:pPr>
      <w:r w:rsidRPr="00A514B5">
        <w:rPr>
          <w:rStyle w:val="HideTWBExt"/>
          <w:b w:val="0"/>
        </w:rPr>
        <w:lastRenderedPageBreak/>
        <w:t>&lt;Amend&gt;</w:t>
      </w:r>
      <w:r w:rsidRPr="00A514B5">
        <w:t>Amendement</w:t>
      </w:r>
      <w:r w:rsidRPr="00A514B5">
        <w:tab/>
      </w:r>
      <w:r w:rsidRPr="00A514B5">
        <w:tab/>
      </w:r>
      <w:r w:rsidRPr="00A514B5">
        <w:rPr>
          <w:rStyle w:val="HideTWBExt"/>
          <w:b w:val="0"/>
        </w:rPr>
        <w:t>&lt;NumAm&gt;</w:t>
      </w:r>
      <w:r w:rsidRPr="00A514B5">
        <w:t>75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terdecies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Afdeling 7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terdecies)</w:t>
            </w:r>
            <w:r w:rsidRPr="00A514B5">
              <w:rPr>
                <w:b/>
                <w:i/>
              </w:rPr>
              <w:tab/>
              <w:t>De volgende afdeling wordt toegevoegd: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“AFDELING 7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OOGST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56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Oogstverrichtingen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Verwerkingsvaartuigen die voornemens zijn activiteiten te verrichten op kwekerijen of bij tonnara’s zenden ten minste 48 uur voor de aankomst van het vaartuig in het gebied van de kwekerij of de tonnara een kennisgeving vooraf aan de kwekerij- of tonnaralidstaat. De kennisgeving vooraf omvat op zijn minst de datum en het geschatte tijdstip van aankomst en vermeldt of het verwerkingsvaartuig reeds blauwvintonijn aan boord heeft, en indien dat het geval is, met bijzonderheden over de lading, waaronder de hoeveelheden in verwerkt gewicht en levend gewicht alsmede gegevens over de oorsprong van de blauwvintonijn aan boord (kwekerij/tonnara en CPC).</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 xml:space="preserve">Voor alle oogstverrichtingen op kwekerijen of bij tonnara’s moet een machtiging worden afgegeven door de kwekerij- of tonnaralidstaat. Hiertoe dient de exploitant van de kwekerij of tonnara die voornemens is blauwvintonijn te oogsten bij zijn lidstaat een verzoek in, met op zijn minst de volgende informatie: – de datum waarop of de periode waarin wordt geoogst; – de geraamde hoeveelheid te oogsten exemplaren, in aantal en kilogram; – het eBCD-nummer van de te </w:t>
            </w:r>
            <w:r w:rsidRPr="00A514B5">
              <w:rPr>
                <w:b/>
                <w:i/>
              </w:rPr>
              <w:lastRenderedPageBreak/>
              <w:t>oogsten blauwvintonijn; – bijzonderheden over bij de activiteiten betrokken hulpvaartuigen; – de bestemming van de geoogste tonijn (verwerkingsvaartuig, uitvoer, lokale markt enz.).</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Er wordt pas een machtiging voor oogstverrichtingen afgegeven wanneer de resultaten van het quotumgebruik overeenkomstig artikel 51 zijn bepaald, en de daarmee verband houdende vrijlatingen zijn uitgevoerd, behoudens voor blauwvintonijnen die dreigen te overlijden.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Er worden geen oogstverrichtingen uitgevoerd zonder de aanwezigheid van een CPC-waarnemer in het geval van tonnara’s, of een regionale Iccat-waarnemer in het geval van oogstverrichtingen op kwekerijen. Voor vis die wordt geleverd aan een verwerkingsvaartuig kan de CPC-waarnemer of regionale Iccat-waarnemer zijn taken in dit verband uitvoeren vanaf het verwerkingsvaartuig.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Kwekerij- of tonnaralidstaten verifiëren de resultaten van alle oogstverrichtingen op de kwekerijen en bij de tonnara’s die onder hun gezag vallen en voeren kruiscontroles uit aan de hand van alle relevante informatie waarover zij beschikken. Kwekerij- of tonnaralidstaten inspecteren alle oogstverrichtingen voor blauwvintonijn die bestemd is voor verwerkingsvaartuigen en een percentage van de over</w:t>
            </w:r>
            <w:r w:rsidRPr="00A514B5">
              <w:rPr>
                <w:b/>
                <w:i/>
                <w:iCs/>
              </w:rPr>
              <w:t xml:space="preserve">ige </w:t>
            </w:r>
            <w:r w:rsidRPr="00A514B5">
              <w:rPr>
                <w:b/>
                <w:i/>
              </w:rPr>
              <w:t>oogstverrichtingen op basis van een risicoanalyse.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D7CDE">
            <w:pPr>
              <w:pStyle w:val="Normal6"/>
              <w:rPr>
                <w:szCs w:val="24"/>
              </w:rPr>
            </w:pPr>
            <w:r w:rsidRPr="00A514B5">
              <w:rPr>
                <w:b/>
                <w:i/>
              </w:rPr>
              <w:t>6.</w:t>
            </w:r>
            <w:r w:rsidRPr="00A514B5">
              <w:rPr>
                <w:b/>
                <w:i/>
              </w:rPr>
              <w:tab/>
            </w:r>
            <w:r w:rsidR="002D7CDE" w:rsidRPr="00A514B5">
              <w:rPr>
                <w:b/>
                <w:i/>
              </w:rPr>
              <w:t>Wanneer de bestemming van de blauwvintonijn een verwerkingsvaartuig is, vult de kapitein of de vertegenwoordiger van het verwerkingsvaartuig een verwerkingsaangifte in. Wanneer de geoogste blauwvintonijn direct in de haven moet worden aangeland, vult de exploitant van de kwekerij of tonnara een oogstaangifte in.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D7CDE">
            <w:pPr>
              <w:pStyle w:val="Normal6"/>
              <w:rPr>
                <w:szCs w:val="24"/>
              </w:rPr>
            </w:pPr>
            <w:r w:rsidRPr="00A514B5">
              <w:rPr>
                <w:b/>
                <w:i/>
              </w:rPr>
              <w:t>7.</w:t>
            </w:r>
            <w:r w:rsidRPr="00A514B5">
              <w:rPr>
                <w:b/>
                <w:i/>
              </w:rPr>
              <w:tab/>
            </w:r>
            <w:r w:rsidR="002D7CDE" w:rsidRPr="00A514B5">
              <w:rPr>
                <w:b/>
                <w:i/>
              </w:rPr>
              <w:t xml:space="preserve">De verwerkings- en de oogstaangifte worden gewaarmerkt door de regionale Iccat-waarnemer of de CPC-waarnemer die bij de oogstverrichting aanwezig is. De verwerkingsaangifte en de oogstverklaring worden binnen 48 uur na de oogstverrichting via e-mail aan de bevoegde </w:t>
            </w:r>
            <w:r w:rsidR="002D7CDE">
              <w:rPr>
                <w:b/>
                <w:i/>
              </w:rPr>
              <w:t>autoriteiten van de lidstaat</w:t>
            </w:r>
            <w:r w:rsidR="002D7CDE" w:rsidRPr="00A514B5">
              <w:rPr>
                <w:b/>
                <w:i/>
              </w:rPr>
              <w:t xml:space="preserve"> toegezonden met geb</w:t>
            </w:r>
            <w:r w:rsidR="002D7CDE">
              <w:rPr>
                <w:b/>
                <w:i/>
              </w:rPr>
              <w:t>ruikmaking van het in bijlage XV ter</w:t>
            </w:r>
            <w:r w:rsidR="002D7CDE" w:rsidRPr="00A514B5">
              <w:rPr>
                <w:b/>
                <w:i/>
              </w:rPr>
              <w:t xml:space="preserve"> vastgestelde model.”;</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49599D" w:rsidP="002D7CDE">
            <w:pPr>
              <w:pStyle w:val="Normal6"/>
              <w:rPr>
                <w:szCs w:val="24"/>
              </w:rPr>
            </w:pP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quaterdecies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Afdeling 7 ter (nieuw)</w:t>
      </w:r>
      <w:r w:rsidRPr="00A514B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D3CA0">
        <w:trPr>
          <w:jc w:val="center"/>
        </w:trPr>
        <w:tc>
          <w:tcPr>
            <w:tcW w:w="9752" w:type="dxa"/>
            <w:gridSpan w:val="2"/>
          </w:tcPr>
          <w:p w:rsidR="0049599D" w:rsidRPr="00A514B5" w:rsidRDefault="0049599D" w:rsidP="004B110E">
            <w:pPr>
              <w:keepNext/>
            </w:pPr>
          </w:p>
        </w:tc>
      </w:tr>
      <w:tr w:rsidR="00B9071D" w:rsidRPr="00A514B5" w:rsidTr="004D3CA0">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quaterdecies)</w:t>
            </w:r>
            <w:r w:rsidRPr="00A514B5">
              <w:rPr>
                <w:b/>
                <w:i/>
              </w:rPr>
              <w:tab/>
              <w:t>De volgende afdeling wordt toegevoegd:</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“AFDELING 7 TER</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CONTROLEACTIVITEITEN OP DE KWEKERIJEN NA HET KOOIEN</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Artikel 56 ter</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Overhevelingen binnen kwekerijen</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 xml:space="preserve">Er vinden geen overhevelingen binnen kwekerijen plaats zonder de machtiging en de aanwezigheid van de bevoegde autoriteit van de kwekerij-CPC. Elke overheveling wordt geregistreerd met behulp van controlecamera’s om het aantal overgehevelde blauwvintonijnen te bevestigen. De videobeelden voldoen aan </w:t>
            </w:r>
            <w:r w:rsidRPr="00A514B5">
              <w:rPr>
                <w:b/>
                <w:i/>
              </w:rPr>
              <w:lastRenderedPageBreak/>
              <w:t>de in bijlage X vastgestelde minimumnormen. De bevoegde autoriteit van de kwekerij-CPC monitort en controleert die overhevelingen, onder meer door erop toe te zien dat elke overheveling binnen kwekerijen in het eBCD-systeem wordt vastgelegd.</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Niettegenstaande de definitie van “kooien” in artikel 5, punt 31), wordt het verplaatsen van blauwvintonijn tussen twee verschillende locaties op dezelfde kwekerij (overheveling binnen kwekerijen) met behulp van een transportkooi, niet als kooien beschouwd in de zin van de in afdeling 7 vastgestelde vereisten.</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Tijdens overhevelingen binnen kwekerijen kan de bevoegde autoriteit van de kwekerijlidstaat toestemming geven om vis met dezelfde vlag van oorsprong en van dezelfde gezamenlijke visserijactiviteit te groeperen, mits de traceerbaarheid en de geldigheid van de groeisnelheden van het SCRS gewaarborgd zijn.</w:t>
            </w:r>
          </w:p>
        </w:tc>
      </w:tr>
      <w:tr w:rsidR="00B9071D" w:rsidRPr="00A514B5" w:rsidTr="004D3CA0">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De bevoegde autoriteit van de kwekerijlidstaat en de exploitant van de kwekerij bewaren de videobeelden van overhevelingen binnen onder hun jurisdictie vallende kwekerijen gedurende ten minste drie jaar en de informatie zo lang als noodzakelijk voor handhavingsdoeleinden.</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Artikel 56 quater</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Overdrachten</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1.</w:t>
            </w:r>
            <w:r w:rsidRPr="00A514B5">
              <w:rPr>
                <w:b/>
                <w:i/>
              </w:rPr>
              <w:tab/>
              <w:t xml:space="preserve">Vóór aanvang van het volgende visseizoen voor ringzegenvaartuigen en tonnara’s voert de bevoegde autoriteit van de kwekerijlidstaat een grondige beoordeling uit van de levende blauwvintonijn die is overgedragen op de onder hun jurisdictie vallende kwekerijen. Hiertoe wordt de levende blauwvintonijn in kwestie overgeheveld naar een lege kooi en gemonitord met behulp van een of meer controlecamera’s, om het aantal en </w:t>
            </w:r>
            <w:r w:rsidRPr="00A514B5">
              <w:rPr>
                <w:b/>
                <w:i/>
              </w:rPr>
              <w:lastRenderedPageBreak/>
              <w:t>het gewicht van de overgehevelde vis te bepalen.</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2.</w:t>
            </w:r>
            <w:r w:rsidRPr="00A514B5">
              <w:rPr>
                <w:b/>
                <w:i/>
              </w:rPr>
              <w:tab/>
              <w:t>In afwijking daarvan wordt de overdracht van blauwvintonijn uit eerdere jaren waarin en kooien waarvoor geen oogst plaatsvond jaarlijks gecontroleerd door toepassing van de procedure voor aselecte controles als bedoeld in artikel 56 sexies.</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3.</w:t>
            </w:r>
            <w:r w:rsidRPr="00A514B5">
              <w:rPr>
                <w:b/>
                <w:i/>
              </w:rPr>
              <w:tab/>
              <w:t>De overgedragen levende blauwvintonijn wordt op de kwekerij per vangstjaar en gezamenlijke visserijactiviteit of per tonnara van oorsprong van de CPC in aparte kooien of reeksen kooien geplaatst.</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4.</w:t>
            </w:r>
            <w:r w:rsidRPr="00A514B5">
              <w:rPr>
                <w:b/>
                <w:i/>
              </w:rPr>
              <w:tab/>
              <w:t>De bevoegde autoriteit van de kwekerijlidstaat ziet erop toe dat de videobeelden van de controlecamera met betrekking tot de overhevelingen ingevolge de beoordeling van overdrachten voldoen aan de relevante vereisten van bijlage X, en dat het aantal en het gewicht van de overgedragen vis is vastgesteld overeenkomstig bijlage XI, punt 1, van deze verordening.</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5.</w:t>
            </w:r>
            <w:r w:rsidRPr="00A514B5">
              <w:rPr>
                <w:b/>
                <w:i/>
              </w:rPr>
              <w:tab/>
              <w:t>Totdat het SCRS een algoritme ontwikkelt om lengte om te zetten in gewicht voor gemeste en/of gekweekte vis, wordt voor het bepalen van het gewicht van de overgedragen vis uitgegaan van een raming aan de hand van de meest actuele tabellen met groeisnelheden van het SCRS.</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6.</w:t>
            </w:r>
            <w:r w:rsidRPr="00A514B5">
              <w:rPr>
                <w:b/>
                <w:i/>
              </w:rPr>
              <w:tab/>
              <w:t xml:space="preserve">Als de raming van het aantal blauwvintonijnen in het kader van de beoordeling van overdrachten verschilt van het verwachte aantal na de oogst, wordt door de bevoegde autoriteit van de kwekerijlidstaat een nader onderzoek ingesteld en wordt dit verschil geregistreerd in het eBCD-systeem. Indien er sprake is van een overtal, gelast de bevoegde autoriteit van de kwekerijlidstaat de vrijlating van het overeenkomstige aantal vissen. De vrijlatingsverrichting wordt uitgevoerd </w:t>
            </w:r>
            <w:r w:rsidRPr="00A514B5">
              <w:rPr>
                <w:b/>
                <w:i/>
              </w:rPr>
              <w:lastRenderedPageBreak/>
              <w:t>overeenkomstig bijlage XII. Compensatie voor onderlinge verschillen tussen de kooien op de kwekerij is niet toegestaan. Een foutenmarge van ten hoogste 5 % tussen het aantal vissen als bepaald ingevolge de beoordeling van overdrachten en het verwachte aantal in de kooi, kan door de bevoegde autoriteit van de lidstaat worden toegestaan.</w:t>
            </w:r>
          </w:p>
        </w:tc>
      </w:tr>
      <w:tr w:rsidR="00B9071D" w:rsidRPr="00A514B5" w:rsidTr="004D3CA0">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7.</w:t>
            </w:r>
            <w:r w:rsidRPr="00A514B5">
              <w:rPr>
                <w:b/>
                <w:i/>
              </w:rPr>
              <w:tab/>
              <w:t>De bevoegde autoriteit van de kwekerijlidstaat bewaart de videobeelden en alle relevante documentatie van beoordelingen van overdrachten op de onder hun jurisdictie vallende kwekerijen gedurende ten minste drie jaar, en de informatie zo lang als noodzakelijk voor handhavingsdoeleinden.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Artikel 56 quinquies</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Overdrachtaangifte</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1.</w:t>
            </w:r>
            <w:r w:rsidRPr="00A514B5">
              <w:rPr>
                <w:b/>
                <w:i/>
              </w:rPr>
              <w:tab/>
              <w:t>Kwekerijlidstaten vullen een jaarlijkse overdrachtaangifte in en voegen deze bij het herziene jaarlijkse beheersplan voor de kweek dat zij de Commissie binnen tien dagen na afloop van de beoordeling toezenden met gebruikmaking van het in bijlage XXI vastgestelde model. De Commissie zendt die informatie uiterlijk 15 dagen na afloop van de beoordeling door aan het Iccat-secretariaat.</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2.</w:t>
            </w:r>
            <w:r w:rsidRPr="00A514B5">
              <w:rPr>
                <w:b/>
                <w:i/>
              </w:rPr>
              <w:tab/>
              <w:t>Indien van toepassing wordt het rapport in verband met de stereoscopische camera bij de overdrachtaangifte gevoegd.</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Artikel 56 sexies</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Aselecte controles</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1.</w:t>
            </w:r>
            <w:r w:rsidRPr="00A514B5">
              <w:rPr>
                <w:b/>
                <w:i/>
              </w:rPr>
              <w:tab/>
              <w:t xml:space="preserve">De bevoegde autoriteit van de kwekerijlidstaat voert aselecte controles uit op onder hun jurisdictie vallende kwekerijen. De minimale aselecte controles als bedoeld in lid 2 worden uitgevoerd op kwekerijen in de periode tussen de voltooiing van de kooiverrichtingen en de eerste kooiverrichting in het daaropvolgende </w:t>
            </w:r>
            <w:r w:rsidRPr="00A514B5">
              <w:rPr>
                <w:b/>
                <w:i/>
              </w:rPr>
              <w:lastRenderedPageBreak/>
              <w:t>jaar. Die controles bestrijken de verplichte overhevelingen van alle vis uit een of meer kweekkooien naar een of meer andere kweekkooien teneinde het aantal blauwvintonijnen te kunnen tellen met behulp van de controlevideo-opname(n).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2.</w:t>
            </w:r>
            <w:r w:rsidRPr="00A514B5">
              <w:rPr>
                <w:b/>
                <w:i/>
              </w:rPr>
              <w:tab/>
              <w:t>Elke kwekerijlidstaat bepaalt hoeveel aselecte controles er op zijn minst moeten worden uitgevoerd op elke onder zijn soevereiniteit vallende kwekerij. Het aantal aselecte controles bestrijkt ten minste 10 % (zo nodig naar boven afgerond) van het aantal kooien op elke kwekerij na voltooiing van de kooiverrichtingen, waarbij altijd ten minste één controle per kwekerij wordt uitgevoerd. De te controleren kooien worden geselecteerd op basis van de risicoanalyse. De planning van de uit te voeren aselecte controles is opgenomen in het in artikel 10 bedoelde controleplan van de lidstaat.</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3.</w:t>
            </w:r>
            <w:r w:rsidRPr="00A514B5">
              <w:rPr>
                <w:b/>
                <w:i/>
              </w:rPr>
              <w:tab/>
              <w:t>Hoewel dat niet vereist is, kan de bevoegde autoriteit van de kwekerijlidstaat de betrokken kwekerijen er uiterlijk twee kalenderdagen vooraf van in kennis stellen dat er een of meer aselecte controles zullen worden uitgevoerd. De geselecteerde kooien worden pas bij aankomst op de betrokken kwekerij door de bevoegde autoriteit van de kwekerijlidstaat aan de exploitant van de kwekerij medegedeeld.</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4.</w:t>
            </w:r>
            <w:r w:rsidRPr="00A514B5">
              <w:rPr>
                <w:b/>
                <w:i/>
              </w:rPr>
              <w:tab/>
              <w:t>Indien sprake is van kennisgeving vooraf, zien de exploitanten van kwekerijen erop toe dat alle middelen aanwezig zijn zodat de bevoegde autoriteit van de kwekerijlidstaat te allen tijde aselecte controles kan uitvoeren, in elke kooi op de kwekerij. Indien er geen sprake is van kennisgeving vooraf, moeten de exploitanten van kwekerijen nog steeds alle nodige maatregelen treffen om het uitvoeren van aselecte controles te vergemakkelijken.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5.</w:t>
            </w:r>
            <w:r w:rsidRPr="00A514B5">
              <w:rPr>
                <w:b/>
                <w:i/>
              </w:rPr>
              <w:tab/>
              <w:t xml:space="preserve">De bevoegde autoriteit van de </w:t>
            </w:r>
            <w:r w:rsidRPr="00A514B5">
              <w:rPr>
                <w:b/>
                <w:i/>
              </w:rPr>
              <w:lastRenderedPageBreak/>
              <w:t>kwekerijlidstaat streeft ernaar de tijdspanne tussen de opdracht voor de aselecte controles en de daadwerkelijke uitvoering van de controles zo kort mogelijk te houden. De bevoegde autoriteit van de kwekerijlidstaat ziet erop toe dat alle nodige maatregelen worden getroffen om te voorkomen dat de exploitant de betrokken kooien kan manipuleren totdat de aselecte controle plaatsvindt.</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6.</w:t>
            </w:r>
            <w:r w:rsidRPr="00A514B5">
              <w:rPr>
                <w:b/>
                <w:i/>
              </w:rPr>
              <w:tab/>
              <w:t>Na de aselecte controle worden eventuele verschillen tussen het aantal blauwvintonijnen als bepaald in het kader van de aselecte controles en het verwachte in de kooi aanwezige aantal nader onderzocht en geregistreerd in het eBCD-systeem. Indien er sprake is van een overtal, gelast de bevoegde autoriteit van de kwekerijlidstaat de vrijlating van het overeenkomstige aantal. De vrijlatingsverrichting wordt uitgevoerd overeenkomstig bijlage XII. Compensatie voor onderlinge verschillen tussen de kooien op de kwekerij is niet toegestaan. Een foutenmarge van 5 % tussen het aantal vissen als bepaald ingevolge de controleoverheveling en het verwachte aantal in de kooi kan door de bevoegde autoriteit van de lidstaat worden toegestaan.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7.</w:t>
            </w:r>
            <w:r w:rsidRPr="00A514B5">
              <w:rPr>
                <w:b/>
                <w:i/>
              </w:rPr>
              <w:tab/>
              <w:t>De bevoegde autoriteit van de kwekerijlidstaat bewaart alle videobeelden van aselecte controles op onder hun jurisdictie vallende kwekerijen gedurende ten minste drie jaar en deze informatie zo lang als noodzakelijk voor handhavingsdoeleinden.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8.</w:t>
            </w:r>
            <w:r w:rsidRPr="00A514B5">
              <w:rPr>
                <w:b/>
                <w:i/>
              </w:rPr>
              <w:tab/>
              <w:t xml:space="preserve">De resultaten van de aselecte controles worden door de Commissie medegedeeld aan het Iccat-secretariaat vóór aanvang van het nieuwe visseizoen voor ringzegenvaartuigen dat van toepassing is op elke lidstaat overeenkomstig artikel 16, en worden vervolgens doorgezonden naar het </w:t>
            </w:r>
            <w:r w:rsidRPr="00A514B5">
              <w:rPr>
                <w:b/>
                <w:i/>
              </w:rPr>
              <w:lastRenderedPageBreak/>
              <w:t>nalevingscomité.</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Artikel 56 septies</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Overhevelingen tussen kwekerijen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1.</w:t>
            </w:r>
            <w:r w:rsidRPr="00A514B5">
              <w:rPr>
                <w:b/>
                <w:i/>
              </w:rPr>
              <w:tab/>
              <w:t>De overheveling van levende blauwvintonijn tussen twee verschillende kwekerijen vindt niet plaats zonder de voorafgaande schriftelijke machtiging door de bevoegde autoriteiten van de kwekerijlidstaat van beide kwekerijen.</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2.</w:t>
            </w:r>
            <w:r w:rsidRPr="00A514B5">
              <w:rPr>
                <w:b/>
                <w:i/>
              </w:rPr>
              <w:tab/>
              <w:t>De overheveling uit de overhevelende kweekkooi naar de transportkooi voldoet aan de vereisten van afdeling 6 van deze verordening met inbegrip van een video-opname ter bevestiging van het aantal blauwvintonijnen, het invullen van een ITD en het verifiëren van de verrichting door een regionale Iccat-waarnemer. Desniettegenstaande is het in gevallen waarin de kweekkooi als geheel naar de ontvangende kwekerij moet worden verplaatst, niet noodzakelijk om video-opnamen van de verrichting te maken en wordt de kooi verzegeld naar de kwekerij van bestemming vervoerd.</w:t>
            </w:r>
          </w:p>
        </w:tc>
      </w:tr>
      <w:tr w:rsidR="00B9071D" w:rsidRPr="00A514B5" w:rsidTr="00D618C2">
        <w:trPr>
          <w:jc w:val="center"/>
        </w:trPr>
        <w:tc>
          <w:tcPr>
            <w:tcW w:w="4876" w:type="dxa"/>
          </w:tcPr>
          <w:p w:rsidR="004D3CA0" w:rsidRPr="00A514B5" w:rsidRDefault="004D3CA0" w:rsidP="00D618C2">
            <w:pPr>
              <w:pStyle w:val="Normal6"/>
            </w:pPr>
          </w:p>
        </w:tc>
        <w:tc>
          <w:tcPr>
            <w:tcW w:w="4876" w:type="dxa"/>
          </w:tcPr>
          <w:p w:rsidR="004D3CA0" w:rsidRPr="00A514B5" w:rsidRDefault="00B71BA7" w:rsidP="00D618C2">
            <w:pPr>
              <w:pStyle w:val="Normal6"/>
              <w:rPr>
                <w:szCs w:val="24"/>
              </w:rPr>
            </w:pPr>
            <w:r w:rsidRPr="00A514B5">
              <w:rPr>
                <w:b/>
                <w:i/>
              </w:rPr>
              <w:t>3.</w:t>
            </w:r>
            <w:r w:rsidRPr="00A514B5">
              <w:rPr>
                <w:b/>
                <w:i/>
              </w:rPr>
              <w:tab/>
              <w:t>Op het kooien van de blauwvintonijn op de kwekerij van bestemming zijn de in artikel 45 vastgestelde vereisten van toepassing, met inbegrip van een video-opname ter bevestiging van het aantal en het gewicht van de gekooide blauwvintonijn en de verificatie van de verrichting door een regionale Iccat-waarnemer. Het gewicht van gekooide vis uit een andere kwekerij wordt pas bepaald wanneer het SCRS een algoritme heeft ontwikkeld om lengte om te zetten in gewicht voor gemeste en/of gekweekte vis.”;</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 xml:space="preserve">Iccat-aanbeveling 22-08 wijzigt aanbeveling 21-08 tot vaststelling van een meerjarig beheersplan voor blauwvintonijn in het oostelijke deel van de Atlantische Oceaan en de </w:t>
      </w:r>
      <w:r w:rsidRPr="00A514B5">
        <w:lastRenderedPageBreak/>
        <w:t>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quindecies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57</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quindecies)</w:t>
            </w:r>
            <w:r w:rsidRPr="00A514B5">
              <w:rPr>
                <w:b/>
                <w:i/>
              </w:rPr>
              <w:tab/>
              <w:t>Artikel 57 wordt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lid 1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In afwijking van artikel 9 van Verordening (EG) nr. 1224/2009 voeren de vlaggenlidstaten volgsystemen voor vissersvaartuigen (VMS) in voor alle vissersvaartuigen die hun vlag voeren met een lengte over alles van 12 meter of meer alsmede voor alle sleepvaartuigen, ongeacht de lengte ervan. Alle in de eerste alinea bedoelde vaartuigen zenden ten minste elke twee uur gegevens over de positie van vaartuigen door, met uitzondering van sleepvaartuigen en ringzegenvaartuigen die deze gegevens ten minste elk uur moeten doorgeven.”;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lid 2 wordt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De in artikel 26, lid 1, onder b), bedoelde vaartuigen beginnen ten minste vijf dagen vóór hun machtigingsperiode VMS-gegevens door te zenden aan de Iccat en blijven die ten minste vijf dagen na hun machtigingsperiode doorzenden, tenzij vooraf een verzoek aan de Commissie wordt gericht om het vaartuig uit het Iccat-register van vaartuigen te schrappen.”;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c)</w:t>
            </w:r>
            <w:r w:rsidRPr="00A514B5">
              <w:rPr>
                <w:b/>
                <w:i/>
              </w:rPr>
              <w:tab/>
              <w:t>in lid 5 wordt punt a)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 xml:space="preserve">VMS-gegevens van de vissersvaartuigen die hun vlag voeren, worden doorgezonden aan de Commissie </w:t>
            </w:r>
            <w:r w:rsidRPr="00A514B5">
              <w:rPr>
                <w:b/>
                <w:i/>
              </w:rPr>
              <w:lastRenderedPageBreak/>
              <w:t>overeenkomstig lid 1.”;</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d)</w:t>
            </w:r>
            <w:r w:rsidRPr="00A514B5">
              <w:rPr>
                <w:b/>
                <w:i/>
              </w:rPr>
              <w:tab/>
              <w:t>in lid 5 wordt het volgende punt toegevoegd: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 bis)</w:t>
            </w:r>
            <w:r w:rsidRPr="00A514B5">
              <w:rPr>
                <w:b/>
                <w:i/>
              </w:rPr>
              <w:tab/>
              <w:t>bij een technisch mankement van het VMS, wordt het betrokken sleepvaartuig vervangen door een ander sleepvaartuig met een volledig functionerend VMS. Als er geen ander sleepvaartuig beschikbaar is, wordt er een nieuw werkend VMS-systeem geïnstalleerd aan boord of gebruikt indien dit reeds is geïnstalleerd, en wel zo snel mogelijk en uiterlijk binnen 72 uur, behalve in het geval van overmacht, hetgeen wordt medegedeeld aan het Iccat-secretariaat. In de tussentijd delen de kapiteins of hun vertegenwoordigers, te beginnen vanaf het ogenblik dat het mankement werd opgemerkt en/of gemeld, door middel van passende telecommunicatiemiddelen om het uur aan de controleautoriteiten van de vlaggenlidstaat de geactualiseerde geograﬁsche coördinaten van het sleepvaartuig mede.”;</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78</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sexdecies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59 – titel</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sexdecies)</w:t>
            </w:r>
            <w:r w:rsidRPr="00A514B5">
              <w:rPr>
                <w:b/>
                <w:i/>
              </w:rPr>
              <w:tab/>
              <w:t>In artikel 59 komt de titel als volgt te luiden: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“Inspecties in het geval van vermoede inbreuken”;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79</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septdecies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61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 septdecies)</w:t>
            </w:r>
            <w:r w:rsidRPr="00A514B5">
              <w:rPr>
                <w:b/>
                <w:i/>
              </w:rPr>
              <w:tab/>
              <w:t>Artikel 61 wordt vervangen door:</w:t>
            </w:r>
          </w:p>
        </w:tc>
      </w:tr>
      <w:tr w:rsidR="00B9071D" w:rsidRPr="00A514B5" w:rsidTr="004B110E">
        <w:trPr>
          <w:jc w:val="center"/>
        </w:trPr>
        <w:tc>
          <w:tcPr>
            <w:tcW w:w="4876" w:type="dxa"/>
          </w:tcPr>
          <w:p w:rsidR="007B7F19" w:rsidRPr="00A514B5" w:rsidRDefault="007B7F19" w:rsidP="004B110E">
            <w:pPr>
              <w:pStyle w:val="Normal6"/>
            </w:pPr>
          </w:p>
        </w:tc>
        <w:tc>
          <w:tcPr>
            <w:tcW w:w="4876" w:type="dxa"/>
          </w:tcPr>
          <w:p w:rsidR="007B7F19" w:rsidRPr="00A514B5" w:rsidRDefault="00B71BA7" w:rsidP="004B110E">
            <w:pPr>
              <w:pStyle w:val="Normal6"/>
              <w:rPr>
                <w:b/>
                <w:i/>
              </w:rPr>
            </w:pPr>
            <w:r w:rsidRPr="00A514B5">
              <w:rPr>
                <w:b/>
                <w:i/>
              </w:rPr>
              <w:t>“Artikel 61</w:t>
            </w:r>
          </w:p>
        </w:tc>
      </w:tr>
      <w:tr w:rsidR="00B9071D" w:rsidRPr="00A514B5" w:rsidTr="004B110E">
        <w:trPr>
          <w:jc w:val="center"/>
        </w:trPr>
        <w:tc>
          <w:tcPr>
            <w:tcW w:w="4876" w:type="dxa"/>
          </w:tcPr>
          <w:p w:rsidR="007B7F19" w:rsidRPr="00A514B5" w:rsidRDefault="007B7F19" w:rsidP="004B110E">
            <w:pPr>
              <w:pStyle w:val="Normal6"/>
            </w:pPr>
          </w:p>
        </w:tc>
        <w:tc>
          <w:tcPr>
            <w:tcW w:w="4876" w:type="dxa"/>
          </w:tcPr>
          <w:p w:rsidR="007B7F19" w:rsidRPr="00A514B5" w:rsidRDefault="00B71BA7" w:rsidP="004B110E">
            <w:pPr>
              <w:pStyle w:val="Normal6"/>
              <w:rPr>
                <w:b/>
                <w:i/>
              </w:rPr>
            </w:pPr>
            <w:r w:rsidRPr="00A514B5">
              <w:rPr>
                <w:b/>
                <w:i/>
              </w:rPr>
              <w:t>Handhaving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 xml:space="preserve">Onverminderd de artikelen 89, 90 en 91 van Verordening (EG) nr. 1224/2009, en met name de verplichting van de lidstaten om passende handhavingsmaatregelen te treffen ten aanzien van een vissersvaartuig, neemt de voor een blauwvintonijnkwekerij verantwoordelijke lidstaat passende handhavingsmaatregelen ten aanzien van een kwekerij, wanneer overeenkomstig zijn nationaal recht is geconstateerd dat deze kwekerij de bepalingen van de artikelen 45 tot en met 55 niet naleeft. Afhankelijk van de ernst van de inbreuk en overeenkomstig de desbetreffende bepalingen van het nationale recht kunnen deze maatregelen de schorsing van de machtiging of de schrapping uit het overeenkomstig lid 61 van aanbeveling 22-08 ingestelde Iccat-register van kweekvoorzieningen voor </w:t>
            </w:r>
            <w:r w:rsidRPr="00A514B5">
              <w:rPr>
                <w:b/>
                <w:i/>
              </w:rPr>
              <w:lastRenderedPageBreak/>
              <w:t>blauwvintonijn, en/of de oplegging van boeten omvatten.”;</w:t>
            </w:r>
          </w:p>
        </w:tc>
      </w:tr>
    </w:tbl>
    <w:p w:rsidR="0049599D" w:rsidRPr="00A514B5" w:rsidRDefault="00B71BA7" w:rsidP="0049599D">
      <w:pPr>
        <w:pStyle w:val="Olang"/>
      </w:pPr>
      <w:r w:rsidRPr="00A514B5">
        <w:lastRenderedPageBreak/>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 in het oostelijke deel van de Atlantische Oceaan en de Middellandse Zee.</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80</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Artikel 2 – alinea 1 – punt 2 octodecies (nieuw)</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Artikel 66 – lid 1</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2)</w:t>
            </w:r>
            <w:r w:rsidRPr="00A514B5">
              <w:rPr>
                <w:b/>
                <w:i/>
              </w:rPr>
              <w:tab/>
              <w:t>In artikel 66 wordt lid 1 als volgt gewijzigd: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a)</w:t>
            </w:r>
            <w:r w:rsidRPr="00A514B5">
              <w:rPr>
                <w:b/>
                <w:i/>
              </w:rPr>
              <w:tab/>
              <w:t>de punten a), b) en c) worden vervangen door: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de jaarlijkse overdracht op grond van artikel 8 voor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b)</w:t>
            </w:r>
            <w:r w:rsidRPr="00A514B5">
              <w:rPr>
                <w:b/>
                <w:i/>
              </w:rPr>
              <w:tab/>
              <w:t>termijnen voor het rapporteren van informatie als vastgesteld in artikel 15, lid 7, artikel 16, lid 1, artikel 24, lid 4, artikel 26, lid 1, artikel 29, lid 1, artikel 32, leden 2 en 3, artikel 35, leden 5 en 6, artikel 36, artikel 41, lid 3, artikel 44, lid 2, artikel 51, lid 7, artikel 52, lid 12, artikel 55, artikel 57, lid 5, onder b), en artikel 58, lid 6;</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207C4A">
            <w:pPr>
              <w:pStyle w:val="Normal6"/>
              <w:rPr>
                <w:szCs w:val="24"/>
              </w:rPr>
            </w:pPr>
            <w:r w:rsidRPr="00A514B5">
              <w:rPr>
                <w:b/>
                <w:i/>
              </w:rPr>
              <w:t>c)</w:t>
            </w:r>
            <w:r w:rsidRPr="00A514B5">
              <w:rPr>
                <w:b/>
                <w:i/>
              </w:rPr>
              <w:tab/>
              <w:t>de perioden voor visseizoenen als vastgesteld in artikel 17, leden 1 tot en met 4;”;</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pPr>
              <w:pStyle w:val="Normal6"/>
              <w:rPr>
                <w:szCs w:val="24"/>
              </w:rPr>
            </w:pPr>
            <w:r w:rsidRPr="00A514B5">
              <w:rPr>
                <w:b/>
                <w:i/>
              </w:rPr>
              <w:t>b)</w:t>
            </w:r>
            <w:r w:rsidRPr="00A514B5">
              <w:rPr>
                <w:b/>
                <w:i/>
              </w:rPr>
              <w:tab/>
              <w:t>De volgende punten worden toegevoegd: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 bis)</w:t>
            </w:r>
            <w:r w:rsidRPr="00A514B5">
              <w:rPr>
                <w:b/>
                <w:i/>
              </w:rPr>
              <w:tab/>
              <w:t xml:space="preserve">de inhoud van de overdrachtaangifte van artikel 7, lid 1, onder a), en de bepalingen voor het </w:t>
            </w:r>
            <w:r w:rsidRPr="00A514B5">
              <w:rPr>
                <w:b/>
                <w:i/>
              </w:rPr>
              <w:lastRenderedPageBreak/>
              <w:t>kooien van artikel 7, lid 2, onder b);</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 ter)</w:t>
            </w:r>
            <w:r w:rsidRPr="00A514B5">
              <w:rPr>
                <w:b/>
                <w:i/>
              </w:rPr>
              <w:tab/>
              <w:t>de afwijkingen van artikel 17, lid 2, voor de aanwijzing van visserijgebieden, vissersvaartuigen en vistuig, en van artikel 17, lid 3, voor de visserij op blauwvintonijn voor kweekdoeleinden;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 quater)</w:t>
            </w:r>
            <w:r w:rsidRPr="00A514B5">
              <w:rPr>
                <w:b/>
                <w:i/>
              </w:rPr>
              <w:tab/>
              <w:t>de voorwaarden voor de toewijzing van regionale waarnemers aan kwekerijen van artikel 39, lid 4;</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 quinquies)</w:t>
            </w:r>
            <w:r w:rsidRPr="00A514B5">
              <w:rPr>
                <w:b/>
                <w:i/>
              </w:rPr>
              <w:tab/>
              <w:t>de verplichtingen van de lidstaten en de inhoud van de jaarlijkse kooirapporten als bedoeld in artikel 55.”;</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pPr>
        <w:pStyle w:val="JustificationTitle"/>
        <w:rPr>
          <w:noProof w:val="0"/>
        </w:rPr>
      </w:pPr>
      <w:r w:rsidRPr="00A514B5">
        <w:rPr>
          <w:rStyle w:val="HideTWBExt"/>
          <w:i w:val="0"/>
        </w:rPr>
        <w:t>&lt;TitreJust&gt;</w:t>
      </w:r>
      <w:r w:rsidRPr="00A514B5">
        <w:t>Motivering</w:t>
      </w:r>
      <w:r w:rsidRPr="00A514B5">
        <w:rPr>
          <w:rStyle w:val="HideTWBExt"/>
          <w:i w:val="0"/>
        </w:rPr>
        <w:t>&lt;/TitreJust&gt;</w:t>
      </w:r>
    </w:p>
    <w:p w:rsidR="0049599D" w:rsidRPr="00A514B5" w:rsidRDefault="00B71BA7" w:rsidP="0049599D">
      <w:pPr>
        <w:pStyle w:val="Normal12Italic"/>
        <w:rPr>
          <w:noProof w:val="0"/>
        </w:rPr>
      </w:pPr>
      <w:r w:rsidRPr="00A514B5">
        <w:t>Iccat-aanbeveling 22-08 wijzigt aanbeveling 21-08 tot vaststelling van een meerjarig beheersplan voor blauwvintonijn.</w:t>
      </w:r>
    </w:p>
    <w:p w:rsidR="0049599D" w:rsidRPr="00A514B5" w:rsidRDefault="00B71BA7" w:rsidP="0049599D">
      <w:r w:rsidRPr="00A514B5">
        <w:rPr>
          <w:rStyle w:val="HideTWBExt"/>
        </w:rPr>
        <w:t>&lt;/Amend&gt;</w:t>
      </w:r>
    </w:p>
    <w:p w:rsidR="007B7F19" w:rsidRPr="00A514B5" w:rsidRDefault="00B71BA7" w:rsidP="007B7F19">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81</w:t>
      </w:r>
      <w:r w:rsidRPr="00A514B5">
        <w:rPr>
          <w:rStyle w:val="HideTWBExt"/>
          <w:b w:val="0"/>
        </w:rPr>
        <w:t>&lt;/NumAm&gt;</w:t>
      </w:r>
    </w:p>
    <w:p w:rsidR="007B7F19" w:rsidRPr="00A514B5" w:rsidRDefault="00B71BA7" w:rsidP="007B7F19">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7B7F19" w:rsidRPr="00A514B5" w:rsidRDefault="00B71BA7" w:rsidP="00BD2408">
      <w:pPr>
        <w:pStyle w:val="NormalBold"/>
      </w:pPr>
      <w:r w:rsidRPr="00A514B5">
        <w:rPr>
          <w:rStyle w:val="HideTWBExt"/>
          <w:b w:val="0"/>
        </w:rPr>
        <w:t>&lt;Article&gt;</w:t>
      </w:r>
      <w:r w:rsidRPr="00A514B5">
        <w:t>Artikel 2 – alinea 1 – punt 2 novodecies (nieuw)</w:t>
      </w:r>
      <w:r w:rsidRPr="00A514B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A31D6F">
        <w:trPr>
          <w:jc w:val="center"/>
        </w:trPr>
        <w:tc>
          <w:tcPr>
            <w:tcW w:w="9752" w:type="dxa"/>
            <w:gridSpan w:val="2"/>
          </w:tcPr>
          <w:p w:rsidR="007B7F19" w:rsidRPr="00A514B5" w:rsidRDefault="007B7F19" w:rsidP="00C84F42">
            <w:pPr>
              <w:keepNext/>
            </w:pPr>
          </w:p>
        </w:tc>
      </w:tr>
      <w:tr w:rsidR="00B9071D" w:rsidRPr="00A514B5" w:rsidTr="00A31D6F">
        <w:trPr>
          <w:jc w:val="center"/>
        </w:trPr>
        <w:tc>
          <w:tcPr>
            <w:tcW w:w="4876" w:type="dxa"/>
          </w:tcPr>
          <w:p w:rsidR="007B7F19" w:rsidRPr="00A514B5" w:rsidRDefault="00B71BA7" w:rsidP="00C84F42">
            <w:pPr>
              <w:pStyle w:val="ColumnHeading"/>
              <w:keepNext/>
            </w:pPr>
            <w:r w:rsidRPr="00A514B5">
              <w:t>Bestaande tekst</w:t>
            </w:r>
          </w:p>
        </w:tc>
        <w:tc>
          <w:tcPr>
            <w:tcW w:w="4876" w:type="dxa"/>
          </w:tcPr>
          <w:p w:rsidR="007B7F19" w:rsidRPr="00A514B5" w:rsidRDefault="00B71BA7" w:rsidP="00C84F42">
            <w:pPr>
              <w:pStyle w:val="ColumnHeading"/>
              <w:keepNext/>
            </w:pPr>
            <w:r w:rsidRPr="00A514B5">
              <w:t>Amendement</w:t>
            </w:r>
          </w:p>
        </w:tc>
      </w:tr>
      <w:tr w:rsidR="00B9071D" w:rsidRPr="00A514B5" w:rsidTr="00A31D6F">
        <w:trPr>
          <w:jc w:val="center"/>
        </w:trPr>
        <w:tc>
          <w:tcPr>
            <w:tcW w:w="4876" w:type="dxa"/>
          </w:tcPr>
          <w:p w:rsidR="007B7F19" w:rsidRPr="00A514B5" w:rsidRDefault="007B7F19" w:rsidP="00C84F42">
            <w:pPr>
              <w:pStyle w:val="Normal6"/>
            </w:pPr>
          </w:p>
        </w:tc>
        <w:tc>
          <w:tcPr>
            <w:tcW w:w="4876" w:type="dxa"/>
          </w:tcPr>
          <w:p w:rsidR="007B7F19" w:rsidRPr="00A514B5" w:rsidRDefault="00B71BA7">
            <w:pPr>
              <w:pStyle w:val="Normal6"/>
              <w:rPr>
                <w:szCs w:val="24"/>
              </w:rPr>
            </w:pPr>
            <w:r w:rsidRPr="00A514B5">
              <w:rPr>
                <w:b/>
                <w:i/>
              </w:rPr>
              <w:t xml:space="preserve">2 novodecies) </w:t>
            </w:r>
            <w:r w:rsidRPr="00A514B5">
              <w:rPr>
                <w:b/>
                <w:i/>
              </w:rPr>
              <w:tab/>
              <w:t>De tekst van de bijlage bij deze verordening wordt ingevoegd in de vorm van de bijlagen XV bis, XV ter en XV quater bij Verordening (EU) 2023/XX.</w:t>
            </w:r>
          </w:p>
        </w:tc>
      </w:tr>
    </w:tbl>
    <w:p w:rsidR="007B7F19" w:rsidRPr="00A514B5" w:rsidRDefault="00B71BA7" w:rsidP="007B7F19">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7B7F19" w:rsidRPr="00A514B5" w:rsidRDefault="00B71BA7" w:rsidP="007B7F19">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82</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Bijlage VIII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VIII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Minimumnormen voor voorzichtige behandeling en terugzetting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Hier volgen de minimumnormen inzake praktijken voor voorzichtige behandeling van Noord- en Zuid-Atlantische kortvinmakreelhaai, met specifieke aanbevelingen voor zowel de beug- als de ringzegenvisserij. Deze minimumnormen zijn passend voor de terugzetting van levende kortvinmakreelhaaien, hetzij op grond van terugzetbeleid hetzij op basis van vrijwilligheid. Deze basisrichtsnoeren treden niet in de plaats van strengere veiligheidsvoorschriften die mogelijk zijn vastgesteld door de nationale autoriteiten van de afzonderlijke lidstaten.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147CD2">
            <w:pPr>
              <w:pStyle w:val="Normal6"/>
              <w:rPr>
                <w:szCs w:val="24"/>
              </w:rPr>
            </w:pPr>
            <w:r w:rsidRPr="00A514B5">
              <w:rPr>
                <w:b/>
                <w:i/>
              </w:rPr>
              <w:t>Veiligheid voor alles: deze minimumnormen moeten worden gezien in het licht van de veiligheid van en de praktische uitvoerbaarheid voor de bemanning. De veiligheid van de bemanning staat altijd voorop. De bemanningsleden dragen op zijn minst geschikte handschoenen en blijven uit d</w:t>
            </w:r>
            <w:r w:rsidR="00147CD2" w:rsidRPr="00A514B5">
              <w:rPr>
                <w:b/>
                <w:i/>
              </w:rPr>
              <w:t>e buurt bij de mond van haaien.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147CD2" w:rsidP="004B110E">
            <w:pPr>
              <w:pStyle w:val="Normal6"/>
              <w:rPr>
                <w:szCs w:val="24"/>
              </w:rPr>
            </w:pPr>
            <w:r w:rsidRPr="00A514B5">
              <w:rPr>
                <w:b/>
                <w:i/>
              </w:rPr>
              <w:t xml:space="preserve">Opleiding: </w:t>
            </w:r>
            <w:r w:rsidR="00B71BA7" w:rsidRPr="00A514B5">
              <w:rPr>
                <w:b/>
                <w:i/>
              </w:rPr>
              <w:t>er is opleidingsmateriaal beschikbaar voor de lidstaten in de drie officiële talen van de Iccat. Methode van terugzetting: voor zover mogelijk blijven alle haaien die worden teruggezet, te allen tijde in water, tenzij het noodzakelijk is de haaien op te hijsen om de soort vast te stellen. Hierbij wordt de lijn doorgesneden om de haai te bevrijden terwijl deze nog in het water ligt, met behulp van een betonschaar of instrumenten voor het verwijderen van haken om de haak zo mogelijk te verwijderen, of wordt de lijn zo dicht mogelijk bij de haak doorgesneden (zodat er zo weinig mogelijk lijn achterblijft).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Wees voorbereid: gereedschap wordt van tevoren klaargelegd (bv. hijsbanden of netbanden, draagbaren of hefinrichtingen, grofmazige netten of rasters om luiken/opvangbakken in de ringzegenvisserij af te dekken, tangen met lange handvatten en onthakers in de beugvisserij enz., als vermeld aan het einde van dit document).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Algemene aanbevelingen voor alle visserijvormen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Indien dit de operationele veiligheid niet in gevaar brengt, wordt het vaartuig stilgelegd of wordt de snelheid ervan sterk teruggebracht.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Wanneer de haai zich heeft verstrikt (in het net, de vislijn enz.), wordt het net of de lijn, als de veiligheid dat toelaat, voorzichtig losgesneden van het dier en wordt dit zo snel mogelijk teruggezet zonder eraan vastzittende verstrikkingen.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Probeer, voor zover mogelijk, de lengte van de haai te meten terwijl het dier zich in het water bevindt.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Plaats een voorwerp, zoals een vis of een grote stok of houten balk, in de kaak om bijten te voorkomen.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Als de haai om welke reden dan ook aan dek moet worden gebracht, wordt deze zo snel mogelijk in het water teruggezet om de overlevingskansen van het dier te vergroten en de risico’s voor de bemanning te verminderen.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Praktijken inzake voorzichtige behandeling voor de beugvisserij</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Breng de haai zo dicht mogelijk bij het vaartuig zonder dat er al te veel spanning komt te staan op de zijlijn om te voorkomen dat de haak, de gewichten en andere onderdelen met hoge snelheid op de vaartuigen en de bemanning af vliegen wanneer de haak losschiet of de zijlijn breekt.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Maak het uiteinde van de hoofdlijn van de beug veilig vast aan het schip om te voorkomen dat in het water achterblijvend vistuig aan de lijn en het dier trekt.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Gebruik een onthaker of betonschaar met lange handvatten om de weerhaak en vervolgens de haak zelf te verwijderen als de haak in het lichaam of de mond zit en zichtbaar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Snij de onderlijn (of sneu, bijlijn) zo dicht mogelijk bij de haak door (laat bij voorkeur zo weinig mogelijk materiaal van de lijn en/of bijlijn zitten en zorg ervoor dat er geen gewichten aan het dier blijven hangen) als de haak niet kan worden verwijderd of niet zichtbaar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Praktijken inzake voorzichtige behandeling voor de ringzegenvisserij</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In een ringzegennet: Speur het net zo ver mogelijk vooruit af op haaien om snel te kunnen reageren. Voorkom dat ze worden opgehesen in het net in de richting van de lier. Minder vaart om de spanning op het net te verminderen zodat het verstrikte dier uit het net kan worden verwijderd. Gebruik zo nodig een kniptang om het net door te knippen.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Default="00B71BA7" w:rsidP="004B110E">
            <w:pPr>
              <w:pStyle w:val="Normal6"/>
              <w:rPr>
                <w:b/>
                <w:i/>
              </w:rPr>
            </w:pPr>
            <w:r w:rsidRPr="00A514B5">
              <w:rPr>
                <w:b/>
                <w:i/>
              </w:rPr>
              <w:t>2)</w:t>
            </w:r>
            <w:r w:rsidRPr="00A514B5">
              <w:rPr>
                <w:b/>
                <w:i/>
              </w:rPr>
              <w:tab/>
              <w:t>In een schepnet of aan dek: Gebruik een speciaal voor dat doel gemaakt grofmazig vrachtnet of een draagband van zeildoek of een soortgelijk hulpmiddel. Als de indeling van het vaartuig dat toelaat, kunnen deze haaien ook worden vrijgelaten door het schepnet direct te legen in een opvangbak met een onder een hoek geplaatste hellingbaan die is verbonden met een opening in de reling van het bovendek, zonder dat de haaien door de bemanning hoeven te worden opgetild, opgehesen of aangeraakt.</w:t>
            </w:r>
          </w:p>
          <w:p w:rsidR="002D7CDE" w:rsidRPr="00A514B5" w:rsidRDefault="002D7CDE" w:rsidP="004B110E">
            <w:pPr>
              <w:pStyle w:val="Normal6"/>
              <w:rPr>
                <w:szCs w:val="24"/>
              </w:rPr>
            </w:pPr>
            <w:r w:rsidRPr="001D432B">
              <w:rPr>
                <w:b/>
                <w:i/>
                <w:lang w:val="en-GB"/>
              </w:rPr>
              <w:t>Forbidden practices for all fisheries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 xml:space="preserve">Til of hijs haaien, met name als ze zijn vastgehaakt, voor zover mogelijk, niet uit het water met behulp van de bijlijn, </w:t>
            </w:r>
            <w:r w:rsidRPr="00A514B5">
              <w:rPr>
                <w:b/>
                <w:i/>
              </w:rPr>
              <w:lastRenderedPageBreak/>
              <w:t>tenzij het noodzakelijk is de haaien op te tillen of te hijsen om de soort te identificeren.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Til of hijs haaien niet op met behulp van dunne draden of kabels, of alleen aan de staart.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Sla haaien niet tegen een oppervlak om het dier van de lijn te verwijderen.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Probeer een haak die is ingeslikt en niet zichtbaar is niet los te maken.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Probeer een haak niet te verwijderen door hard aan de bijlijn te trekken.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6)</w:t>
            </w:r>
            <w:r w:rsidRPr="00A514B5">
              <w:rPr>
                <w:b/>
                <w:i/>
              </w:rPr>
              <w:tab/>
              <w:t>Snij de staart of een ander lichaamsdeel niet af.</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Snij niet in de haai en doorboor het dier niet.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8)</w:t>
            </w:r>
            <w:r w:rsidRPr="00A514B5">
              <w:rPr>
                <w:b/>
                <w:i/>
              </w:rPr>
              <w:tab/>
              <w:t>Sla de haai niet aan een bootshaak, schop het dier niet en steek de handen niet in de kieuwspleten.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9)</w:t>
            </w:r>
            <w:r w:rsidRPr="00A514B5">
              <w:rPr>
                <w:b/>
                <w:i/>
              </w:rPr>
              <w:tab/>
              <w:t>Laat de haai niet gedurende langere tijd in de zon liggen.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10)</w:t>
            </w:r>
            <w:r w:rsidRPr="00A514B5">
              <w:rPr>
                <w:b/>
                <w:i/>
              </w:rPr>
              <w:tab/>
              <w:t>Wikkel de lijn niet om uw vingers, handen of armen wanneer u een haai of rog aan boord brengt (dit kan tot ernstige verwondingen leiden).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Nuttige hulpmiddelen voor voorzichtige behandeling en terugzetting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Handschoenen (de huid van een haai is ruw; hiermee waarborgt u de voorzichtige behandeling van de haai en beschermt u de handen tegen bijten)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Handdoek of stuk doek (een in zeewater gedrenkte handdoek of stuk doek kan over de ogen van de haai worden gelegd om het dier te kalmeren)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Instrumenten voor het verwijderen van haken (bv. een “pig-tail”-onthaker, betonschaar of snijtang)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 xml:space="preserve">Haaientuig of draagbaar (indien </w:t>
            </w:r>
            <w:r w:rsidRPr="00A514B5">
              <w:rPr>
                <w:b/>
                <w:i/>
              </w:rPr>
              <w:lastRenderedPageBreak/>
              <w:t>nodig)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Staartlijn (om een vastgehaakte haai mee vast te maken als deze uit het water moet worden verwijderd)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6)</w:t>
            </w:r>
            <w:r w:rsidRPr="00A514B5">
              <w:rPr>
                <w:b/>
                <w:i/>
              </w:rPr>
              <w:tab/>
              <w:t>Zoutwaterslang (als verwacht wordt dat het langer dan vijf minuten zal duren voordat een haai wordt vrijgelaten, plaatst u de slang in de mond van het dier zodat er een matige hoeveelheid zeewater in stroomt. Laat de dekpomp verscheidene minuten lopen voordat u de slang in de mond van de haai steekt)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Meetinstrument (bv. een stok, bijlijn en drijver met markeringen, of een meetlint)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8)</w:t>
            </w:r>
            <w:r w:rsidRPr="00A514B5">
              <w:rPr>
                <w:b/>
                <w:i/>
              </w:rPr>
              <w:tab/>
              <w:t>Gegevensblad voor het registreren van alle vangsten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9)</w:t>
            </w:r>
            <w:r w:rsidRPr="00A514B5">
              <w:rPr>
                <w:b/>
                <w:i/>
              </w:rPr>
              <w:tab/>
              <w:t>Markeringstuig (indien van toepassing)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83</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Bijlage VIII ter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VIII 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Richtsnoeren voor het minderen van de ecologische impact van FAD’s in Iccat-visserijen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De oppervlaktestructuur van de FAD is niet bedekt of alleen bedekt met materiaal dat een minimaal risico van verstrikking van bijvangstsoorten inhoudt.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 xml:space="preserve">De onderwateronderdelen zijn uitsluitend vervaardigd van niet-verstrikkend materiaal (bv. touwen of </w:t>
            </w:r>
            <w:r w:rsidRPr="00A514B5">
              <w:rPr>
                <w:b/>
                <w:i/>
              </w:rPr>
              <w:lastRenderedPageBreak/>
              <w:t>zeildoek).</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Bij het ontwerpen van FAD’s wordt voorrang gegeven aan biologisch afbreekbare materialen.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84</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2017/2107</w:t>
      </w:r>
      <w:r w:rsidRPr="00A514B5">
        <w:rPr>
          <w:rStyle w:val="HideTWBExt"/>
        </w:rPr>
        <w:t>&lt;/DocAmend2&gt;</w:t>
      </w:r>
    </w:p>
    <w:p w:rsidR="0049599D" w:rsidRPr="00A514B5" w:rsidRDefault="00B71BA7" w:rsidP="0049599D">
      <w:r w:rsidRPr="00A514B5">
        <w:rPr>
          <w:rStyle w:val="HideTWBExt"/>
        </w:rPr>
        <w:t>&lt;Article2&gt;</w:t>
      </w:r>
      <w:r w:rsidRPr="00A514B5">
        <w:t>Bijlage VIII quater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VIII quater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Praktijken inzake voorzichtige behandeling en terugzetting van zeeschildpadden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Voorzichtige behandeling en terugzetting: ringzegens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Wanneer een zeeschildpad wordt opgemerkt in het net, wordt alles in het werk gesteld om het dier te redden voordat het in het net verstrikt raakt.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Een zeeschildpad wordt niet uit het water gehesen met behulp van de vislijn als het dier daaraan is vastgehaakt of daarin verstrikt is geraakt.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Als een zeeschildpad zich tijdens het inhalen van het net verstrikt, wordt het inhalen gestaakt zodra de zeeschildpad boven water verschijnt; de schildpad wordt bevrijd zonder het dier te verwonden, waarna het inhalen van het net wordt hervat.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Als een zeeschildpad, ondanks de genomen maatregelen, bij toeval aan boord van het vaartuig wordt gebracht en het dier in leven en actief, of dood, is, wordt het zo snel als praktisch gezien mogelijk teruggezet.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Als een zeeschildpad aan boord van het vaartuig wordt gebracht en het dier in comateuze toestand verkeert of inactief is, wordt geprobeerd het te reanimeren.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Voorzichtige behandeling en terugzetting: beugen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Wanneer dit praktisch uitvoerbaar is en wanneer de exploitant of bemanning is opgeleid, worden comateuze zeeschildpadden onmiddellijk aan boord gebracht.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Wanneer een zeeschildpad wordt waargenomen, mindert het vaartuig vaart, wordt de snelheid van de draadhaspel verlaagd en zet het vaartuig koers naar de zeeschildpad om zo de spanning op de lijn te verminderen.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Een zeeschildpad wordt niet uit het water gehesen met behulp van de vislijn als het dier daaraan is vastgehaakt of daarin verstrikt is geraakt.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Als een zeeschildpad te groot is of zo is vastgehaakt dat het dier niet veilig aan boord kan worden gebracht zonder verdere schade/letsel aan de zeeschildpad te veroorzaken, wordt de lijn doorgeknipt met een kniptang en wordt zoveel mogelijk lijn verwijderd voordat de zeeschildpad wordt teruggezet.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Als tijdens het ophalen van het vistuig wordt vastgesteld dat een zeeschildpad is vastgehaakt of zich verstrikt heeft in beuglijnen, staakt de vaartuigexploitant het ophalen onmiddellijk totdat het dier is verwijderd van de beuglijnen of aan boord van het vaartuig is gebracht.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6)</w:t>
            </w:r>
            <w:r w:rsidRPr="00A514B5">
              <w:rPr>
                <w:b/>
                <w:i/>
              </w:rPr>
              <w:tab/>
              <w:t xml:space="preserve">Als de haak vastzit aan de buitenkant van het lichaam van de zeeschildpad of volledig zichtbaar is, wordt deze zo snel en voorzichtig mogelijk verwijderd. Als de haak niet kan worden verwijderd (bv. omdat hij is ingeslikt of vastzit in het verhemelte), wordt de lijn zo </w:t>
            </w:r>
            <w:r w:rsidRPr="00A514B5">
              <w:rPr>
                <w:b/>
                <w:i/>
              </w:rPr>
              <w:lastRenderedPageBreak/>
              <w:t>dicht mogelijk bij de haak doorgesneden.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7)</w:t>
            </w:r>
            <w:r w:rsidRPr="00A514B5">
              <w:rPr>
                <w:b/>
                <w:i/>
              </w:rPr>
              <w:tab/>
              <w:t>Levende zeeschildpadden worden op de volgende manier teruggezet in zee: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de motor van het vaartuig wordt in de neutrale stand gezet zodat de scheepsschroef niet wordt aangedreven en het vaartuig tot stilstand komt, en de zeeschildpad wordt vrijgelaten uit de buurt van uitgezet vistuig; 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er wordt op gelet dat de zeeschildpad zich op veilige afstand van het vaartuig bevindt voordat de scheepsschroef wordt ingeschakeld en de activiteiten worden voortgezet.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8)</w:t>
            </w:r>
            <w:r w:rsidRPr="00A514B5">
              <w:rPr>
                <w:b/>
                <w:i/>
              </w:rPr>
              <w:tab/>
              <w:t>Als de aan boord van het vaartuig gebrachte zeeschildpad in comateuze toestand verkeert of inactief is, wordt geprobeerd het dier te reanimeren (lid 3).</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Reanimatie van een zeeschildpad aan boord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1)</w:t>
            </w:r>
            <w:r w:rsidRPr="00A514B5">
              <w:rPr>
                <w:b/>
                <w:i/>
              </w:rPr>
              <w:tab/>
              <w:t>Houd een zeeschildpad vast aan het schild, en blijf uit de buurt van de kop, het gebied rond de nek en de zwempoten.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2)</w:t>
            </w:r>
            <w:r w:rsidRPr="00A514B5">
              <w:rPr>
                <w:b/>
                <w:i/>
              </w:rPr>
              <w:tab/>
              <w:t>Probeer vreemde voorwerpen, zoals stukken plastic of net, of vastzittende haken enz., zoveel mogelijk te verwijderen en/of los te maken van de zeeschildpad.</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3)</w:t>
            </w:r>
            <w:r w:rsidRPr="00A514B5">
              <w:rPr>
                <w:b/>
                <w:i/>
              </w:rPr>
              <w:tab/>
              <w:t xml:space="preserve">Leg de zeeschildpad met zijn buikpantser (plastron) naar beneden op een meegevend oppervlak, zoals een autoband zonder rand, een bootkussen of een opgerold stuk touw, zodat het dier veilig afgeschermd, stabiel en met de goede kant naar boven ligt. Het meegevende oppervlak heeft hoofdzakelijk tot doel de zeeschildpad iets omhoog te brengen ten opzichte van het dek om te helpen het in bedwang te houden. Breng het achterlijf van het dier ten minste 15 cm gedurende 4 tot 24 uur omhoog. De precieze hoogte is afhankelijk van de grootte van de schildpad; hoe groter de zeeschildpad, des te hoger. Wieg de zeeschildpad van tijd tot tijd zachtjes van </w:t>
            </w:r>
            <w:r w:rsidRPr="00A514B5">
              <w:rPr>
                <w:b/>
                <w:i/>
              </w:rPr>
              <w:lastRenderedPageBreak/>
              <w:t>links naar rechts door het dier vast te houden bij de buitenrand van het rugschild (carapax) en de ene kant ongeveer 8 cm op te tillen en daarna de andere kant. Raak af en toe voorzichtig het oog aan en knijp in de staart (reflextest) om te zien of er een reactie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4)</w:t>
            </w:r>
            <w:r w:rsidRPr="00A514B5">
              <w:rPr>
                <w:b/>
                <w:i/>
              </w:rPr>
              <w:tab/>
              <w:t>Zeeschildpadden die worden gereanimeerd, worden beschermd tegen het zonlicht en licht nat of vochtig gehouden maar in geen geval in een bak met water geplaatst. Een zeeschildpad kan het beste vochtig worden gehouden door een in water gedrenkte handdoek over de kop, het rugschild en de zwempoten te leggen.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5)</w:t>
            </w:r>
            <w:r w:rsidRPr="00A514B5">
              <w:rPr>
                <w:b/>
                <w:i/>
              </w:rPr>
              <w:tab/>
              <w:t>Zeeschildpadden die weer bijkomen en actief worden, worden alleen aan de achtersteven vrijgelaten wanneer er geen vistuig in gebruik is (d.w.z., niet wordt uitgezet of ingehaald) en wanneer de aandrijving in de neutrale stand staat, in gebieden waar het niet waarschijnlijk is dat zij opnieuw zullen worden gevangen of zullen worden verwond door vaartuigen.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6)</w:t>
            </w:r>
            <w:r w:rsidRPr="00A514B5">
              <w:rPr>
                <w:b/>
                <w:i/>
              </w:rPr>
              <w:tab/>
              <w:t>Zeeschildpadden die niet op de reflextest reageren of zich niet binnen 4 uur (tot 24 uur, indien mogelijk) bewegen, worden op dezelfde manier in het water teruggezet als energiek bewegende zeeschildpadden.</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85</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Bijlage XV bis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XV bis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Procedure voor het verzegelen van transportkooien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Voordat een ringzegenvaartuig, een tonnara of een sleepvaartuig wordt ingezet, verstrekt de voor het ROP verantwoordelijke provider ten minste 25 Iccat-zegels aan elke regionale Iccat-waarnemer die onder zijn verantwoordelijkheid valt en houdt een register bij van de verstrekte en gebruikte zegels.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De kapitein van het vangst- of het sleepvaartuig of diens vertegenwoordiger, of de vertegenwoordiger van een kwekerij of een tonnara, waaruit wordt overgeheveld, is verantwoordelijk voor het verzegelen van de kooien. Hiertoe worden ten minste drie zegels zodanig op elke kooideur aangebracht dat de deuren niet kunnen worden geopend zonder de zegels te verbreken.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 xml:space="preserve">Van het verzegelen worden video-opnamen gemaakt door de kapitein van het vangst- of het sleepvaartuig of diens vertegenwoordiger, of de vertegenwoordiger van een kwekerij of een tonnara, waaruit wordt overgeheveld, aan de hand waarvan de zegels kunnen worden geïdentificeerd en kan worden geverifieerd dat de zegels naar behoren zijn aangebracht. De video-opnamen voldoen aan bijlage X, lid 1, punten a), b) en c). De bewuste videobeelden vergezellen de vis tot aan de kwekerij van bestemming. Er wordt een kopie bewaard aan boord van de overhevelende vaartuigen of bij de tonnara’s, en deze blijft te allen tijde gedurende het visseizoen toegankelijk voor controledoeleinden. Een kopie van de videobeelden wordt ter beschikking gesteld aan de regionale Iccat-waarnemer </w:t>
            </w:r>
            <w:r w:rsidRPr="00A514B5">
              <w:rPr>
                <w:b/>
                <w:i/>
              </w:rPr>
              <w:lastRenderedPageBreak/>
              <w:t>aan boord van het ringzegenvaartuig of bij de tonnara, of aan de nationale waarnemer op het ontvangende sleepvaartuig, alvorens deze wordt doorgezonden naar de bevoegde autoriteit van de CPC of de regionale waarnemer die bij de daaropvolgende controleoverheveling aanwezig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De videobeelden van de daaropvolgende controleoverheveling omvatten het verzegelen, waarbij zodanig te werk wordt gegaan dat de zegels kunnen worden geïdentificeerd en kan worden geverifieerd dat er niet met de zegels is geknoeid.</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86</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Bijlage XV ter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XV 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Model voor de verwerkingsaangifte en de oogstverklaring</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Verwerken / Oogsten (omcirkel wat van toepassing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Oogstdatum (d.m.jj): . .</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Kwekerij / Tonnara (omcirkel wat van toepassing is)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Kooinummer(s):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Aantal geoogste exemplaren: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Levend gewicht in kg van de geoogste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Verwerkt gewicht in kg van de geoogste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eBCD-nummer(s) van de geoogste blauwvintonijn: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Bijzonderheden over bij de activiteiten betrokken hulpvaartuigen: Naam: Vlag: Iccat-registratienr.: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Bestemming van de geoogste tonijn (uitvoer, lokale markt, of anders) (omcirkel wat van toepassing is). Indien u “anders” omcirkelt, specificeren a.u.b.:</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Waarmerking door de regionale Iccat-waarnemer of CPC-waarnemer, al naargelang het geval: Waarnemer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Naam:</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Iccat-nr.: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Handtekening: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w:t>
      </w:r>
    </w:p>
    <w:p w:rsidR="0049599D" w:rsidRPr="00A514B5" w:rsidRDefault="00B71BA7" w:rsidP="0049599D">
      <w:pPr>
        <w:pStyle w:val="AMNumberTabs0"/>
        <w:keepNext/>
      </w:pPr>
      <w:r w:rsidRPr="00A514B5">
        <w:rPr>
          <w:rStyle w:val="HideTWBExt"/>
          <w:b w:val="0"/>
        </w:rPr>
        <w:t>&lt;Amend&gt;</w:t>
      </w:r>
      <w:r w:rsidRPr="00A514B5">
        <w:t>Amendement</w:t>
      </w:r>
      <w:r w:rsidRPr="00A514B5">
        <w:tab/>
      </w:r>
      <w:r w:rsidRPr="00A514B5">
        <w:tab/>
      </w:r>
      <w:r w:rsidRPr="00A514B5">
        <w:rPr>
          <w:rStyle w:val="HideTWBExt"/>
          <w:b w:val="0"/>
        </w:rPr>
        <w:t>&lt;NumAm&gt;</w:t>
      </w:r>
      <w:r w:rsidRPr="00A514B5">
        <w:t>87</w:t>
      </w:r>
      <w:r w:rsidRPr="00A514B5">
        <w:rPr>
          <w:rStyle w:val="HideTWBExt"/>
          <w:b w:val="0"/>
        </w:rPr>
        <w:t>&lt;/NumAm&gt;</w:t>
      </w:r>
    </w:p>
    <w:p w:rsidR="0049599D" w:rsidRPr="00A514B5" w:rsidRDefault="00B71BA7" w:rsidP="0049599D">
      <w:pPr>
        <w:pStyle w:val="NormalBold12b"/>
        <w:keepNext/>
      </w:pPr>
      <w:r w:rsidRPr="00A514B5">
        <w:rPr>
          <w:rStyle w:val="HideTWBExt"/>
          <w:b w:val="0"/>
        </w:rPr>
        <w:t>&lt;DocAmend&gt;</w:t>
      </w:r>
      <w:r w:rsidRPr="00A514B5">
        <w:t>Voorstel voor een verordening</w:t>
      </w:r>
      <w:r w:rsidRPr="00A514B5">
        <w:rPr>
          <w:rStyle w:val="HideTWBExt"/>
          <w:b w:val="0"/>
        </w:rPr>
        <w:t>&lt;/DocAmend&gt;</w:t>
      </w:r>
    </w:p>
    <w:p w:rsidR="0049599D" w:rsidRPr="00A514B5" w:rsidRDefault="00B71BA7" w:rsidP="0049599D">
      <w:pPr>
        <w:pStyle w:val="NormalBold"/>
      </w:pPr>
      <w:r w:rsidRPr="00A514B5">
        <w:rPr>
          <w:rStyle w:val="HideTWBExt"/>
          <w:b w:val="0"/>
        </w:rPr>
        <w:t>&lt;Article&gt;</w:t>
      </w:r>
      <w:r w:rsidRPr="00A514B5">
        <w:t>Bijlage</w:t>
      </w:r>
      <w:r w:rsidRPr="00A514B5">
        <w:rPr>
          <w:rStyle w:val="HideTWBExt"/>
          <w:b w:val="0"/>
        </w:rPr>
        <w:t>&lt;/Article&gt;</w:t>
      </w:r>
    </w:p>
    <w:p w:rsidR="0049599D" w:rsidRPr="00A514B5" w:rsidRDefault="00B71BA7" w:rsidP="0049599D">
      <w:pPr>
        <w:keepNext/>
      </w:pPr>
      <w:r w:rsidRPr="00A514B5">
        <w:rPr>
          <w:rStyle w:val="HideTWBExt"/>
        </w:rPr>
        <w:t>&lt;DocAmend2&gt;</w:t>
      </w:r>
      <w:r w:rsidRPr="00A514B5">
        <w:t>Verordening (EU) 2023/XX</w:t>
      </w:r>
      <w:r w:rsidRPr="00A514B5">
        <w:rPr>
          <w:rStyle w:val="HideTWBExt"/>
        </w:rPr>
        <w:t>&lt;/DocAmend2&gt;</w:t>
      </w:r>
    </w:p>
    <w:p w:rsidR="0049599D" w:rsidRPr="00A514B5" w:rsidRDefault="00B71BA7" w:rsidP="0049599D">
      <w:r w:rsidRPr="00A514B5">
        <w:rPr>
          <w:rStyle w:val="HideTWBExt"/>
        </w:rPr>
        <w:t>&lt;Article2&gt;</w:t>
      </w:r>
      <w:r w:rsidRPr="00A514B5">
        <w:t>Bijlage XV quater (nieuw)</w:t>
      </w:r>
      <w:r w:rsidRPr="00A514B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071D" w:rsidRPr="00A514B5" w:rsidTr="004B110E">
        <w:trPr>
          <w:jc w:val="center"/>
        </w:trPr>
        <w:tc>
          <w:tcPr>
            <w:tcW w:w="9752" w:type="dxa"/>
            <w:gridSpan w:val="2"/>
          </w:tcPr>
          <w:p w:rsidR="0049599D" w:rsidRPr="00A514B5" w:rsidRDefault="0049599D" w:rsidP="004B110E">
            <w:pPr>
              <w:keepNext/>
            </w:pPr>
          </w:p>
        </w:tc>
      </w:tr>
      <w:tr w:rsidR="00B9071D" w:rsidRPr="00A514B5" w:rsidTr="004B110E">
        <w:trPr>
          <w:jc w:val="center"/>
        </w:trPr>
        <w:tc>
          <w:tcPr>
            <w:tcW w:w="4876" w:type="dxa"/>
          </w:tcPr>
          <w:p w:rsidR="0049599D" w:rsidRPr="00A514B5" w:rsidRDefault="00B71BA7" w:rsidP="004B110E">
            <w:pPr>
              <w:pStyle w:val="ColumnHeading"/>
              <w:keepNext/>
            </w:pPr>
            <w:r w:rsidRPr="00A514B5">
              <w:t>Bestaande tekst</w:t>
            </w:r>
          </w:p>
        </w:tc>
        <w:tc>
          <w:tcPr>
            <w:tcW w:w="4876" w:type="dxa"/>
          </w:tcPr>
          <w:p w:rsidR="0049599D" w:rsidRPr="00A514B5" w:rsidRDefault="00B71BA7" w:rsidP="004B110E">
            <w:pPr>
              <w:pStyle w:val="ColumnHeading"/>
              <w:keepNext/>
            </w:pPr>
            <w:r w:rsidRPr="00A514B5">
              <w:t>Amendement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Bijlage XV quater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Voor de jaarlijkse overdrachtaangifte te verstrekken informatie</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a)</w:t>
            </w:r>
            <w:r w:rsidRPr="00A514B5">
              <w:rPr>
                <w:b/>
                <w:i/>
              </w:rPr>
              <w:tab/>
              <w:t>Vlaggenlidstaat;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b)</w:t>
            </w:r>
            <w:r w:rsidRPr="00A514B5">
              <w:rPr>
                <w:b/>
                <w:i/>
              </w:rPr>
              <w:tab/>
              <w:t>Naam en Iccat-nummer van de kwekerij;</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c)</w:t>
            </w:r>
            <w:r w:rsidRPr="00A514B5">
              <w:rPr>
                <w:b/>
                <w:i/>
              </w:rPr>
              <w:tab/>
              <w:t>Vangstjaar;</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d)</w:t>
            </w:r>
            <w:r w:rsidRPr="00A514B5">
              <w:rPr>
                <w:b/>
                <w:i/>
              </w:rPr>
              <w:tab/>
              <w:t>Referentie van het eBCD betreffende de overgedragen vangsten;</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e)</w:t>
            </w:r>
            <w:r w:rsidRPr="00A514B5">
              <w:rPr>
                <w:b/>
                <w:i/>
              </w:rPr>
              <w:tab/>
              <w:t>Kooinummers;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f)</w:t>
            </w:r>
            <w:r w:rsidRPr="00A514B5">
              <w:rPr>
                <w:b/>
                <w:i/>
              </w:rPr>
              <w:tab/>
              <w:t>Hoeveelheden (in kg) en aantal overgedragen stuks;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g)</w:t>
            </w:r>
            <w:r w:rsidRPr="00A514B5">
              <w:rPr>
                <w:b/>
                <w:i/>
              </w:rPr>
              <w:tab/>
              <w:t>Gemiddeld gewicht;</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h)</w:t>
            </w:r>
            <w:r w:rsidRPr="00A514B5">
              <w:rPr>
                <w:b/>
                <w:i/>
              </w:rPr>
              <w:tab/>
              <w:t>Informatie van elk van de beoordelingen van overdrachten: datum en kooinummers;</w:t>
            </w:r>
          </w:p>
        </w:tc>
      </w:tr>
      <w:tr w:rsidR="00B9071D" w:rsidRPr="00A514B5" w:rsidTr="004B110E">
        <w:trPr>
          <w:jc w:val="center"/>
        </w:trPr>
        <w:tc>
          <w:tcPr>
            <w:tcW w:w="4876" w:type="dxa"/>
          </w:tcPr>
          <w:p w:rsidR="0049599D" w:rsidRPr="00A514B5" w:rsidRDefault="0049599D" w:rsidP="004B110E">
            <w:pPr>
              <w:pStyle w:val="Normal6"/>
            </w:pPr>
          </w:p>
        </w:tc>
        <w:tc>
          <w:tcPr>
            <w:tcW w:w="4876" w:type="dxa"/>
          </w:tcPr>
          <w:p w:rsidR="0049599D" w:rsidRPr="00A514B5" w:rsidRDefault="00B71BA7" w:rsidP="004B110E">
            <w:pPr>
              <w:pStyle w:val="Normal6"/>
              <w:rPr>
                <w:szCs w:val="24"/>
              </w:rPr>
            </w:pPr>
            <w:r w:rsidRPr="00A514B5">
              <w:rPr>
                <w:b/>
                <w:i/>
              </w:rPr>
              <w:t>i)</w:t>
            </w:r>
            <w:r w:rsidRPr="00A514B5">
              <w:rPr>
                <w:b/>
                <w:i/>
              </w:rPr>
              <w:tab/>
              <w:t>Informatie over eerdere overhevelingen binnen kwekerijen, indien van toepassing.</w:t>
            </w:r>
          </w:p>
        </w:tc>
      </w:tr>
    </w:tbl>
    <w:p w:rsidR="0049599D" w:rsidRPr="00A514B5" w:rsidRDefault="00B71BA7" w:rsidP="0049599D">
      <w:pPr>
        <w:pStyle w:val="Olang"/>
      </w:pPr>
      <w:r w:rsidRPr="00A514B5">
        <w:t xml:space="preserve">Or. </w:t>
      </w:r>
      <w:r w:rsidRPr="00A514B5">
        <w:rPr>
          <w:rStyle w:val="HideTWBExt"/>
          <w:noProof w:val="0"/>
        </w:rPr>
        <w:t>&lt;Original&gt;</w:t>
      </w:r>
      <w:r w:rsidRPr="00A514B5">
        <w:rPr>
          <w:rStyle w:val="HideTWBInt"/>
        </w:rPr>
        <w:t>{EN}</w:t>
      </w:r>
      <w:r w:rsidRPr="00A514B5">
        <w:t>en</w:t>
      </w:r>
      <w:r w:rsidRPr="00A514B5">
        <w:rPr>
          <w:rStyle w:val="HideTWBExt"/>
          <w:noProof w:val="0"/>
        </w:rPr>
        <w:t>&lt;/Original&gt;</w:t>
      </w:r>
    </w:p>
    <w:p w:rsidR="0049599D" w:rsidRPr="00A514B5" w:rsidRDefault="00B71BA7" w:rsidP="0049599D">
      <w:r w:rsidRPr="00A514B5">
        <w:rPr>
          <w:rStyle w:val="HideTWBExt"/>
        </w:rPr>
        <w:t>&lt;/Amend&gt;&lt;/RepeatBlock-Amend&gt;</w:t>
      </w:r>
    </w:p>
    <w:p w:rsidR="0049599D" w:rsidRPr="00A514B5" w:rsidRDefault="0049599D" w:rsidP="0049599D"/>
    <w:p w:rsidR="0049599D" w:rsidRPr="00A514B5" w:rsidRDefault="0049599D" w:rsidP="0049599D"/>
    <w:p w:rsidR="0049599D" w:rsidRPr="00A514B5" w:rsidRDefault="00B71BA7" w:rsidP="0049599D">
      <w:pPr>
        <w:widowControl/>
      </w:pPr>
      <w:r w:rsidRPr="00A514B5">
        <w:br w:type="page"/>
      </w:r>
    </w:p>
    <w:p w:rsidR="0049599D" w:rsidRPr="00A514B5" w:rsidRDefault="00B71BA7" w:rsidP="0049599D">
      <w:pPr>
        <w:pStyle w:val="PageHeading"/>
      </w:pPr>
      <w:bookmarkStart w:id="2" w:name="_Toc144998796"/>
      <w:r w:rsidRPr="00A514B5">
        <w:lastRenderedPageBreak/>
        <w:t>TOELICHTING</w:t>
      </w:r>
      <w:bookmarkEnd w:id="2"/>
    </w:p>
    <w:p w:rsidR="0049599D" w:rsidRPr="00A514B5" w:rsidRDefault="00B71BA7" w:rsidP="0049599D">
      <w:pPr>
        <w:tabs>
          <w:tab w:val="left" w:pos="3855"/>
        </w:tabs>
        <w:rPr>
          <w:b/>
        </w:rPr>
      </w:pPr>
      <w:r w:rsidRPr="00A514B5">
        <w:rPr>
          <w:b/>
        </w:rPr>
        <w:t>ACHTERGROND</w:t>
      </w:r>
    </w:p>
    <w:p w:rsidR="0049599D" w:rsidRPr="00A514B5" w:rsidRDefault="0049599D" w:rsidP="0049599D">
      <w:pPr>
        <w:tabs>
          <w:tab w:val="left" w:pos="3855"/>
        </w:tabs>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Het Iccat-verdrag biedt een kader voor de regionale samenwerking op het gebied van de instandhouding en het beheer van de bestanden van tonijnen en tonijnachtigen in de Atlantische Oceaan en aangrenzende zeeën middels de oprichting van de Internationale Commissie voor de Instandhouding van Atlantische tonijnen (de “Iccat”).</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 xml:space="preserve">Het doel van het gemeenschappelijk visserijbeleid (GVB) als omschreven in </w:t>
      </w:r>
      <w:hyperlink r:id="rId9" w:history="1">
        <w:r w:rsidRPr="00A514B5">
          <w:rPr>
            <w:rStyle w:val="Hyperlink"/>
            <w:rFonts w:ascii="inherit" w:hAnsi="inherit"/>
            <w:color w:val="000000"/>
            <w:bdr w:val="none" w:sz="0" w:space="0" w:color="auto" w:frame="1"/>
          </w:rPr>
          <w:t>Verordening (EU) nr. 1380/2013 van het Europees Parlement en de Raad</w:t>
        </w:r>
      </w:hyperlink>
      <w:r w:rsidRPr="00A514B5">
        <w:rPr>
          <w:rFonts w:ascii="inherit" w:hAnsi="inherit"/>
          <w:color w:val="000000"/>
          <w:bdr w:val="none" w:sz="0" w:space="0" w:color="auto" w:frame="1"/>
        </w:rPr>
        <w:t xml:space="preserve"> is exploitatie van de biologische rijkdommen van de zee te garanderen die voor ecologische, economische en sociale duurzaamheid op lange termijn zorgt. De Europese Unie is sinds 14 november 1997 partij bij het Internationale Verdrag voor de Instandhouding van Atlantische Tonijnen (hierna “het Iccat-verdrag” genoemd).</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De Iccat heeft het gezag om bindende aanbevelingen uit te vaardigen voor de instandhouding en het beheer van de visserijen die onder haar bevoegdheid vallen. Deze handelingen zijn hoofdzakelijk gericht tot de bij de Iccat aangesloten partijen, maar bevatten tevens verplichtingen voor particuliere exploitanten (zoals kapiteins van vaartuigen). De Iccat-aanbevelingen treden zes maanden na de vaststelling ervan in werking en moeten, wat de EU betreft, in het recht van de Europese Unie worden omgezet.</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A514B5">
        <w:rPr>
          <w:rFonts w:ascii="inherit" w:hAnsi="inherit"/>
          <w:b/>
          <w:color w:val="000000"/>
          <w:bdr w:val="none" w:sz="0" w:space="0" w:color="auto" w:frame="1"/>
        </w:rPr>
        <w:t>INHOUD VAN HET VOORSTEL</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 xml:space="preserve">Het voorstel bevat een aantal bepalingen met betrekking tot Iccat-aanbevelingen tot wijziging van Verordening (EU) 2017/2107, waaronder: </w:t>
      </w:r>
    </w:p>
    <w:p w:rsidR="0049599D" w:rsidRPr="00A514B5" w:rsidRDefault="00B71BA7"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A514B5">
        <w:rPr>
          <w:rFonts w:ascii="Symbol" w:hAnsi="Symbol"/>
          <w:color w:val="000000"/>
          <w:bdr w:val="none" w:sz="0" w:space="0" w:color="auto" w:frame="1"/>
        </w:rPr>
        <w:sym w:font="Symbol" w:char="F0B7"/>
      </w:r>
      <w:r w:rsidRPr="00A514B5">
        <w:rPr>
          <w:rFonts w:ascii="Symbol" w:hAnsi="Symbol"/>
          <w:color w:val="000000"/>
          <w:bdr w:val="none" w:sz="0" w:space="0" w:color="auto" w:frame="1"/>
        </w:rPr>
        <w:tab/>
      </w:r>
      <w:r w:rsidRPr="00A514B5">
        <w:rPr>
          <w:rFonts w:ascii="inherit" w:hAnsi="inherit"/>
          <w:color w:val="000000"/>
          <w:bdr w:val="none" w:sz="0" w:space="0" w:color="auto" w:frame="1"/>
        </w:rPr>
        <w:t xml:space="preserve">definities van “ondersteuningsvaartuig”, “visaantrekkende voorziening (fish-aggregating device – FAD)”, “FAD-trek”, “drijvend voorwerp” en “operationele boei” overeenkomstig Iccat-aanbeveling 19-02; </w:t>
      </w:r>
    </w:p>
    <w:p w:rsidR="00B71BA7" w:rsidRPr="00A514B5" w:rsidRDefault="00B71BA7" w:rsidP="00947A48">
      <w:pPr>
        <w:pStyle w:val="Normal1"/>
        <w:numPr>
          <w:ilvl w:val="0"/>
          <w:numId w:val="42"/>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capaciteitsbeperkingen voor tropische tonijn en een verbod op de teruggooi daarvan door ringzegenvaartuigen, die overeenkomstig Iccat-aanbeveling 17-01 in het recht van de Unie moeten worden omgezet;</w:t>
      </w:r>
    </w:p>
    <w:p w:rsidR="00B71BA7" w:rsidRPr="00A514B5" w:rsidRDefault="00B71BA7" w:rsidP="00947A48">
      <w:pPr>
        <w:pStyle w:val="Normal1"/>
        <w:numPr>
          <w:ilvl w:val="0"/>
          <w:numId w:val="42"/>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nieuwe bepalingen inzake de inzet van FAD’s en de dekking door waarnemers overeenkomstig Iccat-aanbeveling 19-02;</w:t>
      </w:r>
    </w:p>
    <w:p w:rsidR="00B71BA7" w:rsidRPr="00A514B5" w:rsidRDefault="00B71BA7" w:rsidP="00947A48">
      <w:pPr>
        <w:pStyle w:val="Normal1"/>
        <w:numPr>
          <w:ilvl w:val="0"/>
          <w:numId w:val="42"/>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bepalingen inzake Noord- en Zuid-Atlantische witte tonijn overeenkomstig de Iccat-aanbevelingen 16-06 en 16-07, met inbegrip van bepalingen inzake overdrachten, alsook overdrachten voor Noord- en Zuid-Atlantische zwaardvis, overeenkomstig de Iccat-aanbevelingen 17-02 en 17-03;</w:t>
      </w:r>
    </w:p>
    <w:p w:rsidR="00B71BA7" w:rsidRPr="00A514B5" w:rsidRDefault="00B71BA7" w:rsidP="00947A48">
      <w:pPr>
        <w:pStyle w:val="Normal1"/>
        <w:numPr>
          <w:ilvl w:val="0"/>
          <w:numId w:val="42"/>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bepalingen inzake gegevensverzameling voor Atlantische zeilvis, Istiophoridae en marlijnen overeenkomstig de Iccat-aanbevelingen 16-11, 18-05 en 19-05;</w:t>
      </w:r>
    </w:p>
    <w:p w:rsidR="00B71BA7" w:rsidRPr="00A514B5" w:rsidRDefault="00947A48" w:rsidP="00947A48">
      <w:pPr>
        <w:pStyle w:val="Normal1"/>
        <w:numPr>
          <w:ilvl w:val="0"/>
          <w:numId w:val="42"/>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bepalingen inzake overdrachten van grootoogtonijn overeenkomstig Iccat-aanbeveling 21-01;</w:t>
      </w:r>
    </w:p>
    <w:p w:rsidR="0049599D" w:rsidRPr="00A514B5" w:rsidRDefault="00B71BA7" w:rsidP="00947A48">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A514B5">
        <w:rPr>
          <w:rFonts w:ascii="Symbol" w:hAnsi="Symbol"/>
          <w:color w:val="000000"/>
          <w:bdr w:val="none" w:sz="0" w:space="0" w:color="auto" w:frame="1"/>
        </w:rPr>
        <w:sym w:font="Symbol" w:char="F0B7"/>
      </w:r>
      <w:r w:rsidRPr="00A514B5">
        <w:rPr>
          <w:rFonts w:ascii="Symbol" w:hAnsi="Symbol"/>
          <w:color w:val="000000"/>
          <w:bdr w:val="none" w:sz="0" w:space="0" w:color="auto" w:frame="1"/>
        </w:rPr>
        <w:tab/>
      </w:r>
      <w:r w:rsidRPr="00A514B5">
        <w:rPr>
          <w:rFonts w:ascii="inherit" w:hAnsi="inherit"/>
          <w:color w:val="000000"/>
          <w:bdr w:val="none" w:sz="0" w:space="0" w:color="auto" w:frame="1"/>
        </w:rPr>
        <w:t xml:space="preserve">voor haaien bevat het voorstel bijgewerkte bepalingen inzake de gegevensverzameling voor kortvinmakreelhaaien en haaien overeenkomstig de Iccat-aanbevelingen 19-06, 19-07 en 19-08. Daarnaast bevat het voorstel overeenkomstig de Iccat-aanbevelingen </w:t>
      </w:r>
      <w:r w:rsidRPr="00A514B5">
        <w:rPr>
          <w:rFonts w:ascii="inherit" w:hAnsi="inherit"/>
          <w:color w:val="000000"/>
          <w:bdr w:val="none" w:sz="0" w:space="0" w:color="auto" w:frame="1"/>
        </w:rPr>
        <w:lastRenderedPageBreak/>
        <w:t>16-14, 16-15, 18-10 en 19-10 bepalingen inzake de frequentie van de gegevensoverdracht voor ringzegenvaartuigen, nieuwe bepalingen inzake het Iccat-register van transportvaartuigen en de verplichtingen van de lidstaten met betrekking tot het aan boord nemen van waarnemers in het kader van regionale Iccat-waarnemersprogramma’s, met inbegrip van een minimale waarnemersdekking.</w:t>
      </w:r>
    </w:p>
    <w:p w:rsidR="00A26517" w:rsidRPr="00A514B5" w:rsidRDefault="00A26517" w:rsidP="00A26517">
      <w:pPr>
        <w:pStyle w:val="Normal1"/>
        <w:numPr>
          <w:ilvl w:val="0"/>
          <w:numId w:val="43"/>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Op grond van Iccat-aanbeveling 19-02 inzake de verantwoordelijkheden van wetenschappelijke waarnemers moet Verordening (EG) 2017/2107 worden bijgewerkt, inclusief op het vlak van waarnemersdekking;</w:t>
      </w:r>
    </w:p>
    <w:p w:rsidR="00A26517" w:rsidRPr="00A514B5" w:rsidRDefault="00A26517" w:rsidP="00A26517">
      <w:pPr>
        <w:pStyle w:val="Normal1"/>
        <w:numPr>
          <w:ilvl w:val="0"/>
          <w:numId w:val="43"/>
        </w:numPr>
        <w:shd w:val="clear" w:color="auto" w:fill="FFFFFF"/>
        <w:spacing w:before="0" w:beforeAutospacing="0" w:after="0" w:afterAutospacing="0"/>
        <w:ind w:left="709"/>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verplichtingen met betrekking tot het waarnemen van vaartuigen overeenkomstig Iccat-aanbeveling 19-09, en namen van nieuwe Iccat-soorten waarmee bijlage I bij Verordening (EU) 2017/2107 moet worden bijgewerkt, overeenkomstig Iccat-aanbeveling 19-01;</w:t>
      </w:r>
    </w:p>
    <w:p w:rsidR="0049599D" w:rsidRPr="00A514B5" w:rsidRDefault="0049599D" w:rsidP="00A26517">
      <w:pPr>
        <w:pStyle w:val="Normal1"/>
        <w:shd w:val="clear" w:color="auto" w:fill="FFFFFF"/>
        <w:spacing w:before="0" w:beforeAutospacing="0" w:after="0" w:afterAutospacing="0"/>
        <w:ind w:left="36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Daarnaast wordt voorgesteld Verordening (EU) XX/2022 betreffende het meerjarenplan voor blauwvintonijn te wijzigen met betrekking tot de jaarlijkse overdrachtaangifte van de lidstaten en enkele bepalingen inzake kooien, overeenkomstig Iccat-aanbeveling 06-07, alsook de jaarlijkse overdracht voor grootoogtonijn overeenkomstig Iccat-aanbeveling 21-01.</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In het voorstel wordt eveneens voorgesteld de bevoegdheid van de Commissie tot wijziging van Verordening (EU) 2017/2107 te wijzigen naar aanleiding van verdere veranderingen die door de Iccat zijn aangenomen met betrekking tot: i) capaciteitsbeperkingen voor tropische tonijn en de verslaglegging over het jaarlijks capaciteits- en visserijplan voor tropische tonijn; ii) de jaarlijkse overdracht van quota voor grootoogtonijn, Noord- en Zuid-Atlantische witte tonijn en Noord- en Zuid-Atlantische zwaardvis; iii) beheersplannen inzake visaantrekkende voorzieningen; iv) het aantal instrumentboeien; v) de FAD-voorschriften; vi) door vaartuigen in te dienen informatie over FAD’s; vii) verbodsperioden voor het gebruik van FAD’s; viii) beperkingen van het aantal vaartuigen dat op Noord-Atlantische witte tonijn vist; ix) het beheersplan voor Noord-Atlantische zwaardvis; x) voorwaarden voor het toestaan van het vangen en aan boord houden van kortvinmakreelhaaien; xi) vereisten voor het maximaliseren van de overlevingskansen van zeeschildpadden; xii) het minimumpercentage van waarnemersdekking en de meting van het dekkingspercentage; en xiii) de lijst van Iccat-soorten.</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A514B5">
        <w:rPr>
          <w:rFonts w:ascii="inherit" w:hAnsi="inherit"/>
          <w:b/>
          <w:color w:val="000000"/>
          <w:bdr w:val="none" w:sz="0" w:space="0" w:color="auto" w:frame="1"/>
        </w:rPr>
        <w:t>STANDPUNT VAN DE RAPPORTEUR</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Om te zorgen voor een evenwichtige aanpak die een duurzame exploitatie van de biologische rijkdommen van de zee alsook een gelijk speelveld in het Iccat-verdragsgebied waarborgt, moeten de aanbevelingen zo nauwkeurig mogelijk worden omgezet in EU-recht. Op de vissersvloot van de EU moeten dezelfde voorwaarden en maatregelen van toepassing zijn als diegene die gelden voor de vissersvloten van derde landen die in het gebied actief zijn.</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color w:val="000000"/>
          <w:bdr w:val="none" w:sz="0" w:space="0" w:color="auto" w:frame="1"/>
        </w:rPr>
        <w:t xml:space="preserve">Naast bepalingen die onderdeel zijn van voorstel COM (2022)171 final - 2022/0111 (COD) heeft de rapporteur de meest actuele Iccat-aanbevelingen opgenomen en daarom zijn vele andere amendementen opgenomen om de tijdens de jaarlijkse bijeenkomsten van 2019, 2020, 2021 en 2022 vastgestelde aanbevelingen om te zetten die tot dusverre niet zijn omgezet. </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A514B5">
        <w:rPr>
          <w:rFonts w:ascii="inherit" w:hAnsi="inherit"/>
          <w:bdr w:val="none" w:sz="0" w:space="0" w:color="auto" w:frame="1"/>
        </w:rPr>
        <w:t>Om die reden bevat dit ontwerpverslag amendementen op Verordening (EU) 2017/2107 om in het recht van de Unie uitvoering te geven aan de Iccat-maatregelen inzake tropische tonijn, mediterrane witte tonijn, Noord- en Zuid-Atlantische witte tonijn, Atlantische zeilvis, blauwe marlijn en witte marlijn, rapportage van gegevens over Istiophoridae, Noord- en Zuid-Atlantische kortvinmakreelhaai, bijvangst van schildpadden, alsmede bepalingen inzake illegale, ongemelde en ongereglementeerde (IOO-) visserij, en een waarnemersprogramma dat verantwoordelijkheden van wetenschappelijke waarnemers en een bijgewerkte lijst van Iccat-soorten inhoudt.</w:t>
      </w:r>
    </w:p>
    <w:p w:rsidR="0049599D" w:rsidRPr="00A514B5"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A514B5" w:rsidRDefault="00B71BA7" w:rsidP="0049599D">
      <w:pPr>
        <w:pStyle w:val="Normal1"/>
        <w:shd w:val="clear" w:color="auto" w:fill="FFFFFF"/>
        <w:spacing w:before="0" w:beforeAutospacing="0" w:after="0" w:afterAutospacing="0"/>
        <w:jc w:val="both"/>
        <w:textAlignment w:val="baseline"/>
      </w:pPr>
      <w:r w:rsidRPr="00A514B5">
        <w:rPr>
          <w:rFonts w:ascii="inherit" w:hAnsi="inherit"/>
          <w:color w:val="000000"/>
          <w:bdr w:val="none" w:sz="0" w:space="0" w:color="auto" w:frame="1"/>
        </w:rPr>
        <w:t xml:space="preserve">Daarnaast wijzigt het ontwerpverslag Verordening (EU) 2022/XX tot vaststelling van een meerjarig beheersplan voor blauwvintonijn in het oostelijke deel van de Atlantische Oceaan en de Middellandse Zee (COM (2019) 619 final </w:t>
      </w:r>
      <w:r w:rsidRPr="00A514B5">
        <w:rPr>
          <w:color w:val="000000"/>
        </w:rPr>
        <w:t>-</w:t>
      </w:r>
      <w:r w:rsidRPr="00A514B5">
        <w:rPr>
          <w:rFonts w:ascii="inherit" w:hAnsi="inherit"/>
          <w:color w:val="000000"/>
          <w:bdr w:val="none" w:sz="0" w:space="0" w:color="auto" w:frame="1"/>
        </w:rPr>
        <w:t xml:space="preserve"> 2019/0272 (COD) om in het recht van de Unie uitvoering te geven aan bepalingen inzake het beheer van blauwvintonijn in verband met definities, quotaoverdrachten, een verbod op het aan boord houden, sport- en recreatievisserij, een register van kwekerijen, rapportage, overhevelingstoestemmingen, kooi-identificatie, toestemmingen om te kooien, kooiverrichtingen en de videobewaking ervan, controle van kooien alsmede activiteiten in verband met de oogstcontroleregeling op de kwekerijen na het kooien. In het ontwerpverslag zijn de oorspronkelijke voorstellen voor de artikelen 7 en 46 geschrapt aangezien die voorstellen deel uitmaakten van de door de medewetgevers in april 2023 bereikte overeenkomst inzake Verordening (EU) 2022/XX van het Europees Parlement en de Raad tot vaststelling van een meerjarig beheersplan voor blauwvintonijn in het oostelijke deel van de Atlantische Oceaan en de Middellandse Zee, die mogelijk in september 2023 officieel zal worden goedgekeurd en daarna bekend zal worden gemaakt in het Publicatieblad</w:t>
      </w:r>
      <w:r w:rsidRPr="00A514B5">
        <w:rPr>
          <w:color w:val="000000"/>
        </w:rPr>
        <w:t>.</w:t>
      </w:r>
    </w:p>
    <w:p w:rsidR="002669B6" w:rsidRPr="00A514B5" w:rsidRDefault="002669B6" w:rsidP="0049599D"/>
    <w:sectPr w:rsidR="002669B6" w:rsidRPr="00A514B5" w:rsidSect="004058C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895" w:rsidRPr="00A514B5" w:rsidRDefault="003B1895">
      <w:r w:rsidRPr="00A514B5">
        <w:separator/>
      </w:r>
    </w:p>
  </w:endnote>
  <w:endnote w:type="continuationSeparator" w:id="0">
    <w:p w:rsidR="003B1895" w:rsidRPr="00A514B5" w:rsidRDefault="003B1895">
      <w:r w:rsidRPr="00A51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8C9" w:rsidRPr="00A514B5" w:rsidRDefault="004058C9" w:rsidP="004058C9">
    <w:pPr>
      <w:pStyle w:val="EPFooter"/>
    </w:pPr>
    <w:r w:rsidRPr="00A514B5">
      <w:t>PE</w:t>
    </w:r>
    <w:r w:rsidRPr="00A514B5">
      <w:rPr>
        <w:rStyle w:val="HideTWBExt"/>
      </w:rPr>
      <w:t>&lt;NoPE&gt;</w:t>
    </w:r>
    <w:r w:rsidRPr="00A514B5">
      <w:t>750.194</w:t>
    </w:r>
    <w:r w:rsidRPr="00A514B5">
      <w:rPr>
        <w:rStyle w:val="HideTWBExt"/>
      </w:rPr>
      <w:t>&lt;/NoPE&gt;&lt;Version&gt;</w:t>
    </w:r>
    <w:r w:rsidRPr="00A514B5">
      <w:t>v03-00</w:t>
    </w:r>
    <w:r w:rsidRPr="00A514B5">
      <w:rPr>
        <w:rStyle w:val="HideTWBExt"/>
      </w:rPr>
      <w:t>&lt;/Version&gt;</w:t>
    </w:r>
    <w:r w:rsidRPr="00A514B5">
      <w:tab/>
    </w:r>
    <w:r w:rsidRPr="00A514B5">
      <w:fldChar w:fldCharType="begin"/>
    </w:r>
    <w:r w:rsidRPr="00A514B5">
      <w:instrText xml:space="preserve"> PAGE  \* MERGEFORMAT </w:instrText>
    </w:r>
    <w:r w:rsidRPr="00A514B5">
      <w:fldChar w:fldCharType="separate"/>
    </w:r>
    <w:r w:rsidR="00B93BE9">
      <w:rPr>
        <w:noProof/>
      </w:rPr>
      <w:t>20</w:t>
    </w:r>
    <w:r w:rsidRPr="00A514B5">
      <w:fldChar w:fldCharType="end"/>
    </w:r>
    <w:r w:rsidRPr="00A514B5">
      <w:t>/</w:t>
    </w:r>
    <w:fldSimple w:instr=" NUMPAGES  \* MERGEFORMAT ">
      <w:r w:rsidR="00B93BE9">
        <w:rPr>
          <w:noProof/>
        </w:rPr>
        <w:t>112</w:t>
      </w:r>
    </w:fldSimple>
    <w:r w:rsidRPr="00A514B5">
      <w:tab/>
    </w:r>
    <w:r w:rsidRPr="00A514B5">
      <w:rPr>
        <w:rStyle w:val="HideTWBExt"/>
      </w:rPr>
      <w:t>&lt;PathFdR&gt;</w:t>
    </w:r>
    <w:r w:rsidRPr="00A514B5">
      <w:t>PR\1284694NL.docx</w:t>
    </w:r>
    <w:r w:rsidRPr="00A514B5">
      <w:rPr>
        <w:rStyle w:val="HideTWBExt"/>
      </w:rPr>
      <w:t>&lt;/PathFdR&gt;</w:t>
    </w:r>
  </w:p>
  <w:p w:rsidR="003B1895" w:rsidRPr="00A514B5" w:rsidRDefault="004058C9" w:rsidP="004058C9">
    <w:pPr>
      <w:pStyle w:val="EPFooter2"/>
    </w:pPr>
    <w:r w:rsidRPr="00A514B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8C9" w:rsidRPr="00A514B5" w:rsidRDefault="004058C9" w:rsidP="004058C9">
    <w:pPr>
      <w:pStyle w:val="EPFooter"/>
    </w:pPr>
    <w:r w:rsidRPr="00A514B5">
      <w:rPr>
        <w:rStyle w:val="HideTWBExt"/>
      </w:rPr>
      <w:t>&lt;PathFdR&gt;</w:t>
    </w:r>
    <w:r w:rsidRPr="00A514B5">
      <w:t>PR\1284694NL.docx</w:t>
    </w:r>
    <w:r w:rsidRPr="00A514B5">
      <w:rPr>
        <w:rStyle w:val="HideTWBExt"/>
      </w:rPr>
      <w:t>&lt;/PathFdR&gt;</w:t>
    </w:r>
    <w:r w:rsidRPr="00A514B5">
      <w:tab/>
    </w:r>
    <w:r w:rsidRPr="00A514B5">
      <w:fldChar w:fldCharType="begin"/>
    </w:r>
    <w:r w:rsidRPr="00A514B5">
      <w:instrText xml:space="preserve"> PAGE  \* MERGEFORMAT </w:instrText>
    </w:r>
    <w:r w:rsidRPr="00A514B5">
      <w:fldChar w:fldCharType="separate"/>
    </w:r>
    <w:r w:rsidR="00B93BE9">
      <w:rPr>
        <w:noProof/>
      </w:rPr>
      <w:t>19</w:t>
    </w:r>
    <w:r w:rsidRPr="00A514B5">
      <w:fldChar w:fldCharType="end"/>
    </w:r>
    <w:r w:rsidRPr="00A514B5">
      <w:t>/</w:t>
    </w:r>
    <w:fldSimple w:instr=" NUMPAGES  \* MERGEFORMAT ">
      <w:r w:rsidR="00B93BE9">
        <w:rPr>
          <w:noProof/>
        </w:rPr>
        <w:t>112</w:t>
      </w:r>
    </w:fldSimple>
    <w:r w:rsidRPr="00A514B5">
      <w:tab/>
      <w:t>PE</w:t>
    </w:r>
    <w:r w:rsidRPr="00A514B5">
      <w:rPr>
        <w:rStyle w:val="HideTWBExt"/>
      </w:rPr>
      <w:t>&lt;NoPE&gt;</w:t>
    </w:r>
    <w:r w:rsidRPr="00A514B5">
      <w:t>750.194</w:t>
    </w:r>
    <w:r w:rsidRPr="00A514B5">
      <w:rPr>
        <w:rStyle w:val="HideTWBExt"/>
      </w:rPr>
      <w:t>&lt;/NoPE&gt;&lt;Version&gt;</w:t>
    </w:r>
    <w:r w:rsidRPr="00A514B5">
      <w:t>v03-00</w:t>
    </w:r>
    <w:r w:rsidRPr="00A514B5">
      <w:rPr>
        <w:rStyle w:val="HideTWBExt"/>
      </w:rPr>
      <w:t>&lt;/Version&gt;</w:t>
    </w:r>
  </w:p>
  <w:p w:rsidR="003B1895" w:rsidRPr="00A514B5" w:rsidRDefault="004058C9" w:rsidP="004058C9">
    <w:pPr>
      <w:pStyle w:val="EPFooter2"/>
    </w:pPr>
    <w:r w:rsidRPr="00A514B5">
      <w:tab/>
    </w:r>
    <w:r w:rsidRPr="00A514B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8C9" w:rsidRPr="00A514B5" w:rsidRDefault="004058C9" w:rsidP="004058C9">
    <w:pPr>
      <w:pStyle w:val="EPFooter"/>
    </w:pPr>
    <w:r w:rsidRPr="00A514B5">
      <w:rPr>
        <w:rStyle w:val="HideTWBExt"/>
      </w:rPr>
      <w:t>&lt;PathFdR&gt;</w:t>
    </w:r>
    <w:r w:rsidRPr="00A514B5">
      <w:t>PR\1284694NL.docx</w:t>
    </w:r>
    <w:r w:rsidRPr="00A514B5">
      <w:rPr>
        <w:rStyle w:val="HideTWBExt"/>
      </w:rPr>
      <w:t>&lt;/PathFdR&gt;</w:t>
    </w:r>
    <w:r w:rsidRPr="00A514B5">
      <w:tab/>
    </w:r>
    <w:r w:rsidRPr="00A514B5">
      <w:tab/>
      <w:t>PE</w:t>
    </w:r>
    <w:r w:rsidRPr="00A514B5">
      <w:rPr>
        <w:rStyle w:val="HideTWBExt"/>
      </w:rPr>
      <w:t>&lt;NoPE&gt;</w:t>
    </w:r>
    <w:r w:rsidRPr="00A514B5">
      <w:t>750.194</w:t>
    </w:r>
    <w:r w:rsidRPr="00A514B5">
      <w:rPr>
        <w:rStyle w:val="HideTWBExt"/>
      </w:rPr>
      <w:t>&lt;/NoPE&gt;&lt;Version&gt;</w:t>
    </w:r>
    <w:r w:rsidRPr="00A514B5">
      <w:t>v03-00</w:t>
    </w:r>
    <w:r w:rsidRPr="00A514B5">
      <w:rPr>
        <w:rStyle w:val="HideTWBExt"/>
      </w:rPr>
      <w:t>&lt;/Version&gt;</w:t>
    </w:r>
  </w:p>
  <w:p w:rsidR="003B1895" w:rsidRPr="00A514B5" w:rsidRDefault="004058C9" w:rsidP="004058C9">
    <w:pPr>
      <w:pStyle w:val="EPFooter2"/>
    </w:pPr>
    <w:r w:rsidRPr="00A514B5">
      <w:t>NL</w:t>
    </w:r>
    <w:r w:rsidRPr="00A514B5">
      <w:tab/>
    </w:r>
    <w:r w:rsidRPr="00A514B5">
      <w:rPr>
        <w:b w:val="0"/>
        <w:i/>
        <w:color w:val="C0C0C0"/>
        <w:sz w:val="22"/>
      </w:rPr>
      <w:t>In verscheidenheid verenigd</w:t>
    </w:r>
    <w:r w:rsidRPr="00A514B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895" w:rsidRPr="00A514B5" w:rsidRDefault="003B1895">
      <w:r w:rsidRPr="00A514B5">
        <w:separator/>
      </w:r>
    </w:p>
  </w:footnote>
  <w:footnote w:type="continuationSeparator" w:id="0">
    <w:p w:rsidR="003B1895" w:rsidRPr="00A514B5" w:rsidRDefault="003B1895">
      <w:r w:rsidRPr="00A514B5">
        <w:continuationSeparator/>
      </w:r>
    </w:p>
  </w:footnote>
  <w:footnote w:id="1">
    <w:p w:rsidR="003B1895" w:rsidRPr="00A514B5" w:rsidRDefault="003B1895" w:rsidP="0049599D">
      <w:pPr>
        <w:pStyle w:val="FootnoteText"/>
      </w:pPr>
      <w:r w:rsidRPr="00A514B5">
        <w:rPr>
          <w:rStyle w:val="FootnoteReference"/>
        </w:rPr>
        <w:footnoteRef/>
      </w:r>
      <w:r w:rsidRPr="00A514B5">
        <w:t xml:space="preserve"> PB C 365 van 23.9.2022, blz.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CDE" w:rsidRDefault="002D7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CDE" w:rsidRDefault="002D7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CDE" w:rsidRDefault="002D7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29EA5830">
      <w:start w:val="1"/>
      <w:numFmt w:val="bullet"/>
      <w:lvlText w:val=""/>
      <w:lvlJc w:val="left"/>
      <w:pPr>
        <w:ind w:left="720" w:hanging="360"/>
      </w:pPr>
      <w:rPr>
        <w:rFonts w:ascii="Symbol" w:hAnsi="Symbol" w:hint="default"/>
      </w:rPr>
    </w:lvl>
    <w:lvl w:ilvl="1" w:tplc="BC8489C8">
      <w:start w:val="1"/>
      <w:numFmt w:val="bullet"/>
      <w:lvlText w:val="o"/>
      <w:lvlJc w:val="left"/>
      <w:pPr>
        <w:ind w:left="1440" w:hanging="360"/>
      </w:pPr>
      <w:rPr>
        <w:rFonts w:ascii="Courier New" w:hAnsi="Courier New" w:cs="Courier New" w:hint="default"/>
      </w:rPr>
    </w:lvl>
    <w:lvl w:ilvl="2" w:tplc="227A116E">
      <w:start w:val="1"/>
      <w:numFmt w:val="bullet"/>
      <w:lvlText w:val=""/>
      <w:lvlJc w:val="left"/>
      <w:pPr>
        <w:ind w:left="2160" w:hanging="360"/>
      </w:pPr>
      <w:rPr>
        <w:rFonts w:ascii="Wingdings" w:hAnsi="Wingdings" w:hint="default"/>
      </w:rPr>
    </w:lvl>
    <w:lvl w:ilvl="3" w:tplc="E8E8C326">
      <w:start w:val="1"/>
      <w:numFmt w:val="bullet"/>
      <w:lvlText w:val=""/>
      <w:lvlJc w:val="left"/>
      <w:pPr>
        <w:ind w:left="2880" w:hanging="360"/>
      </w:pPr>
      <w:rPr>
        <w:rFonts w:ascii="Symbol" w:hAnsi="Symbol" w:hint="default"/>
      </w:rPr>
    </w:lvl>
    <w:lvl w:ilvl="4" w:tplc="08B69BB4">
      <w:start w:val="1"/>
      <w:numFmt w:val="bullet"/>
      <w:lvlText w:val="o"/>
      <w:lvlJc w:val="left"/>
      <w:pPr>
        <w:ind w:left="3600" w:hanging="360"/>
      </w:pPr>
      <w:rPr>
        <w:rFonts w:ascii="Courier New" w:hAnsi="Courier New" w:cs="Courier New" w:hint="default"/>
      </w:rPr>
    </w:lvl>
    <w:lvl w:ilvl="5" w:tplc="E8E2C1E8">
      <w:start w:val="1"/>
      <w:numFmt w:val="bullet"/>
      <w:lvlText w:val=""/>
      <w:lvlJc w:val="left"/>
      <w:pPr>
        <w:ind w:left="4320" w:hanging="360"/>
      </w:pPr>
      <w:rPr>
        <w:rFonts w:ascii="Wingdings" w:hAnsi="Wingdings" w:hint="default"/>
      </w:rPr>
    </w:lvl>
    <w:lvl w:ilvl="6" w:tplc="61DA5C18">
      <w:start w:val="1"/>
      <w:numFmt w:val="bullet"/>
      <w:lvlText w:val=""/>
      <w:lvlJc w:val="left"/>
      <w:pPr>
        <w:ind w:left="5040" w:hanging="360"/>
      </w:pPr>
      <w:rPr>
        <w:rFonts w:ascii="Symbol" w:hAnsi="Symbol" w:hint="default"/>
      </w:rPr>
    </w:lvl>
    <w:lvl w:ilvl="7" w:tplc="8A3EE228">
      <w:start w:val="1"/>
      <w:numFmt w:val="bullet"/>
      <w:lvlText w:val="o"/>
      <w:lvlJc w:val="left"/>
      <w:pPr>
        <w:ind w:left="5760" w:hanging="360"/>
      </w:pPr>
      <w:rPr>
        <w:rFonts w:ascii="Courier New" w:hAnsi="Courier New" w:cs="Courier New" w:hint="default"/>
      </w:rPr>
    </w:lvl>
    <w:lvl w:ilvl="8" w:tplc="BF084BC6">
      <w:start w:val="1"/>
      <w:numFmt w:val="bullet"/>
      <w:lvlText w:val=""/>
      <w:lvlJc w:val="left"/>
      <w:pPr>
        <w:ind w:left="6480" w:hanging="360"/>
      </w:pPr>
      <w:rPr>
        <w:rFonts w:ascii="Wingdings" w:hAnsi="Wingdings" w:hint="default"/>
      </w:rPr>
    </w:lvl>
  </w:abstractNum>
  <w:abstractNum w:abstractNumId="11" w15:restartNumberingAfterBreak="0">
    <w:nsid w:val="66C8603A"/>
    <w:multiLevelType w:val="hybridMultilevel"/>
    <w:tmpl w:val="5E66E3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71407B3"/>
    <w:multiLevelType w:val="hybridMultilevel"/>
    <w:tmpl w:val="124091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VTAMPART" w:val="Paragraph 1"/>
    <w:docVar w:name="TXTAUTHOR" w:val="Clara Aguilera"/>
    <w:docVar w:name="TXTLANGUE" w:val="NL"/>
    <w:docVar w:name="TXTLANGUEMIN" w:val="nl"/>
    <w:docVar w:name="TXTNRC" w:val="0151/2022"/>
    <w:docVar w:name="TXTNRCOD" w:val="2022/0111"/>
    <w:docVar w:name="TXTNRCOM" w:val="(2022)0171"/>
    <w:docVar w:name="TXTNRFIRSTAM" w:val="1"/>
    <w:docVar w:name="TXTNRLASTAM" w:val="87"/>
    <w:docVar w:name="TXTNRPE" w:val="750.194"/>
    <w:docVar w:name="TXTPEorAP" w:val="PE"/>
    <w:docVar w:name="TXTROUTE" w:val="PR\1284694NL.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47CD2"/>
    <w:rsid w:val="00165CA4"/>
    <w:rsid w:val="001767E2"/>
    <w:rsid w:val="00187008"/>
    <w:rsid w:val="001B3829"/>
    <w:rsid w:val="001C3BD8"/>
    <w:rsid w:val="001C5592"/>
    <w:rsid w:val="001C5B44"/>
    <w:rsid w:val="001C6FFC"/>
    <w:rsid w:val="001D7905"/>
    <w:rsid w:val="001E18B8"/>
    <w:rsid w:val="001F6334"/>
    <w:rsid w:val="001F7C7C"/>
    <w:rsid w:val="00202957"/>
    <w:rsid w:val="00207C4A"/>
    <w:rsid w:val="00212B84"/>
    <w:rsid w:val="0021462C"/>
    <w:rsid w:val="002346B0"/>
    <w:rsid w:val="00254B4E"/>
    <w:rsid w:val="002667C3"/>
    <w:rsid w:val="002669B6"/>
    <w:rsid w:val="002850BF"/>
    <w:rsid w:val="00290BED"/>
    <w:rsid w:val="002A21C5"/>
    <w:rsid w:val="002B76BA"/>
    <w:rsid w:val="002D13EE"/>
    <w:rsid w:val="002D3893"/>
    <w:rsid w:val="002D7CDE"/>
    <w:rsid w:val="002E33EE"/>
    <w:rsid w:val="002F40BB"/>
    <w:rsid w:val="002F4B02"/>
    <w:rsid w:val="00312B08"/>
    <w:rsid w:val="00323EF8"/>
    <w:rsid w:val="00325885"/>
    <w:rsid w:val="003316DD"/>
    <w:rsid w:val="003444E1"/>
    <w:rsid w:val="00353672"/>
    <w:rsid w:val="00357B9F"/>
    <w:rsid w:val="00366A46"/>
    <w:rsid w:val="00370AC3"/>
    <w:rsid w:val="003824EE"/>
    <w:rsid w:val="00397D57"/>
    <w:rsid w:val="003B1895"/>
    <w:rsid w:val="003B4689"/>
    <w:rsid w:val="003C2068"/>
    <w:rsid w:val="003C37CF"/>
    <w:rsid w:val="004058C9"/>
    <w:rsid w:val="004100B1"/>
    <w:rsid w:val="00422791"/>
    <w:rsid w:val="00426257"/>
    <w:rsid w:val="00426E47"/>
    <w:rsid w:val="00430C95"/>
    <w:rsid w:val="00455743"/>
    <w:rsid w:val="00460D5F"/>
    <w:rsid w:val="00461601"/>
    <w:rsid w:val="0049599D"/>
    <w:rsid w:val="004963D9"/>
    <w:rsid w:val="004B0D37"/>
    <w:rsid w:val="004B110E"/>
    <w:rsid w:val="004C0915"/>
    <w:rsid w:val="004D3CA0"/>
    <w:rsid w:val="004D424E"/>
    <w:rsid w:val="004E42C8"/>
    <w:rsid w:val="004E733D"/>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80F84"/>
    <w:rsid w:val="006A2F5D"/>
    <w:rsid w:val="006F7907"/>
    <w:rsid w:val="00704275"/>
    <w:rsid w:val="00743189"/>
    <w:rsid w:val="00743D33"/>
    <w:rsid w:val="00762A92"/>
    <w:rsid w:val="00766216"/>
    <w:rsid w:val="007932B3"/>
    <w:rsid w:val="00793EA9"/>
    <w:rsid w:val="007B7F19"/>
    <w:rsid w:val="007C0FB9"/>
    <w:rsid w:val="007D6F68"/>
    <w:rsid w:val="00801448"/>
    <w:rsid w:val="00813633"/>
    <w:rsid w:val="00823E6B"/>
    <w:rsid w:val="00826780"/>
    <w:rsid w:val="00837CCD"/>
    <w:rsid w:val="00841E9B"/>
    <w:rsid w:val="008633CC"/>
    <w:rsid w:val="00865190"/>
    <w:rsid w:val="008719B9"/>
    <w:rsid w:val="00894ECE"/>
    <w:rsid w:val="00896BB4"/>
    <w:rsid w:val="008A7FB8"/>
    <w:rsid w:val="008B2882"/>
    <w:rsid w:val="009022B8"/>
    <w:rsid w:val="00914537"/>
    <w:rsid w:val="00917CC4"/>
    <w:rsid w:val="009302ED"/>
    <w:rsid w:val="00937610"/>
    <w:rsid w:val="00947A48"/>
    <w:rsid w:val="009763DA"/>
    <w:rsid w:val="009975B3"/>
    <w:rsid w:val="009A216D"/>
    <w:rsid w:val="009B4B93"/>
    <w:rsid w:val="009B503E"/>
    <w:rsid w:val="009F24BE"/>
    <w:rsid w:val="009F6C2F"/>
    <w:rsid w:val="009F767A"/>
    <w:rsid w:val="00A22533"/>
    <w:rsid w:val="00A26517"/>
    <w:rsid w:val="00A26F46"/>
    <w:rsid w:val="00A31D6F"/>
    <w:rsid w:val="00A3325E"/>
    <w:rsid w:val="00A34FD3"/>
    <w:rsid w:val="00A36929"/>
    <w:rsid w:val="00A50548"/>
    <w:rsid w:val="00A514B5"/>
    <w:rsid w:val="00A548A0"/>
    <w:rsid w:val="00A60EE7"/>
    <w:rsid w:val="00A81897"/>
    <w:rsid w:val="00A910C9"/>
    <w:rsid w:val="00AA35B0"/>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BA7"/>
    <w:rsid w:val="00B71E7B"/>
    <w:rsid w:val="00B85407"/>
    <w:rsid w:val="00B9071D"/>
    <w:rsid w:val="00B93BE9"/>
    <w:rsid w:val="00B95702"/>
    <w:rsid w:val="00BA29D6"/>
    <w:rsid w:val="00BC6489"/>
    <w:rsid w:val="00BC6556"/>
    <w:rsid w:val="00BD2408"/>
    <w:rsid w:val="00BD480C"/>
    <w:rsid w:val="00C20954"/>
    <w:rsid w:val="00C23324"/>
    <w:rsid w:val="00C317CB"/>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82605"/>
    <w:rsid w:val="00E86D6B"/>
    <w:rsid w:val="00EB1753"/>
    <w:rsid w:val="00EB60DA"/>
    <w:rsid w:val="00EB6CFF"/>
    <w:rsid w:val="00EC294B"/>
    <w:rsid w:val="00EE3996"/>
    <w:rsid w:val="00F026E7"/>
    <w:rsid w:val="00F07062"/>
    <w:rsid w:val="00F11FEE"/>
    <w:rsid w:val="00F23CFC"/>
    <w:rsid w:val="00F433E2"/>
    <w:rsid w:val="00F717E6"/>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0F221"/>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nl-NL"/>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5BE59-AAEC-401A-A322-FDB8A2B7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24903</Words>
  <Characters>146682</Characters>
  <Application>Microsoft Office Word</Application>
  <DocSecurity>0</DocSecurity>
  <Lines>5867</Lines>
  <Paragraphs>1972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HOOGLAND Yvonne</cp:lastModifiedBy>
  <cp:revision>2</cp:revision>
  <cp:lastPrinted>2004-11-04T09:41:00Z</cp:lastPrinted>
  <dcterms:created xsi:type="dcterms:W3CDTF">2023-09-07T15:06:00Z</dcterms:created>
  <dcterms:modified xsi:type="dcterms:W3CDTF">2023-09-07T15:06:00Z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PR\1284694NL.docx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
  </property>
  <property fmtid="{D5CDD505-2E9C-101B-9397-08002B2CF9AE}" pid="14" name="Bookout">
    <vt:lpwstr>OK - 2023/09/07 17:06</vt:lpwstr>
  </property>
</Properties>
</file>