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7A5159" w:rsidTr="00C85D0F">
        <w:trPr>
          <w:trHeight w:hRule="exact" w:val="1418"/>
        </w:trPr>
        <w:tc>
          <w:tcPr>
            <w:tcW w:w="6804" w:type="dxa"/>
            <w:shd w:val="clear" w:color="auto" w:fill="auto"/>
            <w:vAlign w:val="center"/>
          </w:tcPr>
          <w:p w:rsidR="00C05DD8" w:rsidRPr="007A5159" w:rsidRDefault="00306171" w:rsidP="00C85D0F">
            <w:pPr>
              <w:pStyle w:val="EPName"/>
            </w:pPr>
            <w:bookmarkStart w:id="0" w:name="_GoBack"/>
            <w:bookmarkEnd w:id="0"/>
            <w:r w:rsidRPr="007A5159">
              <w:t>Evropský parlament</w:t>
            </w:r>
          </w:p>
          <w:p w:rsidR="00C05DD8" w:rsidRPr="007A5159" w:rsidRDefault="00F234C5" w:rsidP="00F234C5">
            <w:pPr>
              <w:pStyle w:val="EPTerm"/>
            </w:pPr>
            <w:r w:rsidRPr="007A5159">
              <w:t>2019-2024</w:t>
            </w:r>
          </w:p>
        </w:tc>
        <w:tc>
          <w:tcPr>
            <w:tcW w:w="2268" w:type="dxa"/>
            <w:shd w:val="clear" w:color="auto" w:fill="auto"/>
          </w:tcPr>
          <w:p w:rsidR="00C05DD8" w:rsidRPr="007A5159" w:rsidRDefault="00C05DD8" w:rsidP="00C85D0F">
            <w:pPr>
              <w:pStyle w:val="EPLogo"/>
            </w:pPr>
            <w:r w:rsidRPr="007A5159">
              <w:rPr>
                <w:noProof/>
                <w:lang w:eastAsia="cs-CZ"/>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7A5159" w:rsidRDefault="009612AA" w:rsidP="009612AA">
      <w:pPr>
        <w:pStyle w:val="LineTop"/>
      </w:pPr>
    </w:p>
    <w:p w:rsidR="009612AA" w:rsidRPr="007A5159" w:rsidRDefault="009612AA" w:rsidP="009612AA">
      <w:pPr>
        <w:pStyle w:val="EPBody"/>
      </w:pPr>
      <w:r w:rsidRPr="007A5159">
        <w:rPr>
          <w:rStyle w:val="HideTWBExt"/>
        </w:rPr>
        <w:t>&lt;</w:t>
      </w:r>
      <w:r w:rsidRPr="007A5159">
        <w:rPr>
          <w:rStyle w:val="HideTWBExt"/>
          <w:i w:val="0"/>
        </w:rPr>
        <w:t>Commission</w:t>
      </w:r>
      <w:r w:rsidRPr="007A5159">
        <w:rPr>
          <w:rStyle w:val="HideTWBExt"/>
        </w:rPr>
        <w:t>&gt;</w:t>
      </w:r>
      <w:r w:rsidRPr="007A5159">
        <w:rPr>
          <w:rStyle w:val="HideTWBInt"/>
        </w:rPr>
        <w:t>{PECH}</w:t>
      </w:r>
      <w:r w:rsidRPr="007A5159">
        <w:t>Výbor pro rybolov</w:t>
      </w:r>
      <w:r w:rsidRPr="007A5159">
        <w:rPr>
          <w:rStyle w:val="HideTWBExt"/>
        </w:rPr>
        <w:t>&lt;/</w:t>
      </w:r>
      <w:r w:rsidRPr="007A5159">
        <w:rPr>
          <w:rStyle w:val="HideTWBExt"/>
          <w:i w:val="0"/>
        </w:rPr>
        <w:t>Commission</w:t>
      </w:r>
      <w:r w:rsidRPr="007A5159">
        <w:rPr>
          <w:rStyle w:val="HideTWBExt"/>
        </w:rPr>
        <w:t>&gt;</w:t>
      </w:r>
    </w:p>
    <w:p w:rsidR="009612AA" w:rsidRPr="007A5159" w:rsidRDefault="009612AA" w:rsidP="009612AA">
      <w:pPr>
        <w:pStyle w:val="LineBottom"/>
      </w:pPr>
    </w:p>
    <w:p w:rsidR="00363B94" w:rsidRPr="007A5159" w:rsidRDefault="00363B94">
      <w:pPr>
        <w:pStyle w:val="CoverReference"/>
      </w:pPr>
      <w:r w:rsidRPr="007A5159">
        <w:rPr>
          <w:rStyle w:val="HideTWBExt"/>
          <w:b w:val="0"/>
        </w:rPr>
        <w:t>&lt;RefProc&gt;</w:t>
      </w:r>
      <w:r w:rsidRPr="007A5159">
        <w:t>2023/0117</w:t>
      </w:r>
      <w:r w:rsidRPr="007A5159">
        <w:rPr>
          <w:rStyle w:val="HideTWBExt"/>
          <w:b w:val="0"/>
        </w:rPr>
        <w:t>&lt;/RefProc&gt;&lt;RefTypeProc&gt;</w:t>
      </w:r>
      <w:r w:rsidRPr="007A5159">
        <w:t>(NLE)</w:t>
      </w:r>
      <w:r w:rsidRPr="007A5159">
        <w:rPr>
          <w:rStyle w:val="HideTWBExt"/>
          <w:b w:val="0"/>
        </w:rPr>
        <w:t>&lt;/RefTypeProc&gt;</w:t>
      </w:r>
    </w:p>
    <w:p w:rsidR="00363B94" w:rsidRPr="007A5159" w:rsidRDefault="00363B94">
      <w:pPr>
        <w:pStyle w:val="CoverDate"/>
      </w:pPr>
      <w:r w:rsidRPr="007A5159">
        <w:rPr>
          <w:rStyle w:val="HideTWBExt"/>
        </w:rPr>
        <w:t>&lt;Date&gt;</w:t>
      </w:r>
      <w:r w:rsidRPr="007A5159">
        <w:rPr>
          <w:rStyle w:val="HideTWBInt"/>
        </w:rPr>
        <w:t>{01/09/2023}</w:t>
      </w:r>
      <w:r w:rsidRPr="007A5159">
        <w:t>1.9.2023</w:t>
      </w:r>
      <w:r w:rsidRPr="007A5159">
        <w:rPr>
          <w:rStyle w:val="HideTWBExt"/>
        </w:rPr>
        <w:t>&lt;/Date&gt;</w:t>
      </w:r>
    </w:p>
    <w:p w:rsidR="00363B94" w:rsidRPr="007A5159" w:rsidRDefault="00363B94">
      <w:pPr>
        <w:pStyle w:val="CoverDocType"/>
      </w:pPr>
      <w:r w:rsidRPr="007A5159">
        <w:rPr>
          <w:rStyle w:val="HideTWBExt"/>
          <w:b w:val="0"/>
        </w:rPr>
        <w:t>&lt;RefProcLect&gt;</w:t>
      </w:r>
      <w:r w:rsidRPr="007A5159">
        <w:t>***</w:t>
      </w:r>
      <w:r w:rsidRPr="007A5159">
        <w:rPr>
          <w:rStyle w:val="HideTWBExt"/>
          <w:b w:val="0"/>
        </w:rPr>
        <w:t>&lt;/RefProcLect&gt;</w:t>
      </w:r>
    </w:p>
    <w:p w:rsidR="00363B94" w:rsidRPr="007A5159" w:rsidRDefault="00363B94">
      <w:pPr>
        <w:pStyle w:val="CoverDocType24a"/>
      </w:pPr>
      <w:r w:rsidRPr="007A5159">
        <w:rPr>
          <w:rStyle w:val="HideTWBExt"/>
          <w:b w:val="0"/>
        </w:rPr>
        <w:t>&lt;TitreType&gt;</w:t>
      </w:r>
      <w:r w:rsidRPr="007A5159">
        <w:t>NÁVRH DOPORUČENÍ</w:t>
      </w:r>
      <w:r w:rsidRPr="007A5159">
        <w:rPr>
          <w:rStyle w:val="HideTWBExt"/>
          <w:b w:val="0"/>
        </w:rPr>
        <w:t>&lt;/TitreType&gt;</w:t>
      </w:r>
    </w:p>
    <w:p w:rsidR="00363B94" w:rsidRPr="007A5159" w:rsidRDefault="00363B94">
      <w:pPr>
        <w:pStyle w:val="CoverNormal"/>
      </w:pPr>
      <w:r w:rsidRPr="007A5159">
        <w:rPr>
          <w:rStyle w:val="HideTWBExt"/>
        </w:rPr>
        <w:t>&lt;Titre&gt;</w:t>
      </w:r>
      <w:r w:rsidRPr="007A5159">
        <w:t>k návrhu rozhodnutí Rady o uzavření Dohody o partnerství mezi Evropskou unií a Madagaskarskou republikou v oblasti udržitelného rybolovu a prováděcího protokolu k dohodě (2023–2027)</w:t>
      </w:r>
      <w:r w:rsidRPr="007A5159">
        <w:rPr>
          <w:rStyle w:val="HideTWBExt"/>
        </w:rPr>
        <w:t>&lt;/Titre&gt;</w:t>
      </w:r>
    </w:p>
    <w:p w:rsidR="00363B94" w:rsidRPr="007A5159" w:rsidRDefault="00363B94">
      <w:pPr>
        <w:pStyle w:val="CoverNormal24a"/>
      </w:pPr>
      <w:r w:rsidRPr="007A5159">
        <w:rPr>
          <w:rStyle w:val="HideTWBExt"/>
        </w:rPr>
        <w:t>&lt;DocRef&gt;</w:t>
      </w:r>
      <w:r w:rsidRPr="007A5159">
        <w:t>(09525/2023 – C9</w:t>
      </w:r>
      <w:r w:rsidRPr="007A5159">
        <w:noBreakHyphen/>
        <w:t>0223/2023 – 2023/0117(NLE))</w:t>
      </w:r>
      <w:r w:rsidRPr="007A5159">
        <w:rPr>
          <w:rStyle w:val="HideTWBExt"/>
        </w:rPr>
        <w:t>&lt;/DocRef&gt;</w:t>
      </w:r>
    </w:p>
    <w:p w:rsidR="00363B94" w:rsidRPr="007A5159" w:rsidRDefault="00363B94">
      <w:pPr>
        <w:pStyle w:val="CoverNormal24a"/>
      </w:pPr>
      <w:r w:rsidRPr="007A5159">
        <w:rPr>
          <w:rStyle w:val="HideTWBExt"/>
        </w:rPr>
        <w:t>&lt;Commission&gt;</w:t>
      </w:r>
      <w:r w:rsidRPr="007A5159">
        <w:rPr>
          <w:rStyle w:val="HideTWBInt"/>
        </w:rPr>
        <w:t>{PECH}</w:t>
      </w:r>
      <w:r w:rsidRPr="007A5159">
        <w:t>Výbor pro rybolov</w:t>
      </w:r>
      <w:r w:rsidRPr="007A5159">
        <w:rPr>
          <w:rStyle w:val="HideTWBExt"/>
        </w:rPr>
        <w:t>&lt;/Commission&gt;</w:t>
      </w:r>
    </w:p>
    <w:p w:rsidR="00363B94" w:rsidRPr="007A5159" w:rsidRDefault="00F234C5">
      <w:pPr>
        <w:pStyle w:val="CoverNormal24a"/>
      </w:pPr>
      <w:r w:rsidRPr="007A5159">
        <w:t xml:space="preserve">Zpravodajka: </w:t>
      </w:r>
      <w:r w:rsidRPr="007A5159">
        <w:rPr>
          <w:rStyle w:val="HideTWBExt"/>
        </w:rPr>
        <w:t>&lt;Depute&gt;</w:t>
      </w:r>
      <w:r w:rsidRPr="007A5159">
        <w:t>Clara Aguilera</w:t>
      </w:r>
      <w:r w:rsidRPr="007A5159">
        <w:rPr>
          <w:rStyle w:val="HideTWBExt"/>
        </w:rPr>
        <w:t>&lt;/Depute&gt;</w:t>
      </w:r>
    </w:p>
    <w:p w:rsidR="00B42885" w:rsidRPr="007A5159" w:rsidRDefault="00B42885" w:rsidP="00B42885">
      <w:pPr>
        <w:pStyle w:val="CoverNormal"/>
      </w:pPr>
    </w:p>
    <w:p w:rsidR="00F234C5" w:rsidRPr="007A5159" w:rsidRDefault="00363B94" w:rsidP="00016E55">
      <w:r w:rsidRPr="007A5159">
        <w:br w:type="page"/>
      </w:r>
      <w:r w:rsidR="00301C5A">
        <w:lastRenderedPageBreak/>
        <w:fldChar w:fldCharType="begin"/>
      </w:r>
      <w:r w:rsidR="00301C5A">
        <w:instrText xml:space="preserve"> TITLE  \* MERGEFORMAT </w:instrText>
      </w:r>
      <w:r w:rsidR="00301C5A">
        <w:fldChar w:fldCharType="separate"/>
      </w:r>
      <w:r w:rsidR="00957795">
        <w:t>PR_NLE-AP_Agreement</w:t>
      </w:r>
      <w:r w:rsidR="00301C5A">
        <w:fldChar w:fldCharType="end"/>
      </w:r>
    </w:p>
    <w:p w:rsidR="00F234C5" w:rsidRPr="007A5159" w:rsidRDefault="00F234C5" w:rsidP="00016E55"/>
    <w:p w:rsidR="00F234C5" w:rsidRPr="007A5159" w:rsidRDefault="00F234C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234C5" w:rsidRPr="007A5159">
        <w:tc>
          <w:tcPr>
            <w:tcW w:w="5811" w:type="dxa"/>
          </w:tcPr>
          <w:p w:rsidR="00F234C5" w:rsidRPr="007A5159" w:rsidRDefault="00F234C5" w:rsidP="00016E55">
            <w:pPr>
              <w:pStyle w:val="Lgendetitre"/>
            </w:pPr>
            <w:r w:rsidRPr="007A5159">
              <w:t>Vysvětlivky</w:t>
            </w:r>
          </w:p>
        </w:tc>
      </w:tr>
      <w:tr w:rsidR="00F234C5" w:rsidRPr="007A5159" w:rsidTr="00114A3C">
        <w:trPr>
          <w:cantSplit/>
          <w:trHeight w:val="1807"/>
        </w:trPr>
        <w:tc>
          <w:tcPr>
            <w:tcW w:w="5811" w:type="dxa"/>
            <w:tcBorders>
              <w:bottom w:val="single" w:sz="4" w:space="0" w:color="auto"/>
            </w:tcBorders>
          </w:tcPr>
          <w:p w:rsidR="00F234C5" w:rsidRPr="007A5159" w:rsidRDefault="00F234C5" w:rsidP="00343C61">
            <w:pPr>
              <w:pStyle w:val="Lgendesigne"/>
            </w:pPr>
            <w:r w:rsidRPr="007A5159">
              <w:tab/>
              <w:t>*</w:t>
            </w:r>
            <w:r w:rsidRPr="007A5159">
              <w:tab/>
              <w:t>Postup konzultace</w:t>
            </w:r>
            <w:r w:rsidRPr="007A5159">
              <w:tab/>
            </w:r>
          </w:p>
          <w:p w:rsidR="00F234C5" w:rsidRPr="007A5159" w:rsidRDefault="00F234C5" w:rsidP="00343C61">
            <w:pPr>
              <w:pStyle w:val="Lgendesigne"/>
            </w:pPr>
            <w:r w:rsidRPr="007A5159">
              <w:tab/>
              <w:t>***</w:t>
            </w:r>
            <w:r w:rsidRPr="007A5159">
              <w:tab/>
              <w:t>Postup souhlasu</w:t>
            </w:r>
          </w:p>
          <w:p w:rsidR="00F234C5" w:rsidRPr="007A5159" w:rsidRDefault="00F234C5" w:rsidP="00343C61">
            <w:pPr>
              <w:pStyle w:val="Lgendesigne"/>
            </w:pPr>
            <w:r w:rsidRPr="007A5159">
              <w:tab/>
              <w:t>***I</w:t>
            </w:r>
            <w:r w:rsidRPr="007A5159">
              <w:tab/>
              <w:t>Řádný legislativní postup (první čtení)</w:t>
            </w:r>
          </w:p>
          <w:p w:rsidR="00F234C5" w:rsidRPr="007A5159" w:rsidRDefault="00F234C5" w:rsidP="00343C61">
            <w:pPr>
              <w:pStyle w:val="Lgendesigne"/>
            </w:pPr>
            <w:r w:rsidRPr="007A5159">
              <w:tab/>
              <w:t>***II</w:t>
            </w:r>
            <w:r w:rsidRPr="007A5159">
              <w:tab/>
              <w:t>Řádný legislativní postup (druhé čtení)</w:t>
            </w:r>
          </w:p>
          <w:p w:rsidR="00F234C5" w:rsidRPr="007A5159" w:rsidRDefault="00F234C5" w:rsidP="00343C61">
            <w:pPr>
              <w:pStyle w:val="Lgendesigne"/>
              <w:rPr>
                <w:noProof/>
              </w:rPr>
            </w:pPr>
            <w:r w:rsidRPr="007A5159">
              <w:tab/>
              <w:t>***III</w:t>
            </w:r>
            <w:r w:rsidRPr="007A5159">
              <w:tab/>
              <w:t>Řádný legislativní postup (třetí čtení)</w:t>
            </w:r>
          </w:p>
          <w:p w:rsidR="00F234C5" w:rsidRPr="007A5159" w:rsidRDefault="00F234C5" w:rsidP="00016E55">
            <w:pPr>
              <w:pStyle w:val="Lgendestandard"/>
            </w:pPr>
          </w:p>
          <w:p w:rsidR="00F234C5" w:rsidRPr="007A5159" w:rsidRDefault="00F234C5" w:rsidP="00016E55">
            <w:pPr>
              <w:pStyle w:val="Lgendestandard"/>
            </w:pPr>
            <w:r w:rsidRPr="007A5159">
              <w:t>(Druh postupu závisí na právním základu navrženém v návrhu aktu.)</w:t>
            </w:r>
          </w:p>
          <w:p w:rsidR="00F234C5" w:rsidRPr="007A5159" w:rsidRDefault="00F234C5" w:rsidP="002B1E3A">
            <w:pPr>
              <w:pStyle w:val="Lgendestandard"/>
            </w:pPr>
          </w:p>
        </w:tc>
      </w:tr>
    </w:tbl>
    <w:p w:rsidR="00F234C5" w:rsidRPr="007A5159" w:rsidRDefault="00F234C5" w:rsidP="00016E55"/>
    <w:p w:rsidR="00363B94" w:rsidRPr="007A5159" w:rsidRDefault="00363B94" w:rsidP="00613F2E">
      <w:pPr>
        <w:widowControl/>
        <w:tabs>
          <w:tab w:val="center" w:pos="4677"/>
        </w:tabs>
      </w:pPr>
    </w:p>
    <w:p w:rsidR="00363B94" w:rsidRPr="007A5159" w:rsidRDefault="00363B94">
      <w:pPr>
        <w:pStyle w:val="TOCHeading"/>
      </w:pPr>
      <w:r w:rsidRPr="007A5159">
        <w:br w:type="page"/>
      </w:r>
      <w:r w:rsidRPr="007A5159">
        <w:lastRenderedPageBreak/>
        <w:t>OBSAH</w:t>
      </w:r>
    </w:p>
    <w:p w:rsidR="00363B94" w:rsidRPr="007A5159" w:rsidRDefault="00306171">
      <w:pPr>
        <w:pStyle w:val="TOCPage"/>
      </w:pPr>
      <w:r w:rsidRPr="007A5159">
        <w:t>Strana</w:t>
      </w:r>
    </w:p>
    <w:p w:rsidR="00957795" w:rsidRDefault="00EF48F2">
      <w:pPr>
        <w:pStyle w:val="TOC1"/>
        <w:tabs>
          <w:tab w:val="right" w:leader="dot" w:pos="9060"/>
        </w:tabs>
        <w:rPr>
          <w:rFonts w:asciiTheme="minorHAnsi" w:eastAsiaTheme="minorEastAsia" w:hAnsiTheme="minorHAnsi" w:cstheme="minorBidi"/>
          <w:noProof/>
          <w:sz w:val="22"/>
          <w:szCs w:val="22"/>
          <w:lang w:eastAsia="cs-CZ"/>
        </w:rPr>
      </w:pPr>
      <w:r w:rsidRPr="007A5159">
        <w:fldChar w:fldCharType="begin"/>
      </w:r>
      <w:r w:rsidRPr="007A5159">
        <w:instrText xml:space="preserve"> TOC \t "PageHeading</w:instrText>
      </w:r>
      <w:r w:rsidR="00957795">
        <w:instrText>;</w:instrText>
      </w:r>
      <w:r w:rsidRPr="007A5159">
        <w:instrText xml:space="preserve">1" </w:instrText>
      </w:r>
      <w:r w:rsidRPr="007A5159">
        <w:fldChar w:fldCharType="separate"/>
      </w:r>
      <w:r w:rsidR="00957795">
        <w:rPr>
          <w:noProof/>
        </w:rPr>
        <w:t>NÁVRH LEGISLATIVNÍHO USNESENÍ EVROPSKÉHO PARLAMENTU</w:t>
      </w:r>
      <w:r w:rsidR="00957795">
        <w:rPr>
          <w:noProof/>
        </w:rPr>
        <w:tab/>
      </w:r>
      <w:r w:rsidR="00957795">
        <w:rPr>
          <w:noProof/>
        </w:rPr>
        <w:fldChar w:fldCharType="begin"/>
      </w:r>
      <w:r w:rsidR="00957795">
        <w:rPr>
          <w:noProof/>
        </w:rPr>
        <w:instrText xml:space="preserve"> PAGEREF _Toc145675159 \h </w:instrText>
      </w:r>
      <w:r w:rsidR="00957795">
        <w:rPr>
          <w:noProof/>
        </w:rPr>
      </w:r>
      <w:r w:rsidR="00957795">
        <w:rPr>
          <w:noProof/>
        </w:rPr>
        <w:fldChar w:fldCharType="separate"/>
      </w:r>
      <w:r w:rsidR="00957795">
        <w:rPr>
          <w:noProof/>
        </w:rPr>
        <w:t>5</w:t>
      </w:r>
      <w:r w:rsidR="00957795">
        <w:rPr>
          <w:noProof/>
        </w:rPr>
        <w:fldChar w:fldCharType="end"/>
      </w:r>
    </w:p>
    <w:p w:rsidR="004E1650" w:rsidRPr="007A5159" w:rsidRDefault="00EF48F2" w:rsidP="00F04010">
      <w:r w:rsidRPr="007A5159">
        <w:fldChar w:fldCharType="end"/>
      </w:r>
    </w:p>
    <w:p w:rsidR="00363B94" w:rsidRPr="007A5159" w:rsidRDefault="00363B94" w:rsidP="0006167F">
      <w:pPr>
        <w:pStyle w:val="PageHeading"/>
      </w:pPr>
      <w:r w:rsidRPr="007A5159">
        <w:br w:type="page"/>
      </w:r>
      <w:r w:rsidRPr="007A5159">
        <w:lastRenderedPageBreak/>
        <w:br w:type="page"/>
      </w:r>
      <w:bookmarkStart w:id="1" w:name="_Toc145675159"/>
      <w:r w:rsidRPr="007A5159">
        <w:lastRenderedPageBreak/>
        <w:t>NÁVRH LEGISLATIVNÍHO USNESENÍ EVROPSKÉHO PARLAMENTU</w:t>
      </w:r>
      <w:bookmarkEnd w:id="1"/>
    </w:p>
    <w:p w:rsidR="00363B94" w:rsidRPr="007A5159" w:rsidRDefault="00306171">
      <w:pPr>
        <w:pStyle w:val="NormalBold"/>
      </w:pPr>
      <w:r w:rsidRPr="007A5159">
        <w:t>o návrhu rozhodnutí Rady o uzavření Dohody o partnerství mezi Evropskou unií a Madagaskarskou republikou v oblasti udržitelného rybolovu a prováděcího protokolu k dohodě (2023–2027)</w:t>
      </w:r>
    </w:p>
    <w:p w:rsidR="00363B94" w:rsidRPr="007A5159" w:rsidRDefault="00306171">
      <w:pPr>
        <w:pStyle w:val="NormalBold12a"/>
      </w:pPr>
      <w:r w:rsidRPr="007A5159">
        <w:t>(09525/2023 – C9</w:t>
      </w:r>
      <w:r w:rsidRPr="007A5159">
        <w:noBreakHyphen/>
        <w:t>0223/2023 – 2023/0117(NLE))</w:t>
      </w:r>
    </w:p>
    <w:p w:rsidR="00363B94" w:rsidRPr="007A5159" w:rsidRDefault="00306171" w:rsidP="00893FBD">
      <w:pPr>
        <w:pStyle w:val="NormalBold"/>
      </w:pPr>
      <w:r w:rsidRPr="007A5159">
        <w:t>(Souhlas)</w:t>
      </w:r>
    </w:p>
    <w:p w:rsidR="00363B94" w:rsidRPr="007A5159" w:rsidRDefault="00306171">
      <w:pPr>
        <w:pStyle w:val="EPComma"/>
      </w:pPr>
      <w:r w:rsidRPr="007A5159">
        <w:rPr>
          <w:i/>
        </w:rPr>
        <w:t>Evropský parlament</w:t>
      </w:r>
      <w:r w:rsidRPr="007A5159">
        <w:t>,</w:t>
      </w:r>
    </w:p>
    <w:p w:rsidR="00BF7F55" w:rsidRPr="007A5159" w:rsidRDefault="00BF7F55" w:rsidP="00BF7F55">
      <w:pPr>
        <w:pStyle w:val="NormalHanging12a"/>
      </w:pPr>
      <w:r w:rsidRPr="007A5159">
        <w:t>–</w:t>
      </w:r>
      <w:r w:rsidRPr="007A5159">
        <w:tab/>
        <w:t>s ohledem na návrh rozhodnutí Rady (09525/2023),</w:t>
      </w:r>
    </w:p>
    <w:p w:rsidR="00363B94" w:rsidRPr="007A5159" w:rsidRDefault="00363B94">
      <w:pPr>
        <w:pStyle w:val="NormalHanging12a"/>
      </w:pPr>
      <w:r w:rsidRPr="007A5159">
        <w:t>–</w:t>
      </w:r>
      <w:r w:rsidRPr="007A5159">
        <w:tab/>
        <w:t>s ohledem na Dohodu mezi Evropskou unií a Madagaskarskou republikou o partnerství v oblasti udržitelného rybolovu (09007/2023),</w:t>
      </w:r>
    </w:p>
    <w:p w:rsidR="00363B94" w:rsidRPr="007A5159" w:rsidRDefault="005F5D6C">
      <w:pPr>
        <w:pStyle w:val="NormalHanging12a"/>
      </w:pPr>
      <w:r w:rsidRPr="007A5159">
        <w:t>–</w:t>
      </w:r>
      <w:r w:rsidRPr="007A5159">
        <w:tab/>
        <w:t>s ohledem na žádost o udělení souhlasu, kterou předložila Rada v souladu s čl. 43 odst. 2 a čl. 218 odst. 6 druhým pododstavcem písm. a) bodem v) Smlouvy o fungování Evropské unie (C9</w:t>
      </w:r>
      <w:r w:rsidRPr="007A5159">
        <w:noBreakHyphen/>
        <w:t>0223/2023),</w:t>
      </w:r>
    </w:p>
    <w:p w:rsidR="00363B94" w:rsidRPr="007A5159" w:rsidRDefault="00363B94">
      <w:pPr>
        <w:pStyle w:val="NormalHanging12a"/>
      </w:pPr>
      <w:r w:rsidRPr="007A5159">
        <w:t>–</w:t>
      </w:r>
      <w:r w:rsidRPr="007A5159">
        <w:tab/>
        <w:t>s ohledem na čl. 105 odst. 1 a 4 a čl. 114 odst. 7 jednacího řádu,</w:t>
      </w:r>
    </w:p>
    <w:p w:rsidR="00363B94" w:rsidRPr="007A5159" w:rsidRDefault="00363B94">
      <w:pPr>
        <w:pStyle w:val="NormalHanging12a"/>
      </w:pPr>
      <w:r w:rsidRPr="007A5159">
        <w:t>–</w:t>
      </w:r>
      <w:r w:rsidRPr="007A5159">
        <w:tab/>
        <w:t>s ohledem na doporučení Výboru pro rybolov (A9</w:t>
      </w:r>
      <w:r w:rsidRPr="007A5159">
        <w:noBreakHyphen/>
        <w:t>0000/2023),</w:t>
      </w:r>
    </w:p>
    <w:p w:rsidR="00363B94" w:rsidRPr="007A5159" w:rsidRDefault="00363B94">
      <w:pPr>
        <w:pStyle w:val="NormalHanging12a"/>
      </w:pPr>
      <w:r w:rsidRPr="007A5159">
        <w:t>1.</w:t>
      </w:r>
      <w:r w:rsidRPr="007A5159">
        <w:tab/>
        <w:t>uděluje souhlas s uzavřením dohody;</w:t>
      </w:r>
    </w:p>
    <w:p w:rsidR="001D02E3" w:rsidRPr="007A5159" w:rsidRDefault="001D02E3">
      <w:pPr>
        <w:pStyle w:val="NormalHanging12a"/>
      </w:pPr>
      <w:r w:rsidRPr="007A5159">
        <w:t>2.</w:t>
      </w:r>
      <w:r w:rsidRPr="007A5159">
        <w:tab/>
        <w:t>pověřuje svou předsedkyni, aby předala postoj Parlamentu Radě, Komisi, jakož i vládám a parlamentům členských států a Madagaskarské republiky.</w:t>
      </w:r>
    </w:p>
    <w:p w:rsidR="00AC54BC" w:rsidRPr="007A5159" w:rsidRDefault="00AC54BC" w:rsidP="00AC54BC">
      <w:pPr>
        <w:widowControl/>
      </w:pPr>
      <w:r w:rsidRPr="007A5159">
        <w:br w:type="page"/>
      </w:r>
    </w:p>
    <w:p w:rsidR="00AC54BC" w:rsidRPr="007A5159" w:rsidRDefault="00AC54BC" w:rsidP="00AC54BC">
      <w:pPr>
        <w:ind w:firstLine="567"/>
        <w:jc w:val="center"/>
        <w:rPr>
          <w:rFonts w:ascii="Arial" w:hAnsi="Arial" w:cs="Arial"/>
          <w:b/>
        </w:rPr>
      </w:pPr>
      <w:r w:rsidRPr="007A5159">
        <w:rPr>
          <w:rFonts w:ascii="Arial" w:hAnsi="Arial"/>
          <w:b/>
        </w:rPr>
        <w:lastRenderedPageBreak/>
        <w:t>VYSVĚTLUJÍCÍ PROHLÁŠENÍ</w:t>
      </w:r>
    </w:p>
    <w:p w:rsidR="00AC54BC" w:rsidRPr="007A5159" w:rsidRDefault="00AC54BC" w:rsidP="00AC54BC">
      <w:pPr>
        <w:ind w:firstLine="567"/>
        <w:rPr>
          <w:b/>
        </w:rPr>
      </w:pPr>
    </w:p>
    <w:p w:rsidR="00AC54BC" w:rsidRPr="007A5159" w:rsidRDefault="00AC54BC" w:rsidP="00AC54BC">
      <w:r w:rsidRPr="007A5159">
        <w:t xml:space="preserve">První dohoda mezi Evropským společenstvím a Madagaskarskou republikou o přidružení v odvětví rybolovu pochází ze dne 19. prosince 2007. Poslední prováděcí protokol k této dohodě o partnerství  platil od 1. ledna 2015 do 31. prosince 2018, kdy skončila jeho platnost. </w:t>
      </w:r>
    </w:p>
    <w:p w:rsidR="00AC54BC" w:rsidRPr="007A5159" w:rsidRDefault="00AC54BC" w:rsidP="00AC54BC"/>
    <w:p w:rsidR="00AC54BC" w:rsidRPr="007A5159" w:rsidRDefault="00AC54BC" w:rsidP="00AC54BC">
      <w:r w:rsidRPr="007A5159">
        <w:t>Od 31. prosince 2018 funguje dohoda o partnerství v režimu „spících dohod“, které se vztahují na státy s dohodou o aktivní spolupráci v odvětví rybolovu, avšak bez aktivního prováděcího protokolu. Proto byl ve vodách Madagaskaru rybolov plavidel EU zakázán.</w:t>
      </w:r>
    </w:p>
    <w:p w:rsidR="00AC54BC" w:rsidRPr="007A5159" w:rsidRDefault="00AC54BC" w:rsidP="00AC54BC"/>
    <w:p w:rsidR="00AC54BC" w:rsidRPr="007A5159" w:rsidRDefault="00AC54BC" w:rsidP="00AC54BC">
      <w:r w:rsidRPr="007A5159">
        <w:t>Dne 28. října 2022 dosáhly EU a Madagaskar dohody, jejímž cílem je obnovit a zlepšit partnerství mezi EU a Madagaskarem a přispět k řádné správě rybolovu. Cílem je umožnit plavidlům EU přístup do rybolovné oblasti Madagaskaru a lovit tuňákovité a příbuzné druhy v rámci řídícího mandátu Komise pro tuňáky Indického oceánu (IOTC). Dohoda a protokol rovněž poskytnou odvětvovou podporu pro sledování nezákonného rybolovu a boj proti němu, odvětví drobného rybolovu, vědeckou a technickou spolupráci s cílem zajistit udržitelné využívání rybolovných zdrojů, odpovídající výcvik námořníků, řízení a zachování rybolovných zdrojů a vědeckou spolupráci. Cílem odvětvové podpory není podpora madagaskarského rybářského loďstva.</w:t>
      </w:r>
    </w:p>
    <w:p w:rsidR="00AC54BC" w:rsidRPr="007A5159" w:rsidRDefault="00AC54BC" w:rsidP="00AC54BC"/>
    <w:p w:rsidR="00AC54BC" w:rsidRPr="007A5159" w:rsidRDefault="00AC54BC" w:rsidP="00AC54BC">
      <w:r w:rsidRPr="007A5159">
        <w:t>Dohoda a protokol navíc přispějí k hospodářství Madagaskaru v oblasti rybolovu tím, že podpoří růst a důstojné pracovní podmínky v hospodářských činnostech souvisejících s rybolovem.</w:t>
      </w:r>
    </w:p>
    <w:p w:rsidR="00AC54BC" w:rsidRPr="007A5159" w:rsidRDefault="00AC54BC" w:rsidP="00AC54BC"/>
    <w:p w:rsidR="00AC54BC" w:rsidRPr="007A5159" w:rsidRDefault="00AC54BC" w:rsidP="00AC54BC">
      <w:r w:rsidRPr="007A5159">
        <w:t>Tato dohoda se použije po dobu čtyř let od prvního dne jejího prozatímního provádění, není-li vypovězena podle článku 21.</w:t>
      </w:r>
    </w:p>
    <w:p w:rsidR="00AC54BC" w:rsidRPr="007A5159" w:rsidRDefault="00AC54BC" w:rsidP="00AC54BC"/>
    <w:p w:rsidR="00AC54BC" w:rsidRPr="007A5159" w:rsidRDefault="00AC54BC" w:rsidP="00AC54BC">
      <w:r w:rsidRPr="007A5159">
        <w:t xml:space="preserve">Dohoda je výsledkem intenzivních jednání s madagaskarskou vládou, která vyzvala ke snížení počtu plavidel EU a zároveň ke zvýšení značné finanční poptávky. Výsledek jednání předpokládá pokles referenčního množství z předchozích 15,750 tun ročně na 14,000 tun ročně. Počet oprávněných plavidel se ve srovnání s předchozí dohodou rovněž snížil z 94 na 65 jednotek. Plavidla EU, zejména ze Španělska, Portugalska, Itálie a Francie, tradičně těžila z rybolovných práv v madagaskarských vodách. </w:t>
      </w:r>
    </w:p>
    <w:p w:rsidR="00AC54BC" w:rsidRPr="007A5159" w:rsidRDefault="00AC54BC" w:rsidP="00AC54BC"/>
    <w:p w:rsidR="00AC54BC" w:rsidRPr="007A5159" w:rsidRDefault="00AC54BC" w:rsidP="00AC54BC">
      <w:r w:rsidRPr="007A5159">
        <w:t>Množství žraloků, kteří mohou být uloveni společně s tuňáky a příbuznými druhy, je omezeno na 220 tun za rok nižší než 250 tun.</w:t>
      </w:r>
    </w:p>
    <w:p w:rsidR="00AC54BC" w:rsidRPr="007A5159" w:rsidRDefault="00AC54BC" w:rsidP="00AC54BC"/>
    <w:p w:rsidR="00AC54BC" w:rsidRPr="007A5159" w:rsidRDefault="00AC54BC" w:rsidP="00AC54BC">
      <w:r w:rsidRPr="007A5159">
        <w:t>Dohoda se rovněž vztahuje na Mosambický průplav, který má strategický význam pro loďstvo EU. Plavidla Unie nesmějí vplout do pásma 3 námořních mil kolem ukotvených lovných zařízení s uzavíracím mechanismem (FAD) používaných madagaskarskými rybáři.</w:t>
      </w:r>
    </w:p>
    <w:p w:rsidR="00AC54BC" w:rsidRPr="007A5159" w:rsidRDefault="00AC54BC" w:rsidP="00AC54BC">
      <w:r w:rsidRPr="007A5159">
        <w:t xml:space="preserve"> </w:t>
      </w:r>
    </w:p>
    <w:p w:rsidR="00AC54BC" w:rsidRPr="007A5159" w:rsidRDefault="00AC54BC" w:rsidP="00AC54BC">
      <w:r w:rsidRPr="007A5159">
        <w:t>Majitelé plavidel podléhají poplatkům na základě tonáže úlovků. Poplatek pro plavidla lovící tuňáky vlečnou sítí byl zvýšen ze 70 EUR za tunu na 85 EUR za tunu. Kromě toho musí plavidla platit paušální zálohy v těchto částkách:</w:t>
      </w:r>
    </w:p>
    <w:p w:rsidR="00AC54BC" w:rsidRPr="007A5159" w:rsidRDefault="00AC54BC" w:rsidP="00AC54BC"/>
    <w:p w:rsidR="00AC54BC" w:rsidRPr="007A5159" w:rsidRDefault="00AC54BC" w:rsidP="00AC54BC">
      <w:pPr>
        <w:ind w:left="720" w:hanging="360"/>
      </w:pPr>
      <w:r w:rsidRPr="007A5159">
        <w:rPr>
          <w:rFonts w:ascii="Symbol" w:hAnsi="Symbol"/>
        </w:rPr>
        <w:t></w:t>
      </w:r>
      <w:r w:rsidRPr="007A5159">
        <w:rPr>
          <w:rFonts w:ascii="Symbol" w:hAnsi="Symbol"/>
        </w:rPr>
        <w:tab/>
      </w:r>
      <w:r w:rsidRPr="007A5159">
        <w:t>16 150 EUR/rok za plavidlo lovící tuňáky košelkovými nevody u úlovků o objemu 190 t</w:t>
      </w:r>
    </w:p>
    <w:p w:rsidR="00AC54BC" w:rsidRPr="007A5159" w:rsidRDefault="00AC54BC" w:rsidP="00AC54BC">
      <w:pPr>
        <w:ind w:left="720" w:hanging="360"/>
      </w:pPr>
      <w:r w:rsidRPr="007A5159">
        <w:rPr>
          <w:rFonts w:ascii="Symbol" w:hAnsi="Symbol"/>
        </w:rPr>
        <w:t></w:t>
      </w:r>
      <w:r w:rsidRPr="007A5159">
        <w:rPr>
          <w:rFonts w:ascii="Symbol" w:hAnsi="Symbol"/>
        </w:rPr>
        <w:tab/>
      </w:r>
      <w:r w:rsidRPr="007A5159">
        <w:t xml:space="preserve">4 930 EUR/rok za plavidlo pro povrchový rybolov na dlouhou lovnou šňůru &gt; 100 GT </w:t>
      </w:r>
      <w:r w:rsidRPr="007A5159">
        <w:lastRenderedPageBreak/>
        <w:t>u úlovků o objemu 58 t</w:t>
      </w:r>
    </w:p>
    <w:p w:rsidR="00AC54BC" w:rsidRPr="007A5159" w:rsidRDefault="00AC54BC" w:rsidP="00AC54BC">
      <w:pPr>
        <w:ind w:left="720" w:hanging="360"/>
      </w:pPr>
      <w:r w:rsidRPr="007A5159">
        <w:rPr>
          <w:rFonts w:ascii="Symbol" w:hAnsi="Symbol"/>
        </w:rPr>
        <w:t></w:t>
      </w:r>
      <w:r w:rsidRPr="007A5159">
        <w:rPr>
          <w:rFonts w:ascii="Symbol" w:hAnsi="Symbol"/>
        </w:rPr>
        <w:tab/>
      </w:r>
      <w:r w:rsidRPr="007A5159">
        <w:t>3 145 EUR/rok za plavidlo pro povrchový rybolov na dlouhou lovnou šňůru ≤ 100 GT u úlovků o objemu 37 t</w:t>
      </w:r>
    </w:p>
    <w:p w:rsidR="00AC54BC" w:rsidRPr="007A5159" w:rsidRDefault="00AC54BC" w:rsidP="00AC54BC">
      <w:pPr>
        <w:ind w:left="720" w:hanging="360"/>
      </w:pPr>
      <w:r w:rsidRPr="007A5159">
        <w:rPr>
          <w:rFonts w:ascii="Symbol" w:hAnsi="Symbol"/>
        </w:rPr>
        <w:t></w:t>
      </w:r>
      <w:r w:rsidRPr="007A5159">
        <w:rPr>
          <w:rFonts w:ascii="Symbol" w:hAnsi="Symbol"/>
        </w:rPr>
        <w:tab/>
      </w:r>
      <w:r w:rsidRPr="007A5159">
        <w:t>5 000 EUR/rok za podpůrné plavidlo</w:t>
      </w:r>
    </w:p>
    <w:p w:rsidR="00AC54BC" w:rsidRPr="007A5159" w:rsidRDefault="00AC54BC" w:rsidP="00AC54BC"/>
    <w:p w:rsidR="00AC54BC" w:rsidRPr="007A5159" w:rsidRDefault="00AC54BC" w:rsidP="00AC54BC">
      <w:r w:rsidRPr="007A5159">
        <w:t>Odhadované celkové náklady na nový protokol během jeho čtyřleté životnosti by měly činit 12 880 000 EUR, tj. 3220000 EUR ročně. Tato částka se dělí následovně: Částka 7 200 000 EUR představuje finanční závazek Unie a 5 680 000 EUR představuje odhadovanou hodnotu příspěvku majitele plavidla. V důsledku toho EU přispěje 56 % z celkového počtu plavidel a 44 % majitelů plavidel. Kromě toho byla zahrnuta ustanovení na podporu spolupráce mezi EU a Madagaskarem v rámci Komise pro tuňáky Indického oceánu (IOTC).</w:t>
      </w:r>
    </w:p>
    <w:p w:rsidR="00AC54BC" w:rsidRPr="007A5159" w:rsidRDefault="00AC54BC" w:rsidP="00AC54BC"/>
    <w:p w:rsidR="00AC54BC" w:rsidRPr="007A5159" w:rsidRDefault="00AC54BC" w:rsidP="00AC54BC">
      <w:r w:rsidRPr="007A5159">
        <w:t>Dohoda rovněž zavádí nový příspěvek na ochranu ekosystémů, který mají platit vlastníci rybářských plavidel Unie, kteří budou platit zvláštní příspěvek založený na hrubé prostornosti ročně ve výši 2,50 EUR za GT. Celková odhadovaná částka by měla činit přibližně 200 000 EUR a měla by být vyplacena madagaskarské agentuře odpovědné za rybolov a akvakulturu.</w:t>
      </w:r>
    </w:p>
    <w:p w:rsidR="00AC54BC" w:rsidRPr="007A5159" w:rsidRDefault="00AC54BC" w:rsidP="00AC54BC"/>
    <w:p w:rsidR="00AC54BC" w:rsidRPr="007A5159" w:rsidRDefault="00AC54BC" w:rsidP="00AC54BC">
      <w:pPr>
        <w:rPr>
          <w:b/>
        </w:rPr>
      </w:pPr>
      <w:r w:rsidRPr="007A5159">
        <w:rPr>
          <w:b/>
        </w:rPr>
        <w:t>Postoj zpravodajky</w:t>
      </w:r>
    </w:p>
    <w:p w:rsidR="00AC54BC" w:rsidRPr="007A5159" w:rsidRDefault="00AC54BC" w:rsidP="00AC54BC"/>
    <w:p w:rsidR="00AC54BC" w:rsidRPr="007A5159" w:rsidRDefault="00AC54BC" w:rsidP="00AC54BC">
      <w:r w:rsidRPr="007A5159">
        <w:t>Madagaskarská republika je čtvrtým největším ostrovem na světě a největším z afrických ostrovů, který je zcela obklopen Indickým oceánem, a je považována za jednu z nejlepších zemí, pokud jde o ochrany přírody, jež se pyšní mnoha endemickými druhy. Zemědělství, rybolov a lesnictví jsou páteří madagaskarského hospodářství a představují 34 % HDP.</w:t>
      </w:r>
    </w:p>
    <w:p w:rsidR="00AC54BC" w:rsidRPr="007A5159" w:rsidRDefault="00AC54BC" w:rsidP="00AC54BC"/>
    <w:p w:rsidR="00AC54BC" w:rsidRPr="007A5159" w:rsidRDefault="00AC54BC" w:rsidP="00AC54BC">
      <w:r w:rsidRPr="007A5159">
        <w:t>Navzdory všemu tomuto přírodnímu bohatství je Madagaskar jednou ze zemí, které Organizace spojených národů považuje za nejméně rozvinuté země. Chudoba postihovala v roce 2017 92 % obyvatelstva. Z hlediska chronické podvýživy se tato země umístila na čtvrtém místě na světě. Madagaskar je navíc jednou z pěti zemí, kde je pro obyvatelstvo nejobtížnější přístup k vodě. Podle nevládní organizace WaterAid</w:t>
      </w:r>
      <w:r w:rsidRPr="007A5159">
        <w:rPr>
          <w:rStyle w:val="FootnoteReference"/>
        </w:rPr>
        <w:footnoteReference w:id="1"/>
      </w:r>
      <w:r w:rsidRPr="007A5159">
        <w:t xml:space="preserve"> tam nemá 12 milionů lidí přístup k pitné vodě. ​</w:t>
      </w:r>
    </w:p>
    <w:p w:rsidR="00AC54BC" w:rsidRPr="007A5159" w:rsidRDefault="00AC54BC" w:rsidP="00AC54BC"/>
    <w:p w:rsidR="00AC54BC" w:rsidRPr="007A5159" w:rsidRDefault="00AC54BC" w:rsidP="00AC54BC">
      <w:r w:rsidRPr="007A5159">
        <w:t>Odhaduje se, že odvětví rybolovu zaměstnává na Madagaskaru více než 1,5 milionu lidí a jeho úlovky se skládají z různých druhů: vysoce stěhovavé druhy, korýši, hlavonožci atd. Do madagaskarských vod mají přístup loďstva z Asie (Čína, Koreje, Japonska, Tchaj-wanu) a dalších států vlajky ze západní Afrikt a Střední Ameriky. Madagaskar je zemí, která s EU spolupracuje v boji proti nezákonnému, nehlášenému a neregulovanému rybolovu podle pravidel EU.</w:t>
      </w:r>
    </w:p>
    <w:p w:rsidR="00AC54BC" w:rsidRPr="007A5159" w:rsidRDefault="00AC54BC" w:rsidP="00AC54BC">
      <w:r w:rsidRPr="007A5159">
        <w:t>Podle informací, jež poskytuje madagaskarské odvětví rybolovu, slouží drobný rybolov k výživě obyvatel této  země, ale nemá bohužel dostatečné prostředky k udržení dostatečného zásobování místního obyvatelstva. Spotřeba ryb je velmi nízká navzdory skutečnosti, že země trpí hladomorem, neboť ryby, jež jsou loveny převážně loděmi ze třetích zemí, se vyvážejí. Tato dohoda může být skvělou příležitostí ke změně této situace a může umožnit madagaskarským lidem lepší přístup k potravinám.</w:t>
      </w:r>
    </w:p>
    <w:p w:rsidR="00AC54BC" w:rsidRPr="007A5159" w:rsidRDefault="00AC54BC" w:rsidP="00AC54BC"/>
    <w:p w:rsidR="00AC54BC" w:rsidRPr="007A5159" w:rsidRDefault="00AC54BC" w:rsidP="00AC54BC">
      <w:r w:rsidRPr="007A5159">
        <w:t xml:space="preserve">Zpravodajka vítá práci Evropské komise a blahopřeje jí k uzavření složitých jednání s Madagaskarem, neboť tato dohoda je pro evropské loďstvo velmi důležitá a zároveň představuje velkou příležitost pro tolik potřebný rozvoj madagaskarského odvětví rybolovu. </w:t>
      </w:r>
    </w:p>
    <w:p w:rsidR="00AC54BC" w:rsidRPr="007A5159" w:rsidRDefault="00AC54BC" w:rsidP="00AC54BC"/>
    <w:p w:rsidR="00AC54BC" w:rsidRPr="007A5159" w:rsidRDefault="00AC54BC" w:rsidP="00AC54BC">
      <w:r w:rsidRPr="007A5159">
        <w:t>Zdůrazňuje, že zpětné a výhledové hodnocení protokolu k dohodě o partnerství v oblasti udržitelného rybolovu mezi EU a Madagaskarem</w:t>
      </w:r>
      <w:r w:rsidRPr="007A5159">
        <w:rPr>
          <w:rStyle w:val="FootnoteReference"/>
        </w:rPr>
        <w:footnoteReference w:id="2"/>
      </w:r>
      <w:r w:rsidRPr="007A5159">
        <w:t xml:space="preserve"> naznačuje, že dohodu o partnerství v oblasti udržitelného rybolovu lze obecně popsat jako dohodu výhodnou pro všechny strany, neboť odpovídá zjištěným potřebám různých zúčastněných stran. Obecně jsou splněna tradiční hodnotící kritéria (účinnost, efektivnost, hospodárnost, relevance, soudržnost). Připomínky různých zúčastněných stran konzultovaných během tohoto hodnocení rovněž umožňují prohlásit, že stávající protokol je z velké části přijatelný a že jeho obnovení je podporováno s ohledem na jeho přínosy pro všechny strany.</w:t>
      </w:r>
    </w:p>
    <w:p w:rsidR="00AC54BC" w:rsidRPr="007A5159" w:rsidRDefault="00AC54BC" w:rsidP="00AC54BC"/>
    <w:p w:rsidR="00AC54BC" w:rsidRPr="007A5159" w:rsidRDefault="00AC54BC" w:rsidP="00AC54BC">
      <w:r w:rsidRPr="007A5159">
        <w:t>Zpravodajka se domnívá, že dohody o partnerství v oblasti udržitelného rybolovu mají obecně velmi pozitivní dopad jak na místní obyvatelstvo, tak na evropské loďstvo a umožňují spotřebitelům v EU lepší přístup k udržitelně uloveným rybám. Nedávno zveřejněné hodnocení dohod o partnerství v oblasti udržitelného rybolovu</w:t>
      </w:r>
      <w:r w:rsidRPr="007A5159">
        <w:rPr>
          <w:vertAlign w:val="superscript"/>
        </w:rPr>
        <w:footnoteReference w:id="3"/>
      </w:r>
      <w:r w:rsidRPr="007A5159">
        <w:t xml:space="preserve"> potvrdilo, že poskytují odpovídající rámec pro splnění potřeb a cílů společné rybářské politiky (SRP), aby se přístup ke zdrojům loďstva EU ve vnějších vodách řídil zásadami přístupu a pravidly zajišťujícími udržitelnost rybolovných postupů, které dodržují pravidla společné rybářské politiky. Kromě toho dohody o partnerství v oblasti udržitelného rybolovu splňují potřeby přidružené třetí země, pokud jde o vytváření hospodářských výnosů prostřednictvím jejích přebytečných zdrojů nebo určení zeměpisné polohy tras vysoce stěhovavých druhů a stanovení rozpočtového krytí s cílem posílit její rámec pro řízení rybolovu a zajistit udržitelný rozvoj odvětví rybolovu. Dohody o partnerství v oblasti udržitelného rybolovu navíc zahrnují potřebu, aby loďstvo EU provádějící rybolov ve vzdálených vodách a některé části loďstva EU provozujícího drobný rybolov měly přístup k produktivním rybolovným oblastem</w:t>
      </w:r>
    </w:p>
    <w:p w:rsidR="00AC54BC" w:rsidRPr="007A5159" w:rsidRDefault="00AC54BC" w:rsidP="00AC54BC">
      <w:r w:rsidRPr="007A5159">
        <w:t>ve vodách mimo EU, čímž se zajistí rovné podmínky pro hospodářské subjekty v EU a v jiných cizích zemích.</w:t>
      </w:r>
    </w:p>
    <w:p w:rsidR="00AC54BC" w:rsidRPr="007A5159" w:rsidRDefault="00AC54BC" w:rsidP="00AC54BC">
      <w:pPr>
        <w:autoSpaceDE w:val="0"/>
        <w:autoSpaceDN w:val="0"/>
        <w:adjustRightInd w:val="0"/>
        <w:rPr>
          <w:rFonts w:ascii="Verdana" w:hAnsi="Verdana" w:cs="Verdana"/>
          <w:sz w:val="20"/>
        </w:rPr>
      </w:pPr>
    </w:p>
    <w:p w:rsidR="00AC54BC" w:rsidRPr="007A5159" w:rsidRDefault="00AC54BC" w:rsidP="00AC54BC">
      <w:r w:rsidRPr="007A5159">
        <w:t>V této souvislosti zpravodajka naléhavě vyzývá Komisi, aby podrobně analyzovala oblasti, které hodnocení označilo za ty, které by mohly zlepšit výkonnost, jako je zlepšení monitorování provádění, které provádějí smíšené výbory.</w:t>
      </w:r>
    </w:p>
    <w:p w:rsidR="00AC54BC" w:rsidRPr="007A5159" w:rsidRDefault="00AC54BC" w:rsidP="00AC54BC">
      <w:r w:rsidRPr="007A5159">
        <w:t>přidružené třetí země, na něž se vztahuje doložka o zákazu diskriminace, zlepšit transparentnost veřejnosti a informovat o výsledcích a dopadech vyplývajících z provádění složek dohod o partnerství v oblasti udržitelného rybolovu týkajících se přístupu a odvětvové podpory.</w:t>
      </w:r>
    </w:p>
    <w:p w:rsidR="00AC54BC" w:rsidRPr="007A5159" w:rsidRDefault="00AC54BC" w:rsidP="00AC54BC"/>
    <w:p w:rsidR="00AC54BC" w:rsidRPr="007A5159" w:rsidRDefault="00AC54BC" w:rsidP="00AC54BC">
      <w:r w:rsidRPr="007A5159">
        <w:t xml:space="preserve">V této souvislosti zpravodajka naléhavě vyzývá Komisi, aby pokračovala v transparentnosti, kterou prokázala během jednání o dohodě, a aby požadovala, aby se občanská společnost a hlavní nevládní organizace působící v zemi zapojily do všech setkání s madagaskarskými orgány. Vypracování vhodného akčního plánu je nezbytné k tomu, aby bylo možné vyčlenit finanční prostředky na odvětvovou podporu na priority stanovené po dohodě s </w:t>
      </w:r>
      <w:r w:rsidRPr="007A5159">
        <w:lastRenderedPageBreak/>
        <w:t>madagaskarským obyvatelstvem s cílem podpořit udržitelný rozvoj odvětví rybolovu v zemi.</w:t>
      </w:r>
    </w:p>
    <w:p w:rsidR="00AC54BC" w:rsidRPr="007A5159" w:rsidRDefault="00AC54BC" w:rsidP="00AC54BC"/>
    <w:p w:rsidR="00AC54BC" w:rsidRPr="007A5159" w:rsidRDefault="00AC54BC" w:rsidP="00AC54BC">
      <w:r w:rsidRPr="007A5159">
        <w:t>Zpravodajka vyzývá madagaskarské orgány, aby od ostatních loďstev požadovaly přístup do svých vod se stejným kritériem transparentnosti a aby jako předběžnou podmínku stanovily prohlášení o všech úlovcích a přístup k údajům, aby bylo možné vědecké poradenství z těchto populací provádět za co nejlepších podmínek.</w:t>
      </w:r>
    </w:p>
    <w:p w:rsidR="00AC54BC" w:rsidRPr="007A5159" w:rsidRDefault="00AC54BC" w:rsidP="00AC54BC"/>
    <w:p w:rsidR="00AC54BC" w:rsidRPr="007A5159" w:rsidRDefault="00AC54BC" w:rsidP="00AC54BC">
      <w:r w:rsidRPr="007A5159">
        <w:t>Zpravodajka upozorňuje Komisi na nutnost neustálého sledování dohody, že námitka proti usnesení IOTC 23/02 nepředstavuje pro evropské loďstvo působící ve vodách Madagaskaru žádný problém. Skutečnost, že Madagaskar nepatří mezi země, které proti takovému řešení nesouhlasily, by neměla způsobit konflikt ani ovlivnit řádný vývoj dohody.</w:t>
      </w:r>
    </w:p>
    <w:p w:rsidR="00AC54BC" w:rsidRPr="007A5159" w:rsidRDefault="00AC54BC" w:rsidP="00AC54BC"/>
    <w:p w:rsidR="00AC54BC" w:rsidRPr="007A5159" w:rsidRDefault="00AC54BC" w:rsidP="00AC54BC">
      <w:r w:rsidRPr="007A5159">
        <w:t>Pokud jde o novou míru ochrany oceánů, zpravodajka blahopřeje Komisi k iniciativě, jejímž cílem je vyčlenit finanční prostředky na podporu obnovy oceánů, což je jedna z priorit EU. Naléhavě však vyzývá Komisi, aby stanovila přesnější pravidla pro uplatňování tohoto poplatku a aby byla zahrnuta mezi body, které budou analyzovány v souvislosti s hodnocením dohody.</w:t>
      </w:r>
    </w:p>
    <w:p w:rsidR="00363B94" w:rsidRPr="007A5159" w:rsidRDefault="00363B94" w:rsidP="00822206"/>
    <w:sectPr w:rsidR="00363B94" w:rsidRPr="007A5159" w:rsidSect="00585E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171" w:rsidRPr="007A5159" w:rsidRDefault="00306171">
      <w:r w:rsidRPr="007A5159">
        <w:separator/>
      </w:r>
    </w:p>
  </w:endnote>
  <w:endnote w:type="continuationSeparator" w:id="0">
    <w:p w:rsidR="00306171" w:rsidRPr="007A5159" w:rsidRDefault="00306171">
      <w:r w:rsidRPr="007A51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E59" w:rsidRPr="007A5159" w:rsidRDefault="00585E59" w:rsidP="00585E59">
    <w:pPr>
      <w:pStyle w:val="EPFooter"/>
    </w:pPr>
    <w:r w:rsidRPr="007A5159">
      <w:t>PE</w:t>
    </w:r>
    <w:r w:rsidRPr="007A5159">
      <w:rPr>
        <w:rStyle w:val="HideTWBExt"/>
      </w:rPr>
      <w:t>&lt;NoPE&gt;</w:t>
    </w:r>
    <w:r w:rsidRPr="007A5159">
      <w:t>752.791</w:t>
    </w:r>
    <w:r w:rsidRPr="007A5159">
      <w:rPr>
        <w:rStyle w:val="HideTWBExt"/>
      </w:rPr>
      <w:t>&lt;/NoPE&gt;&lt;Version&gt;</w:t>
    </w:r>
    <w:r w:rsidRPr="007A5159">
      <w:t>v01-00</w:t>
    </w:r>
    <w:r w:rsidRPr="007A5159">
      <w:rPr>
        <w:rStyle w:val="HideTWBExt"/>
      </w:rPr>
      <w:t>&lt;/Version&gt;</w:t>
    </w:r>
    <w:r w:rsidRPr="007A5159">
      <w:tab/>
    </w:r>
    <w:r w:rsidRPr="007A5159">
      <w:fldChar w:fldCharType="begin"/>
    </w:r>
    <w:r w:rsidRPr="007A5159">
      <w:instrText xml:space="preserve"> PAGE  \* MERGEFORMAT </w:instrText>
    </w:r>
    <w:r w:rsidRPr="007A5159">
      <w:fldChar w:fldCharType="separate"/>
    </w:r>
    <w:r w:rsidR="00301C5A">
      <w:rPr>
        <w:noProof/>
      </w:rPr>
      <w:t>4</w:t>
    </w:r>
    <w:r w:rsidRPr="007A5159">
      <w:fldChar w:fldCharType="end"/>
    </w:r>
    <w:r w:rsidRPr="007A5159">
      <w:t>/</w:t>
    </w:r>
    <w:r w:rsidR="00301C5A">
      <w:fldChar w:fldCharType="begin"/>
    </w:r>
    <w:r w:rsidR="00301C5A">
      <w:instrText xml:space="preserve"> NUMPAGES  \* MERGEFORMAT </w:instrText>
    </w:r>
    <w:r w:rsidR="00301C5A">
      <w:fldChar w:fldCharType="separate"/>
    </w:r>
    <w:r w:rsidR="00301C5A">
      <w:rPr>
        <w:noProof/>
      </w:rPr>
      <w:t>9</w:t>
    </w:r>
    <w:r w:rsidR="00301C5A">
      <w:rPr>
        <w:noProof/>
      </w:rPr>
      <w:fldChar w:fldCharType="end"/>
    </w:r>
    <w:r w:rsidRPr="007A5159">
      <w:tab/>
    </w:r>
    <w:r w:rsidRPr="007A5159">
      <w:rPr>
        <w:rStyle w:val="HideTWBExt"/>
      </w:rPr>
      <w:t>&lt;PathFdR&gt;</w:t>
    </w:r>
    <w:r w:rsidR="007A5159" w:rsidRPr="007A5159">
      <w:t>PR\1284993CS.docx</w:t>
    </w:r>
    <w:r w:rsidRPr="007A5159">
      <w:rPr>
        <w:rStyle w:val="HideTWBExt"/>
      </w:rPr>
      <w:t>&lt;/PathFdR&gt;</w:t>
    </w:r>
  </w:p>
  <w:p w:rsidR="0085501C" w:rsidRPr="007A5159" w:rsidRDefault="00585E59" w:rsidP="00585E59">
    <w:pPr>
      <w:pStyle w:val="EPFooter2"/>
    </w:pPr>
    <w:r w:rsidRPr="007A5159">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E59" w:rsidRPr="007A5159" w:rsidRDefault="00585E59" w:rsidP="00585E59">
    <w:pPr>
      <w:pStyle w:val="EPFooter"/>
    </w:pPr>
    <w:r w:rsidRPr="007A5159">
      <w:rPr>
        <w:rStyle w:val="HideTWBExt"/>
      </w:rPr>
      <w:t>&lt;PathFdR&gt;</w:t>
    </w:r>
    <w:r w:rsidR="007A5159" w:rsidRPr="007A5159">
      <w:t>PR\1284993CS.docx</w:t>
    </w:r>
    <w:r w:rsidRPr="007A5159">
      <w:rPr>
        <w:rStyle w:val="HideTWBExt"/>
      </w:rPr>
      <w:t>&lt;/PathFdR&gt;</w:t>
    </w:r>
    <w:r w:rsidRPr="007A5159">
      <w:tab/>
    </w:r>
    <w:r w:rsidRPr="007A5159">
      <w:fldChar w:fldCharType="begin"/>
    </w:r>
    <w:r w:rsidRPr="007A5159">
      <w:instrText xml:space="preserve"> PAGE  \* MERGEFORMAT </w:instrText>
    </w:r>
    <w:r w:rsidRPr="007A5159">
      <w:fldChar w:fldCharType="separate"/>
    </w:r>
    <w:r w:rsidR="00301C5A">
      <w:rPr>
        <w:noProof/>
      </w:rPr>
      <w:t>3</w:t>
    </w:r>
    <w:r w:rsidRPr="007A5159">
      <w:fldChar w:fldCharType="end"/>
    </w:r>
    <w:r w:rsidRPr="007A5159">
      <w:t>/</w:t>
    </w:r>
    <w:r w:rsidR="00301C5A">
      <w:fldChar w:fldCharType="begin"/>
    </w:r>
    <w:r w:rsidR="00301C5A">
      <w:instrText xml:space="preserve"> NUMPAGES  \* MERGEFORMAT </w:instrText>
    </w:r>
    <w:r w:rsidR="00301C5A">
      <w:fldChar w:fldCharType="separate"/>
    </w:r>
    <w:r w:rsidR="00301C5A">
      <w:rPr>
        <w:noProof/>
      </w:rPr>
      <w:t>9</w:t>
    </w:r>
    <w:r w:rsidR="00301C5A">
      <w:rPr>
        <w:noProof/>
      </w:rPr>
      <w:fldChar w:fldCharType="end"/>
    </w:r>
    <w:r w:rsidRPr="007A5159">
      <w:tab/>
      <w:t>PE</w:t>
    </w:r>
    <w:r w:rsidRPr="007A5159">
      <w:rPr>
        <w:rStyle w:val="HideTWBExt"/>
      </w:rPr>
      <w:t>&lt;NoPE&gt;</w:t>
    </w:r>
    <w:r w:rsidRPr="007A5159">
      <w:t>752.791</w:t>
    </w:r>
    <w:r w:rsidRPr="007A5159">
      <w:rPr>
        <w:rStyle w:val="HideTWBExt"/>
      </w:rPr>
      <w:t>&lt;/NoPE&gt;&lt;Version&gt;</w:t>
    </w:r>
    <w:r w:rsidRPr="007A5159">
      <w:t>v01-00</w:t>
    </w:r>
    <w:r w:rsidRPr="007A5159">
      <w:rPr>
        <w:rStyle w:val="HideTWBExt"/>
      </w:rPr>
      <w:t>&lt;/Version&gt;</w:t>
    </w:r>
  </w:p>
  <w:p w:rsidR="0085501C" w:rsidRPr="007A5159" w:rsidRDefault="00585E59" w:rsidP="00585E59">
    <w:pPr>
      <w:pStyle w:val="EPFooter2"/>
    </w:pPr>
    <w:r w:rsidRPr="007A5159">
      <w:tab/>
    </w:r>
    <w:r w:rsidRPr="007A5159">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E59" w:rsidRPr="007A5159" w:rsidRDefault="00585E59" w:rsidP="00585E59">
    <w:pPr>
      <w:pStyle w:val="EPFooter"/>
    </w:pPr>
    <w:r w:rsidRPr="007A5159">
      <w:rPr>
        <w:rStyle w:val="HideTWBExt"/>
      </w:rPr>
      <w:t>&lt;PathFdR&gt;</w:t>
    </w:r>
    <w:r w:rsidR="007A5159" w:rsidRPr="007A5159">
      <w:t>PR\1284993CS.docx</w:t>
    </w:r>
    <w:r w:rsidRPr="007A5159">
      <w:rPr>
        <w:rStyle w:val="HideTWBExt"/>
      </w:rPr>
      <w:t>&lt;/PathFdR&gt;</w:t>
    </w:r>
    <w:r w:rsidRPr="007A5159">
      <w:tab/>
    </w:r>
    <w:r w:rsidRPr="007A5159">
      <w:tab/>
      <w:t>PE</w:t>
    </w:r>
    <w:r w:rsidRPr="007A5159">
      <w:rPr>
        <w:rStyle w:val="HideTWBExt"/>
      </w:rPr>
      <w:t>&lt;NoPE&gt;</w:t>
    </w:r>
    <w:r w:rsidRPr="007A5159">
      <w:t>752.791</w:t>
    </w:r>
    <w:r w:rsidRPr="007A5159">
      <w:rPr>
        <w:rStyle w:val="HideTWBExt"/>
      </w:rPr>
      <w:t>&lt;/NoPE&gt;&lt;Version&gt;</w:t>
    </w:r>
    <w:r w:rsidRPr="007A5159">
      <w:t>v01-00</w:t>
    </w:r>
    <w:r w:rsidRPr="007A5159">
      <w:rPr>
        <w:rStyle w:val="HideTWBExt"/>
      </w:rPr>
      <w:t>&lt;/Version&gt;</w:t>
    </w:r>
  </w:p>
  <w:p w:rsidR="0085501C" w:rsidRPr="007A5159" w:rsidRDefault="00585E59" w:rsidP="00585E59">
    <w:pPr>
      <w:pStyle w:val="EPFooter2"/>
    </w:pPr>
    <w:r w:rsidRPr="007A5159">
      <w:t>CS</w:t>
    </w:r>
    <w:r w:rsidRPr="007A5159">
      <w:tab/>
    </w:r>
    <w:r w:rsidRPr="007A5159">
      <w:rPr>
        <w:b w:val="0"/>
        <w:i/>
        <w:color w:val="C0C0C0"/>
        <w:sz w:val="22"/>
      </w:rPr>
      <w:t>Jednotná v rozmanitosti</w:t>
    </w:r>
    <w:r w:rsidRPr="007A5159">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171" w:rsidRPr="007A5159" w:rsidRDefault="00306171">
      <w:r w:rsidRPr="007A5159">
        <w:separator/>
      </w:r>
    </w:p>
  </w:footnote>
  <w:footnote w:type="continuationSeparator" w:id="0">
    <w:p w:rsidR="00306171" w:rsidRPr="007A5159" w:rsidRDefault="00306171">
      <w:r w:rsidRPr="007A5159">
        <w:continuationSeparator/>
      </w:r>
    </w:p>
  </w:footnote>
  <w:footnote w:id="1">
    <w:p w:rsidR="00AC54BC" w:rsidRPr="007A5159" w:rsidRDefault="00AC54BC" w:rsidP="00AC54BC">
      <w:pPr>
        <w:pStyle w:val="FootnoteText"/>
      </w:pPr>
      <w:r w:rsidRPr="007A5159">
        <w:rPr>
          <w:rStyle w:val="FootnoteReference"/>
        </w:rPr>
        <w:footnoteRef/>
      </w:r>
      <w:r w:rsidRPr="007A5159">
        <w:t xml:space="preserve"> </w:t>
      </w:r>
      <w:hyperlink r:id="rId1" w:history="1">
        <w:r w:rsidRPr="007A5159">
          <w:rPr>
            <w:rStyle w:val="Hyperlink"/>
          </w:rPr>
          <w:t>https://www.accioncontraelhambre.org/es/africa/madagascar</w:t>
        </w:r>
      </w:hyperlink>
    </w:p>
    <w:p w:rsidR="00AC54BC" w:rsidRPr="007A5159" w:rsidRDefault="00AC54BC" w:rsidP="00AC54BC">
      <w:pPr>
        <w:pStyle w:val="FootnoteText"/>
      </w:pPr>
    </w:p>
  </w:footnote>
  <w:footnote w:id="2">
    <w:p w:rsidR="00AC54BC" w:rsidRPr="007A5159" w:rsidRDefault="00AC54BC" w:rsidP="00AC54BC">
      <w:pPr>
        <w:pStyle w:val="FootnoteText"/>
      </w:pPr>
      <w:r w:rsidRPr="007A5159">
        <w:rPr>
          <w:rStyle w:val="FootnoteReference"/>
        </w:rPr>
        <w:footnoteRef/>
      </w:r>
      <w:r w:rsidRPr="007A5159">
        <w:t xml:space="preserve"> </w:t>
      </w:r>
      <w:hyperlink r:id="rId2" w:history="1">
        <w:r w:rsidRPr="007A5159">
          <w:rPr>
            <w:rStyle w:val="Hyperlink"/>
          </w:rPr>
          <w:t>https://op.europa.eu/en/publication-detail/-/publication/a48fa492-387b-11e8-b5fe-01aa75ed71a1</w:t>
        </w:r>
      </w:hyperlink>
    </w:p>
    <w:p w:rsidR="00AC54BC" w:rsidRPr="007A5159" w:rsidRDefault="00AC54BC" w:rsidP="00AC54BC">
      <w:pPr>
        <w:pStyle w:val="FootnoteText"/>
      </w:pPr>
    </w:p>
  </w:footnote>
  <w:footnote w:id="3">
    <w:p w:rsidR="00AC54BC" w:rsidRPr="007A5159" w:rsidRDefault="00AC54BC" w:rsidP="00AC54BC">
      <w:pPr>
        <w:pStyle w:val="FootnoteText"/>
      </w:pPr>
      <w:r w:rsidRPr="007A5159">
        <w:rPr>
          <w:rStyle w:val="FootnoteReference"/>
        </w:rPr>
        <w:footnoteRef/>
      </w:r>
      <w:r w:rsidRPr="007A5159">
        <w:t xml:space="preserve"> </w:t>
      </w:r>
      <w:hyperlink r:id="rId3" w:history="1">
        <w:r w:rsidRPr="007A5159">
          <w:rPr>
            <w:rStyle w:val="Hyperlink"/>
          </w:rPr>
          <w:t>https://op.europa.eu/en/publication-detail/-/publication/21927e4c-2f4d-11ee-9e98-01aa75ed71a1</w:t>
        </w:r>
      </w:hyperlink>
    </w:p>
    <w:p w:rsidR="00AC54BC" w:rsidRPr="007A5159" w:rsidRDefault="00AC54BC" w:rsidP="00AC54B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8FB" w:rsidRDefault="00E938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8FB" w:rsidRDefault="00E938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8FB" w:rsidRDefault="00E938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NU" w:val=" 2"/>
    <w:docVar w:name="CIT1MNU" w:val=" 4"/>
    <w:docVar w:name="CIT2MNU" w:val=" 4"/>
    <w:docVar w:name="CIT3MNU" w:val=" 4"/>
    <w:docVar w:name="COMKEY" w:val="PECH"/>
    <w:docVar w:name="CONSENTMNU" w:val=" 1"/>
    <w:docVar w:name="LastEditedSection" w:val=" 1"/>
    <w:docVar w:name="strDocTypeID" w:val="PR_NLE-AP_Agreement"/>
    <w:docVar w:name="strSubDir" w:val="1284"/>
    <w:docVar w:name="TITLEMNU" w:val=" 2"/>
    <w:docVar w:name="TXTAUTHOR" w:val="Clara Aguilera"/>
    <w:docVar w:name="TXTLANGUE" w:val="CS"/>
    <w:docVar w:name="TXTLANGUEMIN" w:val="cs"/>
    <w:docVar w:name="TXTNRC" w:val="0223/2023"/>
    <w:docVar w:name="TXTNRCOUNC" w:val="09525/2023"/>
    <w:docVar w:name="TXTNRNLE" w:val="2023/0117"/>
    <w:docVar w:name="TXTNRPE" w:val="752.791"/>
    <w:docVar w:name="TXTPEorAP" w:val="PE"/>
    <w:docVar w:name="TXTROUTE" w:val="PR\1284993CS.docx"/>
    <w:docVar w:name="TXTTITLE" w:val="o uzavření Dohody o partnerství mezi Evropskou unií a Madagaskarskou republikou v oblasti udržitelného rybolovu a prováděcího protokolu k dohodě (2023–2027)"/>
    <w:docVar w:name="TXTVERSION" w:val="01-00"/>
  </w:docVars>
  <w:rsids>
    <w:rsidRoot w:val="00306171"/>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1C5A"/>
    <w:rsid w:val="00306171"/>
    <w:rsid w:val="003072BE"/>
    <w:rsid w:val="00337C92"/>
    <w:rsid w:val="00363B94"/>
    <w:rsid w:val="003B598C"/>
    <w:rsid w:val="004174FC"/>
    <w:rsid w:val="00460BD6"/>
    <w:rsid w:val="004859B3"/>
    <w:rsid w:val="004C083C"/>
    <w:rsid w:val="004E1650"/>
    <w:rsid w:val="0053367A"/>
    <w:rsid w:val="00544D48"/>
    <w:rsid w:val="00585E59"/>
    <w:rsid w:val="005877C0"/>
    <w:rsid w:val="005A6B14"/>
    <w:rsid w:val="005D0B97"/>
    <w:rsid w:val="005F5D6C"/>
    <w:rsid w:val="006132CE"/>
    <w:rsid w:val="00613F2E"/>
    <w:rsid w:val="006A1A75"/>
    <w:rsid w:val="006A2CF5"/>
    <w:rsid w:val="006F1B6F"/>
    <w:rsid w:val="00791637"/>
    <w:rsid w:val="007A5159"/>
    <w:rsid w:val="0080122F"/>
    <w:rsid w:val="00822206"/>
    <w:rsid w:val="008368CB"/>
    <w:rsid w:val="0085501C"/>
    <w:rsid w:val="00893FBD"/>
    <w:rsid w:val="008B75A4"/>
    <w:rsid w:val="008D23C6"/>
    <w:rsid w:val="008D3030"/>
    <w:rsid w:val="008E3848"/>
    <w:rsid w:val="008F1531"/>
    <w:rsid w:val="00924EE0"/>
    <w:rsid w:val="00957795"/>
    <w:rsid w:val="009612AA"/>
    <w:rsid w:val="009E39A7"/>
    <w:rsid w:val="00A415B7"/>
    <w:rsid w:val="00AC54BC"/>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938FB"/>
    <w:rsid w:val="00EA59ED"/>
    <w:rsid w:val="00EF48F2"/>
    <w:rsid w:val="00F04010"/>
    <w:rsid w:val="00F234C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A78CCE-A812-466B-8387-DE90217CD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234C5"/>
    <w:pPr>
      <w:tabs>
        <w:tab w:val="right" w:pos="454"/>
        <w:tab w:val="left" w:pos="737"/>
      </w:tabs>
      <w:ind w:left="737" w:hanging="737"/>
    </w:pPr>
    <w:rPr>
      <w:snapToGrid w:val="0"/>
      <w:sz w:val="18"/>
      <w:lang w:eastAsia="en-US"/>
    </w:rPr>
  </w:style>
  <w:style w:type="paragraph" w:customStyle="1" w:styleId="Lgendetitre">
    <w:name w:val="Légende titre"/>
    <w:basedOn w:val="Normal"/>
    <w:rsid w:val="00F234C5"/>
    <w:pPr>
      <w:spacing w:before="240" w:after="240"/>
    </w:pPr>
    <w:rPr>
      <w:b/>
      <w:i/>
      <w:snapToGrid w:val="0"/>
      <w:lang w:eastAsia="en-US"/>
    </w:rPr>
  </w:style>
  <w:style w:type="paragraph" w:customStyle="1" w:styleId="Lgendestandard">
    <w:name w:val="Légende standard"/>
    <w:basedOn w:val="Normal"/>
    <w:rsid w:val="00F234C5"/>
    <w:rPr>
      <w:sz w:val="18"/>
    </w:rPr>
  </w:style>
  <w:style w:type="paragraph" w:styleId="FootnoteText">
    <w:name w:val="footnote text"/>
    <w:basedOn w:val="Normal"/>
    <w:link w:val="FootnoteTextChar"/>
    <w:uiPriority w:val="99"/>
    <w:rsid w:val="00AC54BC"/>
    <w:rPr>
      <w:sz w:val="20"/>
    </w:rPr>
  </w:style>
  <w:style w:type="character" w:customStyle="1" w:styleId="FootnoteTextChar">
    <w:name w:val="Footnote Text Char"/>
    <w:basedOn w:val="DefaultParagraphFont"/>
    <w:link w:val="FootnoteText"/>
    <w:uiPriority w:val="99"/>
    <w:rsid w:val="00AC54BC"/>
  </w:style>
  <w:style w:type="character" w:styleId="FootnoteReference">
    <w:name w:val="footnote reference"/>
    <w:basedOn w:val="DefaultParagraphFont"/>
    <w:uiPriority w:val="99"/>
    <w:rsid w:val="00AC54BC"/>
    <w:rPr>
      <w:vertAlign w:val="superscript"/>
    </w:rPr>
  </w:style>
  <w:style w:type="character" w:styleId="Hyperlink">
    <w:name w:val="Hyperlink"/>
    <w:basedOn w:val="DefaultParagraphFont"/>
    <w:uiPriority w:val="99"/>
    <w:unhideWhenUsed/>
    <w:rsid w:val="00AC54BC"/>
    <w:rPr>
      <w:color w:val="0000FF"/>
      <w:u w:val="single"/>
    </w:rPr>
  </w:style>
  <w:style w:type="paragraph" w:styleId="Footer">
    <w:name w:val="footer"/>
    <w:basedOn w:val="Normal"/>
    <w:link w:val="FooterChar"/>
    <w:semiHidden/>
    <w:rsid w:val="00AC54BC"/>
    <w:pPr>
      <w:tabs>
        <w:tab w:val="center" w:pos="4513"/>
        <w:tab w:val="right" w:pos="9026"/>
      </w:tabs>
    </w:pPr>
  </w:style>
  <w:style w:type="character" w:customStyle="1" w:styleId="FooterChar">
    <w:name w:val="Footer Char"/>
    <w:basedOn w:val="DefaultParagraphFont"/>
    <w:link w:val="Footer"/>
    <w:semiHidden/>
    <w:rsid w:val="00AC54BC"/>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op.europa.eu/en/publication-detail/-/publication/21927e4c-2f4d-11ee-9e98-01aa75ed71a1" TargetMode="External"/><Relationship Id="rId2" Type="http://schemas.openxmlformats.org/officeDocument/2006/relationships/hyperlink" Target="https://op.europa.eu/en/publication-detail/-/publication/a48fa492-387b-11e8-b5fe-01aa75ed71a1" TargetMode="External"/><Relationship Id="rId1" Type="http://schemas.openxmlformats.org/officeDocument/2006/relationships/hyperlink" Target="https://www.accioncontraelhambre.org/es/africa/madagasc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BCB8F-3315-436D-935A-EB126BA69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1723</Words>
  <Characters>10275</Characters>
  <Application>Microsoft Office Word</Application>
  <DocSecurity>0</DocSecurity>
  <Lines>223</Lines>
  <Paragraphs>77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GOESSINGER SKLENAROVA Ruzena</dc:creator>
  <cp:keywords/>
  <cp:lastModifiedBy>HANUSOVA Jindra</cp:lastModifiedBy>
  <cp:revision>2</cp:revision>
  <cp:lastPrinted>2002-12-11T09:25:00Z</cp:lastPrinted>
  <dcterms:created xsi:type="dcterms:W3CDTF">2023-09-15T10:59:00Z</dcterms:created>
  <dcterms:modified xsi:type="dcterms:W3CDTF">2023-09-15T10:59:00Z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9.14.1 Build [20230315]</vt:lpwstr>
  </property>
  <property fmtid="{D5CDD505-2E9C-101B-9397-08002B2CF9AE}" pid="4" name="LastEdited with">
    <vt:lpwstr>9.14.1 Build [20230315]</vt:lpwstr>
  </property>
  <property fmtid="{D5CDD505-2E9C-101B-9397-08002B2CF9AE}" pid="5" name="&lt;FdR&gt;">
    <vt:lpwstr>1284993</vt:lpwstr>
  </property>
  <property fmtid="{D5CDD505-2E9C-101B-9397-08002B2CF9AE}" pid="6" name="&lt;Type&gt;">
    <vt:lpwstr>PR</vt:lpwstr>
  </property>
  <property fmtid="{D5CDD505-2E9C-101B-9397-08002B2CF9AE}" pid="7" name="&lt;ModelCod&gt;">
    <vt:lpwstr>\\eiciLUXpr1\pdocep$\DocEP\DOCS\General\PR\PR_Leg\NLE\PR_NLE-AP_Agreement.dotx(17/04/2020 19:28:04)</vt:lpwstr>
  </property>
  <property fmtid="{D5CDD505-2E9C-101B-9397-08002B2CF9AE}" pid="8" name="&lt;ModelTra&gt;">
    <vt:lpwstr>\\eiciLUXpr1\pdocep$\DocEP\TRANSFIL\CS\PR_NLE-AP_Agreement.CS(29/06/2022 10:20:48)</vt:lpwstr>
  </property>
  <property fmtid="{D5CDD505-2E9C-101B-9397-08002B2CF9AE}" pid="9" name="&lt;Model&gt;">
    <vt:lpwstr>PR_NLE-AP_Agreement</vt:lpwstr>
  </property>
  <property fmtid="{D5CDD505-2E9C-101B-9397-08002B2CF9AE}" pid="10" name="FooterPath">
    <vt:lpwstr>PR\1284993CS.docx</vt:lpwstr>
  </property>
  <property fmtid="{D5CDD505-2E9C-101B-9397-08002B2CF9AE}" pid="11" name="PE number">
    <vt:lpwstr>752.791</vt:lpwstr>
  </property>
  <property fmtid="{D5CDD505-2E9C-101B-9397-08002B2CF9AE}" pid="12" name="Bookout">
    <vt:lpwstr/>
  </property>
</Properties>
</file>