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Euroopan parlamentti</w:t>
            </w:r>
          </w:p>
          <w:p>
            <w:pPr>
              <w:pStyle w:val="EPTerm"/>
            </w:pPr>
            <w:r>
              <w:t>2019-2024</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63372" name=""/>
                          <pic:cNvPicPr>
                            <a:picLocks noChangeAspect="1"/>
                          </pic:cNvPicPr>
                        </pic:nvPicPr>
                        <pic:blipFill>
                          <a:blip xmlns:r="http://schemas.openxmlformats.org/officeDocument/2006/relationships" r:embed="rId5"/>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PECH</w:t>
      </w:r>
      <w:r>
        <w:rPr>
          <w:rStyle w:val="HideTWBInt"/>
        </w:rPr>
        <w:t>}</w:t>
      </w:r>
      <w:r>
        <w:t>Kalatalousvaliokunta</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2023/2124</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19/09/2023</w:t>
      </w:r>
      <w:r>
        <w:rPr>
          <w:rStyle w:val="HideTWBInt"/>
        </w:rPr>
        <w:t>}</w:t>
      </w:r>
      <w:r>
        <w:t>19.9.2023</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MIETINTÖLUONNOS</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EU:n toimintasuunnitelmasta: meriekosysteemien suojelu ja ennallistaminen kestävän ja selviytymiskykyisen kalastuksen varmistamiseksi</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(2023/2124(INI))</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PECH</w:t>
      </w:r>
      <w:r>
        <w:rPr>
          <w:rStyle w:val="HideTWBInt"/>
        </w:rPr>
        <w:t>}</w:t>
      </w:r>
      <w:r>
        <w:t>Kalatalousvaliokunta</w:t>
      </w:r>
      <w:r>
        <w:rPr>
          <w:rStyle w:val="HideTWBExt"/>
        </w:rPr>
        <w:t>&lt;/</w:t>
      </w:r>
      <w:r>
        <w:rPr>
          <w:rStyle w:val="HideTWBExt"/>
        </w:rPr>
        <w:t>Commission</w:t>
      </w:r>
      <w:r>
        <w:rPr>
          <w:rStyle w:val="HideTWBExt"/>
        </w:rPr>
        <w:t>&gt;</w:t>
      </w:r>
    </w:p>
    <w:p>
      <w:pPr>
        <w:pStyle w:val="CoverNormal24a"/>
      </w:pPr>
      <w:r>
        <w:t>Esittelijä</w:t>
      </w:r>
      <w:r>
        <w:t xml:space="preserve">: </w:t>
      </w:r>
      <w:r>
        <w:rPr>
          <w:rStyle w:val="HideTWBExt"/>
        </w:rPr>
        <w:t>&lt;</w:t>
      </w:r>
      <w:r>
        <w:rPr>
          <w:rStyle w:val="HideTWBExt"/>
        </w:rPr>
        <w:t>Depute</w:t>
      </w:r>
      <w:r>
        <w:rPr>
          <w:rStyle w:val="HideTWBExt"/>
        </w:rPr>
        <w:t>&gt;</w:t>
      </w:r>
      <w:r>
        <w:t>Niclas Herbst</w:t>
      </w:r>
      <w:r>
        <w:rPr>
          <w:rStyle w:val="HideTWBExt"/>
        </w:rPr>
        <w:t>&lt;/</w:t>
      </w:r>
      <w:r>
        <w:rPr>
          <w:rStyle w:val="HideTWBExt"/>
        </w:rPr>
        <w:t>Depute</w:t>
      </w:r>
      <w:r>
        <w:rPr>
          <w:rStyle w:val="HideTWBExt"/>
        </w:rPr>
        <w:t>&gt;</w:t>
      </w:r>
    </w:p>
    <w:p>
      <w:r>
        <w:br w:type="page"/>
      </w:r>
      <w:r>
        <w:t>PR_INI</w:t>
      </w:r>
    </w:p>
    <w:p>
      <w:pPr>
        <w:pStyle w:val="TOCHeading"/>
      </w:pPr>
      <w:r>
        <w:t>SISÄLTÖ</w:t>
      </w:r>
    </w:p>
    <w:p>
      <w:pPr>
        <w:pStyle w:val="TOCPage"/>
      </w:pPr>
      <w:r>
        <w:t>Sivu</w:t>
      </w:r>
    </w:p>
    <w:p>
      <w:pPr>
        <w:pStyle w:val="TOC1"/>
        <w:tabs>
          <w:tab w:val="right" w:leader="dot" w:pos="9062"/>
        </w:tabs>
        <w:rPr>
          <w:rFonts w:ascii="Calibri" w:hAnsi="Calibri"/>
          <w:noProof/>
          <w:sz w:val="22"/>
        </w:rPr>
      </w:pPr>
      <w:r>
        <w:fldChar w:fldCharType="begin"/>
      </w:r>
      <w:r>
        <w:instrText>TOC \t "PageHeading"</w:instrText>
      </w:r>
      <w:r>
        <w:fldChar w:fldCharType="separate"/>
      </w:r>
      <w:r>
        <w:t>EUROOPAN PARLAMENTIN PÄÄTÖSLAUSELMAESITYS</w:t>
      </w:r>
      <w:r>
        <w:tab/>
      </w:r>
      <w:r>
        <w:fldChar w:fldCharType="begin"/>
      </w:r>
      <w:r>
        <w:instrText xml:space="preserve"> PAGEREF _Toc256000002 \h </w:instrText>
      </w:r>
      <w:r>
        <w:fldChar w:fldCharType="separate"/>
      </w:r>
      <w:r>
        <w:t>3</w:t>
      </w:r>
      <w:r>
        <w:fldChar w:fldCharType="end"/>
      </w:r>
    </w:p>
    <w:p>
      <w:pPr>
        <w:pStyle w:val="TOC1"/>
        <w:tabs>
          <w:tab w:val="right" w:leader="dot" w:pos="9062"/>
        </w:tabs>
        <w:rPr>
          <w:rFonts w:ascii="Calibri" w:hAnsi="Calibri"/>
          <w:noProof/>
          <w:sz w:val="22"/>
        </w:rPr>
      </w:pPr>
      <w:r>
        <w:t>PERUSTELUT</w:t>
      </w:r>
      <w:r>
        <w:tab/>
      </w:r>
      <w:r>
        <w:fldChar w:fldCharType="begin"/>
      </w:r>
      <w:r>
        <w:instrText xml:space="preserve"> PAGEREF _Toc256000003 \h </w:instrText>
      </w:r>
      <w:r>
        <w:fldChar w:fldCharType="separate"/>
      </w:r>
      <w:r>
        <w:t>9</w:t>
      </w:r>
      <w:r>
        <w:fldChar w:fldCharType="end"/>
      </w:r>
    </w:p>
    <w:p>
      <w:pPr>
        <w:pStyle w:val="Normal12b"/>
      </w:pPr>
      <w:r>
        <w:fldChar w:fldCharType="end"/>
      </w:r>
    </w:p>
    <w:p>
      <w:pPr>
        <w:pStyle w:val="CoverNormalLeft"/>
      </w:pPr>
    </w:p>
    <w:p>
      <w:pPr>
        <w:pStyle w:val="CoverNormalLeft"/>
        <w:sectPr>
          <w:footerReference w:type="even" r:id="rId6"/>
          <w:footerReference w:type="default" r:id="rId7"/>
          <w:footerReference w:type="first" r:id="rId8"/>
          <w:footnotePr>
            <w:numRestart w:val="eachSect"/>
          </w:footnotePr>
          <w:pgSz w:w="11906" w:h="16838"/>
          <w:pgMar w:top="1134" w:right="1417" w:bottom="1417" w:left="1417" w:header="1134" w:footer="567" w:gutter="0"/>
          <w:cols w:num="1" w:space="720"/>
          <w:titlePg/>
          <w:docGrid w:linePitch="360"/>
        </w:sectPr>
      </w:pPr>
      <w:r>
        <w:br w:type="page"/>
      </w:r>
    </w:p>
    <w:p>
      <w:pPr>
        <w:pStyle w:val="PageHeading"/>
      </w:pPr>
      <w:bookmarkStart w:id="0" w:name="_Toc256000002"/>
      <w:r>
        <w:t>EUROOPAN PARLAMENTIN PÄÄTÖSLAUSELMAESITYS</w:t>
      </w:r>
      <w:bookmarkEnd w:id="0"/>
    </w:p>
    <w:p>
      <w:pPr>
        <w:pStyle w:val="NormalBold"/>
      </w:pPr>
      <w:r>
        <w:t>EU:n toimintasuunnitelmasta: meriekosysteemien suojelu ja ennallistaminen kestävän ja selviytymiskykyisen kalastuksen varmistamiseksi</w:t>
      </w:r>
    </w:p>
    <w:p>
      <w:pPr>
        <w:pStyle w:val="NormalBold"/>
      </w:pPr>
      <w:r>
        <w:t>(2023/2124(INI))</w:t>
      </w:r>
    </w:p>
    <w:p>
      <w:pPr>
        <w:pStyle w:val="EPComma"/>
      </w:pPr>
      <w:r>
        <w:rPr>
          <w:rStyle w:val="Italic"/>
        </w:rPr>
        <w:t>Euroopan parlamentti</w:t>
      </w:r>
      <w:r>
        <w:t>, joka</w:t>
      </w:r>
    </w:p>
    <w:p>
      <w:pPr>
        <w:pStyle w:val="NormalHanging12a"/>
      </w:pPr>
      <w:r>
        <w:t>–</w:t>
      </w:r>
      <w:r>
        <w:tab/>
      </w:r>
      <w:r>
        <w:t>ottaa huomioon komission 21. helmikuuta 2023 antaman tiedonannon ”EU:n toimintasuunnitelma: suojellaan ja ennallistetaan meriekosysteemejä kestävää ja selviytymiskykyistä kalataloutta varten” (COM(2023)0102 final),</w:t>
      </w:r>
    </w:p>
    <w:p>
      <w:pPr>
        <w:pStyle w:val="NormalHanging12a"/>
      </w:pPr>
      <w:r>
        <w:t>–</w:t>
      </w:r>
      <w:r>
        <w:tab/>
      </w:r>
      <w:r>
        <w:t>ottaa huomioon 12. heinäkuuta 2023 annetun Euroopan talous- ja sosiaalikomitean lausunnon ”Toimintasuunnitelma kalavarojen säilyttämiseksi ja meriekosysteemien suojelemiseksi”,</w:t>
      </w:r>
    </w:p>
    <w:p>
      <w:pPr>
        <w:pStyle w:val="NormalHanging12a"/>
      </w:pPr>
      <w:r>
        <w:t>–</w:t>
      </w:r>
      <w:r>
        <w:tab/>
      </w:r>
      <w:r>
        <w:t>ottaa huomioon Euroopan unionin toiminnasta tehdyn sopimuksen ja erityisesti sen 39 artiklan maatalous- ja kalastusyhteisöjen kohtuullisen elintason varmistamisesta sekä 5 artiklan suhteellisuusperiaatteesta,</w:t>
      </w:r>
    </w:p>
    <w:p>
      <w:pPr>
        <w:pStyle w:val="NormalHanging12a"/>
      </w:pPr>
      <w:r>
        <w:t>–</w:t>
      </w:r>
      <w:r>
        <w:tab/>
      </w:r>
      <w:r>
        <w:t>ottaa huomioon 12. joulukuuta 2015 tehdyn Pariisin sopimuksen ja erityisesti sen 2 artiklan 1 kohdan b alakohdan ilmastonmuutoksen haittavaikutuksiin sopeutumisesta tavalla, joka ei uhkaa ruoantuotantoa,</w:t>
      </w:r>
    </w:p>
    <w:p>
      <w:pPr>
        <w:pStyle w:val="NormalHanging12a"/>
      </w:pPr>
      <w:r>
        <w:t>–</w:t>
      </w:r>
      <w:r>
        <w:tab/>
      </w:r>
      <w:r>
        <w:t>ottaa huomioon 27. huhtikuuta 2021 antamansa päätöslauselman kemiallisista jäämistä Itämeressä vetoomusten nro 1328/2019 ja 0406/2020 perusteella</w:t>
      </w:r>
      <w:r>
        <w:rPr>
          <w:rStyle w:val="FootnoteReference"/>
        </w:rPr>
        <w:footnoteReference w:id="0"/>
      </w:r>
      <w:r>
        <w:t>;</w:t>
      </w:r>
    </w:p>
    <w:p>
      <w:pPr>
        <w:pStyle w:val="NormalHanging12a"/>
      </w:pPr>
      <w:r>
        <w:t>–</w:t>
      </w:r>
      <w:r>
        <w:tab/>
      </w:r>
      <w:r>
        <w:t>ottaa huomioon 14. joulukuuta 2016 annetun Euroopan parlamentin ja neuvoston asetuksen (EU) 2016/2336 Koillis-Atlantin syvänmeren kantojen kalastusta koskevista erityisedellytyksistä, Koillis-Atlantin kansainvälisillä vesillä harjoitettavaa kalastusta koskevista säännöksistä ja neuvoston asetuksen (EY) N:o 2347/2002 kumoamisesta</w:t>
      </w:r>
      <w:r>
        <w:rPr>
          <w:rStyle w:val="FootnoteReference"/>
        </w:rPr>
        <w:footnoteReference w:id="1"/>
      </w:r>
      <w:r>
        <w:t>,</w:t>
      </w:r>
    </w:p>
    <w:p>
      <w:pPr>
        <w:pStyle w:val="NormalHanging12a"/>
      </w:pPr>
      <w:r>
        <w:t>–</w:t>
      </w:r>
      <w:r>
        <w:tab/>
      </w:r>
      <w:r>
        <w:t>ottaa huomioon maatalous- ja kalastusneuvostossa 20. maaliskuuta 2023 esitetyt jäsenvaltioiden kannat,</w:t>
      </w:r>
    </w:p>
    <w:p>
      <w:pPr>
        <w:pStyle w:val="NormalHanging12a"/>
      </w:pPr>
      <w:r>
        <w:t>–</w:t>
      </w:r>
      <w:r>
        <w:tab/>
      </w:r>
      <w:r>
        <w:t>ottaa huomioon 26. kesäkuuta 2023 annetut neuvoston päätelmät kestävää, selviytymiskykyistä ja kilpailukykyistä kalastus- ja vesiviljelyalaa koskevasta kalastuspolitiikkapaketista,</w:t>
      </w:r>
    </w:p>
    <w:p>
      <w:pPr>
        <w:pStyle w:val="NormalHanging12a"/>
      </w:pPr>
      <w:r>
        <w:t>–</w:t>
      </w:r>
      <w:r>
        <w:tab/>
      </w:r>
      <w:r>
        <w:t>ottaa huomioon komission jäsenen Sinkevičiusin 3. huhtikuuta 2023 päivätyn kirjeen ns. Krabbenfisherei-pohjatrooleilla harjoitettavaa taskuravun kalastusta koskevan toimintasuunnitelman oikeudellisista seurauksista,</w:t>
      </w:r>
    </w:p>
    <w:p>
      <w:pPr>
        <w:pStyle w:val="NormalHanging12a"/>
      </w:pPr>
      <w:r>
        <w:t>–</w:t>
      </w:r>
      <w:r>
        <w:tab/>
      </w:r>
      <w:r>
        <w:t>ottaa huomioon 15. syyskuuta 2022 annetun komission täytäntöönpanoasetuksen (EU) 2022/1614 nykyisten syvänmeren kalastusalueiden määrittelemisestä ja sellaisten alueiden luettelon laatimisesta, joilla tiedetään esiintyvän tai todennäköisesti esiintyy haavoittuvia meriekosysteemejä</w:t>
      </w:r>
      <w:r>
        <w:rPr>
          <w:rStyle w:val="FootnoteReference"/>
        </w:rPr>
        <w:footnoteReference w:id="2"/>
      </w:r>
      <w:r>
        <w:t>,</w:t>
      </w:r>
    </w:p>
    <w:p>
      <w:pPr>
        <w:pStyle w:val="NormalHanging12a"/>
      </w:pPr>
      <w:r>
        <w:t>–</w:t>
      </w:r>
      <w:r>
        <w:tab/>
      </w:r>
      <w:r>
        <w:t>ottaa huomioon 11. heinäkuuta 2023 vahvistamansa kannan ehdotuksesta Euroopan parlamentin ja neuvoston asetukseksi Eteläisen Intian valtameren kalastussopimuksen (SIOFA) soveltamisalaan kuuluvalla alueella sovellettavista hoito-, säilyttämis- ja valvontatoimenpiteistä</w:t>
      </w:r>
      <w:r>
        <w:rPr>
          <w:rStyle w:val="FootnoteReference"/>
        </w:rPr>
        <w:footnoteReference w:id="3"/>
      </w:r>
      <w:r>
        <w:t>,</w:t>
      </w:r>
    </w:p>
    <w:p>
      <w:pPr>
        <w:pStyle w:val="NormalHanging12a"/>
      </w:pPr>
      <w:r>
        <w:t>–</w:t>
      </w:r>
      <w:r>
        <w:tab/>
      </w:r>
      <w:r>
        <w:t>ottaa huomioon komission puheenjohtajan Ursula von der Leyenin Euroopan parlamentin täysistunnossa 13. syyskuuta 2023 unionin tilasta vuonna 2023 pitämän puheen,</w:t>
      </w:r>
    </w:p>
    <w:p>
      <w:pPr>
        <w:pStyle w:val="NormalHanging12a"/>
      </w:pPr>
      <w:r>
        <w:t>–</w:t>
      </w:r>
      <w:r>
        <w:tab/>
      </w:r>
      <w:r>
        <w:t>ottaa huomioon 19. kesäkuuta 2023 tehdyn YK:n avomerisopimuksen ja Kunmingin-Montrealin maailmanlaajuisen biodiversiteettikehyksen,</w:t>
      </w:r>
    </w:p>
    <w:p>
      <w:pPr>
        <w:pStyle w:val="NormalHanging12a"/>
      </w:pPr>
      <w:r>
        <w:t>–</w:t>
      </w:r>
      <w:r>
        <w:tab/>
      </w:r>
      <w:r>
        <w:t>ottaa huomioon Euroopan ankeriaskannan elvytystoimenpiteistä 18. syyskuuta 2007 annetun neuvoston asetuksen (EY) N:o 1100/2007</w:t>
      </w:r>
      <w:r>
        <w:rPr>
          <w:rStyle w:val="FootnoteReference"/>
        </w:rPr>
        <w:footnoteReference w:id="4"/>
      </w:r>
      <w:r>
        <w:t>,</w:t>
      </w:r>
    </w:p>
    <w:p>
      <w:pPr>
        <w:pStyle w:val="NormalHanging12a"/>
      </w:pPr>
      <w:r>
        <w:t>–</w:t>
      </w:r>
      <w:r>
        <w:tab/>
      </w:r>
      <w:r>
        <w:t>ottaa huomioon kalatalousvaliokunnan mietintöluonnoksen Euroopan ankeriaskannan elvytystoimenpiteistä annetun neuvoston asetuksen (EY) N:o 1100/2007 täytäntöönpanosta</w:t>
      </w:r>
      <w:r>
        <w:rPr>
          <w:rStyle w:val="FootnoteReference"/>
        </w:rPr>
        <w:footnoteReference w:id="5"/>
      </w:r>
      <w:r>
        <w:t>,</w:t>
      </w:r>
    </w:p>
    <w:p>
      <w:pPr>
        <w:pStyle w:val="NormalHanging12a"/>
      </w:pPr>
      <w:r>
        <w:t>–</w:t>
      </w:r>
      <w:r>
        <w:tab/>
      </w:r>
      <w:r>
        <w:t>ottaa huomioon työjärjestyksen 54 artiklan,</w:t>
      </w:r>
    </w:p>
    <w:p>
      <w:pPr>
        <w:pStyle w:val="NormalHanging12a"/>
      </w:pPr>
      <w:r>
        <w:t>–</w:t>
      </w:r>
      <w:r>
        <w:tab/>
      </w:r>
      <w:r>
        <w:t>ottaa huomioon kehitysvaliokunnan lausunnon,</w:t>
      </w:r>
    </w:p>
    <w:p>
      <w:pPr>
        <w:pStyle w:val="NormalHanging12a"/>
      </w:pPr>
      <w:r>
        <w:t>–</w:t>
      </w:r>
      <w:r>
        <w:tab/>
      </w:r>
      <w:r>
        <w:t>ottaa huomioon kalatalousvaliokunnan mietinnön (A9-0000/2023),</w:t>
      </w:r>
    </w:p>
    <w:p>
      <w:pPr>
        <w:pStyle w:val="NormalHanging12a"/>
      </w:pPr>
      <w:r>
        <w:t>A.</w:t>
      </w:r>
      <w:r>
        <w:tab/>
      </w:r>
      <w:r>
        <w:t>katsoo, että on kiireellisesti tehostettava EU:n tason toimia meriekosysteemien heikentymisen pysäyttämiseksi puuttumalla mahdollisuuksien mukaan ihmisen ja luonnon aiheuttamiin paineisiin, tukemalla joidenkin kalakantojen myönteistä elpymistä ja kannustamalla tieteellisiin tutkimuksiin ja kaikkeen sellaiseen tutkimukseen ja kehitykseen, jolla varmistetaan kestävä kalastus ja vesiviljely;</w:t>
      </w:r>
    </w:p>
    <w:p>
      <w:pPr>
        <w:pStyle w:val="NormalHanging12a"/>
      </w:pPr>
      <w:r>
        <w:t>B.</w:t>
      </w:r>
      <w:r>
        <w:tab/>
      </w:r>
      <w:r>
        <w:t>ottaa huomioon, että EU:ssa on tällä hetkellä jopa 23 luonnon ennallistamista koskevaa säädöstä ja yli 40 tekstiä, jos otetaan huomioon tiedonannot, strategiat ja asetukset, sekä lukuisia ympäristöä ja kalastusta koskevia säädöksiä;</w:t>
      </w:r>
    </w:p>
    <w:p>
      <w:pPr>
        <w:pStyle w:val="NormalHanging12a"/>
      </w:pPr>
      <w:r>
        <w:t>C.</w:t>
      </w:r>
      <w:r>
        <w:tab/>
      </w:r>
      <w:r>
        <w:t>ottaa huomioon, että komission täytäntöönpanoasetuksella (EU) 2022/1614 Koillis-Atlantilla sijaitsevilla EU:n vesillä suljettiin kaikilta pohjakalastuspyydyksiltä 87 aluetta, joiden kokonaispinta-ala on 16 419 km² ja jotka kattoivat 17 prosenttia 400–800 metrin syvyisestä alueesta;</w:t>
      </w:r>
    </w:p>
    <w:p>
      <w:pPr>
        <w:pStyle w:val="Normal12a24b"/>
      </w:pPr>
      <w:r>
        <w:rPr>
          <w:rStyle w:val="BoldItalic"/>
        </w:rPr>
        <w:t>Ympäristön ja luonnon monimuotoisuuden suojelu</w:t>
      </w:r>
    </w:p>
    <w:p>
      <w:pPr>
        <w:pStyle w:val="NormalHanging12a"/>
      </w:pPr>
      <w:r>
        <w:t>1.</w:t>
      </w:r>
      <w:r>
        <w:tab/>
      </w:r>
      <w:r>
        <w:t>pitää valitettavana, että huolimatta EU:n kalastusalan huomattavista ponnisteluista ja edistymisestä meriekosysteemien suojelussa ja niiden kestävyyden parantamisessa valtamerien tilanteeseen vaikuttavat edelleen ilmastonmuutos, happamoituminen ja saastuminen, joka johtuu nitriittien, muovien ja muiden meriroskien tai maalla tapahtuvasta toiminnasta syntyvien jätteiden kaltaisista epäpuhtauksista, jotka eivät ole kalastajien hallinnassa ja jotka ovat merkittävä uhka heidän toimeentulolleen ja meriekosysteemeille;</w:t>
      </w:r>
    </w:p>
    <w:p>
      <w:pPr>
        <w:pStyle w:val="NormalHanging12a"/>
      </w:pPr>
      <w:r>
        <w:t>2.</w:t>
      </w:r>
      <w:r>
        <w:tab/>
      </w:r>
      <w:r>
        <w:t>katsoo kaikkien kalastus- ja ympäristöpolitiikkaan osallistuvien sidosryhmien tavoin, että terveet meriekosysteemit hyödyttävät terveyttämme, yhteiskuntaamme ja talouttamme ja ovat olennaisen tärkeitä maapallolle ja meriekosysteemeistä riippuvaisille yhteisöille;</w:t>
      </w:r>
    </w:p>
    <w:p>
      <w:pPr>
        <w:pStyle w:val="Normal12a24b"/>
      </w:pPr>
      <w:r>
        <w:rPr>
          <w:rStyle w:val="BoldItalic"/>
        </w:rPr>
        <w:t>Johdonmukaisuus voimassa olevien säännösten kanssa</w:t>
      </w:r>
    </w:p>
    <w:p>
      <w:pPr>
        <w:pStyle w:val="NormalHanging12a"/>
      </w:pPr>
      <w:r>
        <w:t>3.</w:t>
      </w:r>
      <w:r>
        <w:tab/>
      </w:r>
      <w:r>
        <w:t>katsoo, että komission jäsenen Sinkevičiusin toimintasuunnitelman lähestymistapa ei ole johdonmukainen muiden komission painopisteiden ja strategioiden kanssa, joita ovat esimerkiksi elintarviketurvan varmistaminen, EU:n strateginen riippumattomuus ja tasapuoliset toimintaedellytykset EU:n ulkopuolisten maiden kanssa, hintojen nousun torjunta, yhteisen kalastuspolitiikan (YKP) sosiaalisen ulottuvuuden vahvistaminen sekä talouskasvun ja työllisyyden vahvistaminen;</w:t>
      </w:r>
    </w:p>
    <w:p>
      <w:pPr>
        <w:pStyle w:val="NormalHanging12a"/>
      </w:pPr>
      <w:r>
        <w:t>4.</w:t>
      </w:r>
      <w:r>
        <w:tab/>
      </w:r>
      <w:r>
        <w:t>muistuttaa, että toimintasuunnitelman pitäisi olla johdonmukainen niiden YKP:n tavoitteiden kanssa, joilla varmistetaan, että kalastus- ja vesiviljelytoimet ovat ekologisesti kestäviä pitkällä aikavälillä ja että niitä hoidetaan johdonmukaisesti taloudellisten, sosiaalisten ja työllisyyteen liittyvien hyötyjen saavuttamista ja elintarvikkeiden saatavuuden parantamista koskevien tavoitteiden kanssa.</w:t>
      </w:r>
    </w:p>
    <w:p>
      <w:pPr>
        <w:pStyle w:val="Normal12a24b"/>
      </w:pPr>
      <w:r>
        <w:rPr>
          <w:rStyle w:val="BoldItalic"/>
        </w:rPr>
        <w:t>Luonnon ennallistaminen</w:t>
      </w:r>
    </w:p>
    <w:p>
      <w:pPr>
        <w:pStyle w:val="NormalHanging12a"/>
      </w:pPr>
      <w:r>
        <w:t>5.</w:t>
      </w:r>
      <w:r>
        <w:tab/>
      </w:r>
      <w:r>
        <w:t>pitää valitettavana epäjohdonmukaisuutta toimintasuunnitelman otsikon ja siinä esitettyjen ehdotusten välillä, sillä niissä keskitytään pääasiassa lajeihin ja luontotyyppeihin vaikuttavien kalastuskäytäntöjen muuttamiseen puuttumatta mahdollisuuteen yhdenmukaistaa kalastusmenetelmiä ja -käytäntöjä ja ekosysteemien suojelua tai ennallistamista;</w:t>
      </w:r>
    </w:p>
    <w:p>
      <w:pPr>
        <w:pStyle w:val="Normal12a24b"/>
      </w:pPr>
      <w:r>
        <w:rPr>
          <w:rStyle w:val="BoldItalic"/>
        </w:rPr>
        <w:t>Meriluonnonsuojelualueet</w:t>
      </w:r>
    </w:p>
    <w:p>
      <w:pPr>
        <w:pStyle w:val="NormalHanging12a"/>
      </w:pPr>
      <w:r>
        <w:t>6.</w:t>
      </w:r>
      <w:r>
        <w:tab/>
      </w:r>
      <w:r>
        <w:t>korostaa, että suojelualueet ovat kooltaan, lajeiltaan, luontotyypeiltään ja ekosysteemeiltään erilaisia eikä niitä pitäisi pitää yhdenmukaisina alueina; katsoo siksi, että toimintasuunnitelmassa tuetaan liian yksinkertaistettua lähestymistapaa, erityisesti ehdottamalla tiettyjen pyydysten yleistä kieltämistä, ja annetaan näin vaikutelma, että kaikkia suojeltuja merialueita olisi kohdeltava samalla tavalla; kehottaa löytämään tasapainon perinteisten kalastusalueiden kalastuskieltojen lisäämistä koskevan ehdotuksen ja toisaalta kalastustoiminnan säilyttämisen välillä;</w:t>
      </w:r>
    </w:p>
    <w:p>
      <w:pPr>
        <w:pStyle w:val="NormalHanging12a"/>
      </w:pPr>
      <w:r>
        <w:t>7.</w:t>
      </w:r>
      <w:r>
        <w:tab/>
      </w:r>
      <w:r>
        <w:t>katsoo, että suojellut merialueet ja kaikki tiukasti suojellut alueet eivät ole itsetarkoitus ja että niiden nimeäminen suojelualueiksi ei estä ulkomaisten laivastojen, kuten Galápagosin suojelualueen ympärillä kalastavan kiinalaisen laivaston, huonoja käytäntöjä;</w:t>
      </w:r>
    </w:p>
    <w:p>
      <w:pPr>
        <w:pStyle w:val="Normal12a24b"/>
      </w:pPr>
      <w:r>
        <w:rPr>
          <w:rStyle w:val="BoldItalic"/>
        </w:rPr>
        <w:t>Pohjatroolaus</w:t>
      </w:r>
    </w:p>
    <w:p>
      <w:pPr>
        <w:pStyle w:val="NormalHanging12a"/>
      </w:pPr>
      <w:r>
        <w:t>8.</w:t>
      </w:r>
      <w:r>
        <w:tab/>
      </w:r>
      <w:r>
        <w:t>katsoo, että kalastusalueiden sulkemisessa pohjatroolareilta ei ole kyse pelkästään kalastusalusten siirtämisestä jatkamaan kalastustaan muualla, koska tällaisessa lähestymistavassa ei oteta huomioon muun muassa kalastajien ymmärrystä merenpohjasta ja muiden kalastusalusten läsnäoloa viereisillä alueilla, mikä voi aiheuttaa päällekkäisyyttä ja johtaa kalavarojen paikalliseen liikakäyttöön ja työolojen heikkenemiseen;</w:t>
      </w:r>
    </w:p>
    <w:p>
      <w:pPr>
        <w:pStyle w:val="NormalHanging12a"/>
      </w:pPr>
      <w:r>
        <w:t>9.</w:t>
      </w:r>
      <w:r>
        <w:tab/>
      </w:r>
      <w:r>
        <w:t>katsoo, että samaa pyyntimenetelmää koskevien aloitteiden suuri määrä toimintasuunnitelmassa ja sen ulkopuolella asettaa kyseenalaiseksi komission toimien johdonmukaisuuden ja ennakoitavuuden, sillä pyrkimys toteuttaa täydellinen kielto tietylle pyyntimenetelmälle vesitetään sarjaksi toimenpiteitä;</w:t>
      </w:r>
    </w:p>
    <w:p>
      <w:pPr>
        <w:pStyle w:val="NormalHanging12a"/>
      </w:pPr>
      <w:r>
        <w:t>10.</w:t>
      </w:r>
      <w:r>
        <w:tab/>
      </w:r>
      <w:r>
        <w:t>katsoo, että tämä suuri määrä enemmän tai vähemmän lyhytaikaisia toimia heikentää näiden aloitteiden johdonmukaisuutta ja legitimiteettiä, joista olisi päästävä yhteisymmärrykseen, ottaen huomioon sosioekonomiset, tekniset ja tieteelliset näkökohdat;</w:t>
      </w:r>
    </w:p>
    <w:p>
      <w:pPr>
        <w:pStyle w:val="NormalHanging12a"/>
      </w:pPr>
      <w:r>
        <w:t>11.</w:t>
      </w:r>
      <w:r>
        <w:tab/>
      </w:r>
      <w:r>
        <w:t>panee merkille, että toimintasuunnitelma julkaistiin odottamatta esimerkiksi aiempia ehdotuksia koskevia tieteellisiä ja sosioekonomisia päätelmiä eikä sen tiettyjen näkökohtien seurauksista ole näkemystä;</w:t>
      </w:r>
    </w:p>
    <w:p>
      <w:pPr>
        <w:pStyle w:val="Normal12a24b"/>
      </w:pPr>
      <w:r>
        <w:rPr>
          <w:rStyle w:val="BoldItalic"/>
        </w:rPr>
        <w:t>Ankeriaat</w:t>
      </w:r>
    </w:p>
    <w:p>
      <w:pPr>
        <w:pStyle w:val="NormalHanging12a"/>
      </w:pPr>
      <w:r>
        <w:t>12.</w:t>
      </w:r>
      <w:r>
        <w:tab/>
      </w:r>
      <w:r>
        <w:t>korostaa ankeriaskannan hoidon monimutkaisuutta ja moninaisuutta, sillä se ei rajoitu tiettyyn, mereen keskittyvään lähestymistapaan; korostaa, että vuotuisiin kalastusmahdollisuuksiin keskittymisen vuoksi jää huomiotta muita tärkeitä tekijöitä, kuten vaellusesteet, elinympäristöjen laatu sekä laittomat saaliit ja kauppa; korostaa, että ankeriasasetuksessa on kokonaisvaltainen ja kattava lähestymistapa, jossa otetaan huomioon ankeriaan elinvaiheet sekä merissä että makeassa vedessä ja puututaan ankeriaskantoihin kohdistuviin vaikutuksiin, jotka johtuvat sekä kalastuksesta että muista syistä;</w:t>
      </w:r>
    </w:p>
    <w:p>
      <w:pPr>
        <w:pStyle w:val="NormalHanging12a"/>
      </w:pPr>
      <w:r>
        <w:t>13.</w:t>
      </w:r>
      <w:r>
        <w:tab/>
      </w:r>
      <w:r>
        <w:t>korostaa, että ankeriasasetuksen ulkopuolella toteutetut toimenpiteet heikentävät hyväksytyn toimintapolitiikan johdonmukaisuutta; pitää valitettavana, että neuvoston asetuksella (EU) 2023/194</w:t>
      </w:r>
      <w:r>
        <w:rPr>
          <w:rStyle w:val="FootnoteReference"/>
        </w:rPr>
        <w:footnoteReference w:id="6"/>
      </w:r>
      <w:r>
        <w:t xml:space="preserve"> on rajoitettu ankeriaan kalastusta ottamalla käyttöön kuuden kuukauden kalastuskielto ilman asianmukaista sidosryhmien kuulemista tai vaikutustenarviointia sosioekonomisista vaikutuksista; katsoo siksi, että ennen uusien rajoittavien toimenpiteiden toteuttamista olisi analysoitava lajien elpymistä ja sen mahdollista roolia haitallisten vieraslajien torjunnassa, kuten toimintasuunnitelmassa ilmoitettiin;</w:t>
      </w:r>
    </w:p>
    <w:p>
      <w:pPr>
        <w:pStyle w:val="Normal12a24b"/>
      </w:pPr>
      <w:r>
        <w:rPr>
          <w:rStyle w:val="BoldItalic"/>
        </w:rPr>
        <w:t>Jäsenvaltioiden reaktiot toimintasuunnitelmaan</w:t>
      </w:r>
    </w:p>
    <w:p>
      <w:pPr>
        <w:pStyle w:val="NormalHanging12a"/>
      </w:pPr>
      <w:r>
        <w:t>14.</w:t>
      </w:r>
      <w:r>
        <w:tab/>
      </w:r>
      <w:r>
        <w:t>panee merkille jäsenvaltioiden edustajien lukuisat julkilausumat ja selkeät lausunnot, joissa arvostellaan toimintasuunnitelmaa ja siihen liittyviä epävarmuustekijöitä ja torjutaan pohjatroolauksen kieltäminen suojelluilla merialueilla;</w:t>
      </w:r>
    </w:p>
    <w:p>
      <w:pPr>
        <w:pStyle w:val="NormalHanging12a"/>
      </w:pPr>
      <w:r>
        <w:t>15.</w:t>
      </w:r>
      <w:r>
        <w:tab/>
      </w:r>
      <w:r>
        <w:t>ottaa huomioon jäsenvaltioiden tai alueellisten viranomaisten, kuten Xunta de Galician, Euroopan unionin tuomioistuimessa vireille panemat oikeudelliset menettelyt toimintasuunnitelmaan liittyviä toimia vastaan ja korostaa, että tietyt toimet eivät ole oikeasuhteisia;</w:t>
      </w:r>
    </w:p>
    <w:p>
      <w:pPr>
        <w:pStyle w:val="Normal12a24b"/>
      </w:pPr>
      <w:r>
        <w:rPr>
          <w:rStyle w:val="BoldItalic"/>
        </w:rPr>
        <w:t>Selkeyden puute komissiossa oman toimintasuunnitelmansa oikeudellisesta tulkinnasta</w:t>
      </w:r>
    </w:p>
    <w:p>
      <w:pPr>
        <w:pStyle w:val="NormalHanging12a"/>
      </w:pPr>
      <w:r>
        <w:t>16.</w:t>
      </w:r>
      <w:r>
        <w:tab/>
      </w:r>
      <w:r>
        <w:t>toteaa, että vaikka toimintasuunnitelma ei ole oikeudellisesti sitova, sen täytäntöönpanosta aiheutuu merkittäviä sosioekonomisia kustannuksia jäsenvaltioille ja niiden laivastoille, koska se sisältää 90 toimenpidettä asetusten, ohjeiden, analyysien, etenemissuunnitelmien, tutkimusten, raporttien ja aloitteiden muodossa;</w:t>
      </w:r>
    </w:p>
    <w:p>
      <w:pPr>
        <w:pStyle w:val="NormalHanging12a"/>
      </w:pPr>
      <w:r>
        <w:t>17.</w:t>
      </w:r>
      <w:r>
        <w:tab/>
      </w:r>
      <w:r>
        <w:t>panee merkille komission kiusallisen epäselvyyden toimintasuunnitelman oikeudellisista seurauksista, mikä on käynyt ilmi sen lukuisista ristiriitaisista lausunnoista, erityisesti parlamentin kalatalousvaliokunnassa annetuista lausunnoista; katsoo, että tällä on ollut haitallinen vaikutus moniin kalatalouden aloihin, kuten hietakatkarapualaan, aikana, jolloin tämänhetkisiin kriiseihin liittyvät epävarmuustekijät vaikuttavat kielteisesti tulevaisuudenuskoon näillä aloilla;</w:t>
      </w:r>
    </w:p>
    <w:p>
      <w:pPr>
        <w:pStyle w:val="NormalHanging12a"/>
      </w:pPr>
      <w:r>
        <w:t>18.</w:t>
      </w:r>
      <w:r>
        <w:tab/>
      </w:r>
      <w:r>
        <w:t>pitää valitettavana, että komissio ja erityisesti meri- ja kalastusasioiden pääosasto ja ympäristöasioiden pääosasto ovat antaneet ristiriitaisia lausuntoja toimintasuunnitelman sitovista vaikutuksista;</w:t>
      </w:r>
    </w:p>
    <w:p>
      <w:pPr>
        <w:pStyle w:val="Normal12a24b"/>
      </w:pPr>
      <w:r>
        <w:rPr>
          <w:rStyle w:val="BoldItalic"/>
        </w:rPr>
        <w:t>Sosioekonomiset näkökohdat ja elintarviketurva</w:t>
      </w:r>
    </w:p>
    <w:p>
      <w:pPr>
        <w:pStyle w:val="NormalHanging12a"/>
      </w:pPr>
      <w:r>
        <w:t>19.</w:t>
      </w:r>
      <w:r>
        <w:tab/>
      </w:r>
      <w:r>
        <w:t>tukee komission puheenjohtajan unionin tilasta vuonna 2023 pitämässään puheessa esittämää ehdotusta, jonka mukaan jokaiselle uudelle säädökselle olisi tehtävä kilpailukykytarkastus; pyytää, että toimintasuunnitelmaan ja kalastukseen liittyviin ehdotuksiin ja muihin aloitteisiin sisällytetään kilpailukykytarkastus niiden sosioekonomisista ja rannikkoyhteisöihin kohdistuvista vaikutuksista;</w:t>
      </w:r>
    </w:p>
    <w:p>
      <w:pPr>
        <w:pStyle w:val="NormalHanging12a"/>
      </w:pPr>
      <w:r>
        <w:t>20.</w:t>
      </w:r>
      <w:r>
        <w:tab/>
      </w:r>
      <w:r>
        <w:t>pitää valitettavana, että toimintasuunnitelmaan ei ole liitetty sosioekonomista tutkimusta, vaikutustenarviointia tai väliraporttia ja että siinä ei ehdoteta minkäänlaisia lisärahoitustoimenpiteitä vihreää siirtymää ja energiasiirtymää varten;</w:t>
      </w:r>
    </w:p>
    <w:p>
      <w:pPr>
        <w:pStyle w:val="NormalHanging12a"/>
      </w:pPr>
      <w:r>
        <w:t>21.</w:t>
      </w:r>
      <w:r>
        <w:tab/>
      </w:r>
      <w:r>
        <w:t>kehottaa laatimaan toimintasuunnitelman, jolla edistetään YKP:n ohella tuottavuuden kasvua, kohtuullista elintasoa kalastusalalla, myös pienimuotoisessa kalastuksessa, ja vakaita markkinoita ja jolla varmistetaan elintarvikkeiden saatavuus vaarantamatta elintarviketurvaa tai pahentamatta ruokasuvereniteettivajetta;</w:t>
      </w:r>
    </w:p>
    <w:p>
      <w:pPr>
        <w:pStyle w:val="NormalHanging12a"/>
      </w:pPr>
      <w:r>
        <w:t>22.</w:t>
      </w:r>
      <w:r>
        <w:tab/>
      </w:r>
      <w:r>
        <w:t>suhtautuu myönteisesti komission kehotukseen kerätä tietoja virkistyskalastuksen vaikutuksista, mutta korostaa tarvetta ottaa huomioon myös kestävän virkistyskalastuksen taloudelliset ja sosiaaliset vaikutukset;</w:t>
      </w:r>
    </w:p>
    <w:p>
      <w:pPr>
        <w:pStyle w:val="Normal12a24b"/>
      </w:pPr>
      <w:r>
        <w:rPr>
          <w:rStyle w:val="BoldItalic"/>
        </w:rPr>
        <w:t>Kansainväliset toimet ja vastavuoroisuus</w:t>
      </w:r>
    </w:p>
    <w:p>
      <w:pPr>
        <w:pStyle w:val="NormalHanging12a"/>
      </w:pPr>
      <w:r>
        <w:t>23.</w:t>
      </w:r>
      <w:r>
        <w:tab/>
      </w:r>
      <w:r>
        <w:t>pitää olennaisen tärkeänä, että kaikkia rajoituksia, riippumatta siitä, perustuvatko ne toimintasuunnitelmaan vai eivät, olisi sovellettava automaattisesti myös EU:n ulkopuolisista maista tuotaviin tuotteisiin, erityisesti kun otetaan huomioon, että EU tuo 70 prosenttia kuluttamastaan kalasta, jotta varmistetaan sisäisten ja ulkoisten politiikkojen johdonmukaisuus sekä tasapuoliset toimintaedellytykset EU:n ja sen ulkopuolisten toimijoiden välillä;</w:t>
      </w:r>
    </w:p>
    <w:p>
      <w:pPr>
        <w:pStyle w:val="NormalHanging12a"/>
      </w:pPr>
      <w:r>
        <w:t>24.</w:t>
      </w:r>
      <w:r>
        <w:tab/>
      </w:r>
      <w:r>
        <w:t>korostaa, että siirrettävillä pohjakalastuspyydyksillä saatujen saaliiden osuus EU:n kokonaissaaliista on 25 prosenttia ja että EU:n tasolla toteutettavat tehokkaat pohjatroolausta koskevat toimenpiteet eivät saisi johtaa tuonnin lisääntymiseen etenkään, jos ulkomaiset laivastot käyttävät pohjatrooleja;</w:t>
      </w:r>
    </w:p>
    <w:p>
      <w:pPr>
        <w:pStyle w:val="Normal12a24b"/>
      </w:pPr>
      <w:r>
        <w:rPr>
          <w:rStyle w:val="BoldItalic"/>
        </w:rPr>
        <w:t>Kalatalousalan esimerkillisyys</w:t>
      </w:r>
    </w:p>
    <w:p>
      <w:pPr>
        <w:pStyle w:val="NormalHanging12a"/>
      </w:pPr>
      <w:r>
        <w:t>25.</w:t>
      </w:r>
      <w:r>
        <w:tab/>
      </w:r>
      <w:r>
        <w:t>tukee kalastusalan jatkuvia pyrkimyksiä parantaa kalastusmenetelmiä ja vähentää kalastuksen ympäristövaikutuksia odottamatta komission toimintasuunnitelmia; korostaa myönteisiä esimerkkejä lajien kantojen ennallistamisesta suojelualueilla niin, että samalla pidetään yllä kalastustoimintaa kalastusalan sidosryhmien merkittävän roolin ansiosta;</w:t>
      </w:r>
    </w:p>
    <w:p>
      <w:pPr>
        <w:pStyle w:val="Normal12a24b"/>
      </w:pPr>
      <w:r>
        <w:rPr>
          <w:rStyle w:val="BoldItalic"/>
        </w:rPr>
        <w:t>Toimintasuunnitelmaan sisältyvät delegoidut säädökset</w:t>
      </w:r>
    </w:p>
    <w:p>
      <w:pPr>
        <w:pStyle w:val="NormalHanging12a"/>
      </w:pPr>
      <w:r>
        <w:t>26.</w:t>
      </w:r>
      <w:r>
        <w:tab/>
      </w:r>
      <w:r>
        <w:t>muistuttaa, että se hylkäsi SIOFAa koskevan delegoidun säädöksen, ja vahvistaa olevansa sitoutunut tarkastelemaan kaikkia toimintasuunnitelmaan liittyviä tulevia delegoituja säädöksiä tai täytäntöönpanosäädöksiä;</w:t>
      </w:r>
    </w:p>
    <w:p>
      <w:pPr>
        <w:pStyle w:val="NormalCenter12a"/>
      </w:pPr>
      <w:r>
        <w:t>°</w:t>
      </w:r>
    </w:p>
    <w:p>
      <w:pPr>
        <w:pStyle w:val="NormalCenter12a"/>
      </w:pPr>
      <w:r>
        <w:t>°</w:t>
      </w:r>
      <w:r>
        <w:tab/>
      </w:r>
      <w:r>
        <w:t>°</w:t>
      </w:r>
    </w:p>
    <w:p>
      <w:pPr>
        <w:pStyle w:val="NormalHanging12a"/>
      </w:pPr>
      <w:r>
        <w:t>27.</w:t>
      </w:r>
      <w:r>
        <w:tab/>
      </w:r>
      <w:r>
        <w:t>kehottaa puhemiestä välittämään tämän päätöslauselman neuvostolle ja komissiolle.</w:t>
      </w:r>
    </w:p>
    <w:p>
      <w:pPr>
        <w:pStyle w:val="NormalHanging12a"/>
        <w:sectPr>
          <w:footnotePr>
            <w:numRestart w:val="eachSect"/>
          </w:footnotePr>
          <w:type w:val="continuous"/>
          <w:pgSz w:w="11906" w:h="16838"/>
          <w:pgMar w:top="1134" w:right="1417" w:bottom="1417" w:left="1417" w:header="1134" w:footer="567" w:gutter="0"/>
          <w:cols w:num="1" w:space="720"/>
          <w:titlePg/>
          <w:docGrid w:linePitch="360"/>
        </w:sectPr>
      </w:pPr>
      <w:r>
        <w:br w:type="page"/>
      </w:r>
    </w:p>
    <w:p>
      <w:pPr>
        <w:pStyle w:val="PageHeading"/>
      </w:pPr>
      <w:bookmarkStart w:id="1" w:name="_Toc256000003"/>
      <w:r>
        <w:t>PERUSTELUT</w:t>
      </w:r>
      <w:bookmarkEnd w:id="1"/>
    </w:p>
    <w:p>
      <w:pPr>
        <w:pStyle w:val="Normal12a"/>
      </w:pPr>
      <w:r>
        <w:t>Tosiasiassa 70 prosenttia Euroopassa kulutetusta kalasta ja äyriäisistä on tuontitavaraa. Eurooppalaiset kalastajat noudattavat maailman tiukimpiin kuuluvia sääntöjä, jotka ohjaavat heidän toimintaansa kaikissa kalastusluokissa ja -toiminnoissa, ja niiden ansiosta heillä on esimerkillinen rooli ennen kaikkea parhaiden kalastuskäytäntöjen takaajana.</w:t>
      </w:r>
    </w:p>
    <w:p>
      <w:pPr>
        <w:pStyle w:val="Normal12a"/>
      </w:pPr>
      <w:r>
        <w:t>EU:n lainsäätäjien ja siten myös Euroopan parlamentin on taattava tasapaino tiettyjen käytäntöjen välttämättömässä muutoksessa, johon pakottaa ennen kaikkea ilmastonmuutos mutta myös monet enemmän tai vähemmän ennakoitavat tekijät, kuten haitalliset lajit ja kantojen väheneminen, mutta myös paremmat valtameriä koskevat tiedot.</w:t>
      </w:r>
    </w:p>
    <w:p>
      <w:pPr>
        <w:pStyle w:val="Normal12a"/>
      </w:pPr>
      <w:r>
        <w:t>Toiminta ei merkitse kieltämistä. Toiminta ei tarkoita vallankumousta. Toiminta ei saa tarkoittaa ajatusten ja poliittisten ohjelmien tuputtamista eurooppalaisille toimijoille käymättä vuoropuhelua heidän kanssaan tai mikä pahinta heitä vahingoittaen.</w:t>
      </w:r>
    </w:p>
    <w:p>
      <w:pPr>
        <w:pStyle w:val="Normal12a"/>
      </w:pPr>
      <w:r>
        <w:t>On epäjohdonmukaista ja huolestuttavaa havaita komission lamaantuminen kalastajien kanssa käytävässä vuoropuhelussa samalla kun se ajaa toimimista! Toimintaan ei voida ryhtyä ilman ihmisen ja valtamerten välisen suhteen vartijoita eli paikallisia kalastajia ja pienimuotoista kalastusta.</w:t>
      </w:r>
    </w:p>
    <w:p>
      <w:pPr>
        <w:pStyle w:val="Normal12a"/>
      </w:pPr>
      <w:r>
        <w:t>Valtameriin kohdistuu monia merkittäviä uhkia. Saastuminen, valtamerten lämpeneminen, muoviroska ja ilmastonmuutos sekä niiden vaikutukset ovat kaikki yhtä näkyviä: lisääntyvä rehevöityminen, happamoituminen, valtamerten lämpeneminen, muovin aiheuttama saastuminen tai joissakin tapauksissa petolintujen hallitsematon runsastuminen. Mutta silloin kun EU:n toimielimet ovat toimineet tiiviissä yhteistyössä kalastusalan ja kalastajien kanssa, on saavutettu runsaasti edistystä ja saatu myönteisiä uutisia. Esimerkiksi EU:n merien kalakantojen tila on parantunut merkittävästi, ja kalastusalalla on toteutettu monia toimia, joiden kestävyys on sertifioitu. Viimeisten 20 vuoden aikana kalojen biomassa on kasvanut merkittävästi Koillis-Atlantilla, ja STECF:n tuoreimman raportin (STECF 22–01) mukaan se oli noin 35 prosenttia suurempi kuin vuonna 2003. Samaan aikaan kalastuskuolevuus on vähentynyt merkittävästi, ja myös liikakalastettujen kantojen määrä vähenee.</w:t>
      </w:r>
    </w:p>
    <w:p>
      <w:pPr>
        <w:pStyle w:val="Normal12a"/>
      </w:pPr>
      <w:r>
        <w:t>Komission toimintasuunnitelmaa koskeva kaoottinen viestintä ja sekava sisäinen tilanne ovat valitettavasti suuresti vaikuttaneet siihen, että toimintasuunnitelmasta tehtiin eräänlainen viimeinen mahdollisuus, jolla pyyhittäisiin pois nykyiset hyvät käytännöt, sosioekonomiset kysymykset ja kalastusalan näkemykset ja jolla olisi haitallisia seurauksia jäsenvaltioille unionin tuomioistuimessa. Komission seuraavalla toimikaudella olisi vältettävä tällaisia sudenkuoppia, eikä sen pitäisi politikoida niin tärkeässä asiassa kuin valtameret. Toimintasuunnitelmien on perustuttava onnistumisiin ja epäonnistumisiin, Euroopan kalastusalan tekemiin uhrauksiin ja sen toteuttamiin toimiin. Toimintasuunnitelmien tavoitteena ei saa olla eurooppalaisen kalastuksen korvaaminen tuonnilla, varsinkaan Ukrainan sodan alkamisen jälkeen, joka on avannut eurooppalaisten ja koko maailman silmät tarpeelle varmistaa kalastuksen strateginen riippumattomuus ja elintarviketurva samalla tavalla kuin maataloudessa.</w:t>
      </w:r>
    </w:p>
    <w:p>
      <w:pPr>
        <w:pStyle w:val="Normal12a"/>
      </w:pPr>
      <w:r>
        <w:t>Lopuksi, ja tämä on toinen tärkeä näkökohta, meidän on tiedettävä, mistä puhumme. On tukeuduttava myös tieteelliseen tutkimukseen, joka yhdessä kalastustoiminnan kanssa auttaa jo nyt tekemään eurooppalaisesta kalastuspolitiikasta esimerkillistä politiikkaa, joka perustuu tieteeseen ja todellisuuteen. Toisinaan keskustelut ja kannat eivät ole järkeviä, ja jotkut ihmiset haluavat pikemminkin kieltää kuin ymmärtää sen, että on täysin mahdollista rajoittaa ihmisen toimintaa tai organisoida sitä ja samalla yhdistää se valtamerten suojeluun. Tiettyjen Euroopan tasolla hyvin säänneltyjen toimintojen kieltäminen mahdollistaa usein sen, että annetaan lupa huonoihin käytäntöihin ulkomailla.</w:t>
      </w:r>
    </w:p>
    <w:p>
      <w:pPr>
        <w:pStyle w:val="Normal12a"/>
      </w:pPr>
      <w:r>
        <w:t>Esimerkiksi nelivuotisen tutkimushankkeen aikana tarkasteltiin perusteellisesti hietakatkarapujen kalastuksen vaikutusta Vattimeren kansallispuistojen vallitseviin luontotyyppeihin Saksan Pohjanmeren rannikolla. Tässä yhteydessä tutkittiin hietakatkarapujen kalastuksen lyhyen aikavälin vaikutuksia ja pitkän aikavälin muutoksia. Tulos osoitti, että hietakatkaravun kalastuksella on vain vähäinen vaikutus merenpohjaan. Jos vaikutuksia esiintyi lajitasolla, ne olivat vain lyhytikäisiä. Nämä tulokset eivät kuitenkaan ole uusia. Kun Saksan Pohjanmeren rannikolle perustettiin kaksi kansallispuistoa, hietakatkarapujen kalastuksen vaikutuksista tehtiin kattava tutkimus nimeltään Vattimeren ekosysteemitutkimus. Tuolloin tehdyn loppuraportin laatijat päättelivät, että hietakatkarapujen kalastuksen välittömät vaikutukset ovat vain lyhytaikaisia.</w:t>
      </w:r>
    </w:p>
    <w:p>
      <w:pPr>
        <w:pStyle w:val="Normal12a"/>
      </w:pPr>
      <w:r>
        <w:t>Yhteenvetona voidaan todeta, että suojelluilla merialueilla on erilaisia suojelutavoitteita. Ne on perustettu suojelemaan luonnonvaroja, kuten nisäkkäitä, lintuja tai kilpikonnia, eikä niitä useinkaan ole tarkoitettu erityisesti merenpohjan suojelemiseksi. Hoitotoimenpiteet mukautetaan paikallisiin olosuhteisiin.</w:t>
      </w:r>
    </w:p>
    <w:p>
      <w:pPr>
        <w:pStyle w:val="Normal12a"/>
      </w:pPr>
      <w:r>
        <w:t>Sen vuoksi toimintasuunnitelmassa olisi noudatettava monialaista ja kokonaisvaltaista lähestymistapaa, eikä siinä pitäisi keskittyä ainoastaan kalastustoimintaan aivan kuin se olisi yksin vastuussa kaikista ongelmista.</w:t>
      </w:r>
    </w:p>
    <w:p>
      <w:pPr>
        <w:pStyle w:val="Normal12a"/>
      </w:pPr>
    </w:p>
    <w:sectPr>
      <w:footnotePr>
        <w:numRestart w:val="eachSect"/>
      </w:footnotePr>
      <w:type w:val="continuous"/>
      <w:pgSz w:w="11906" w:h="16838"/>
      <w:pgMar w:top="1134" w:right="1417" w:bottom="1417" w:left="1417" w:header="1134" w:footer="567" w:gutter="0"/>
      <w:cols w:num="1"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752.944</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10</w:t>
    </w:r>
    <w:r>
      <w:fldChar w:fldCharType="end"/>
    </w:r>
    <w:r>
      <w:t>/</w:t>
    </w:r>
    <w:r>
      <w:fldChar w:fldCharType="begin"/>
    </w:r>
    <w:r>
      <w:instrText>NUMPAGES</w:instrText>
    </w:r>
    <w:r>
      <w:fldChar w:fldCharType="separate"/>
    </w:r>
    <w:r>
      <w:t>10</w:t>
    </w:r>
    <w:r>
      <w:fldChar w:fldCharType="end"/>
    </w:r>
    <w:r>
      <w:tab/>
    </w:r>
    <w:r>
      <w:rPr>
        <w:rStyle w:val="HideTWBExt"/>
      </w:rPr>
      <w:t>&lt;</w:t>
    </w:r>
    <w:r>
      <w:rPr>
        <w:rStyle w:val="HideTWBExt"/>
      </w:rPr>
      <w:t>PathFdR</w:t>
    </w:r>
    <w:r>
      <w:rPr>
        <w:rStyle w:val="HideTWBExt"/>
      </w:rPr>
      <w:t>&gt;</w:t>
    </w:r>
    <w:r>
      <w:t>PR\1285511FI.docx</w:t>
    </w:r>
    <w:r>
      <w:rPr>
        <w:rStyle w:val="HideTWBExt"/>
      </w:rPr>
      <w:t>&lt;/</w:t>
    </w:r>
    <w:r>
      <w:rPr>
        <w:rStyle w:val="HideTWBExt"/>
      </w:rPr>
      <w:t>PathFdR</w:t>
    </w:r>
    <w:r>
      <w:rPr>
        <w:rStyle w:val="HideTWBExt"/>
      </w:rPr>
      <w:t>&gt;</w:t>
    </w:r>
  </w:p>
  <w:p>
    <w:pPr>
      <w:pStyle w:val="EPFooter2"/>
    </w:pPr>
    <w:r>
      <w:t>FI</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PR\1285511FI.docx</w:t>
    </w:r>
    <w:r>
      <w:rPr>
        <w:rStyle w:val="HideTWBExt"/>
      </w:rPr>
      <w:t>&lt;/</w:t>
    </w:r>
    <w:r>
      <w:rPr>
        <w:rStyle w:val="HideTWBExt"/>
      </w:rPr>
      <w:t>PathFdR</w:t>
    </w:r>
    <w:r>
      <w:rPr>
        <w:rStyle w:val="HideTWBExt"/>
      </w:rPr>
      <w:t>&gt;</w:t>
    </w:r>
    <w:r>
      <w:tab/>
    </w:r>
    <w:r>
      <w:fldChar w:fldCharType="begin"/>
    </w:r>
    <w:r>
      <w:instrText>PAGE</w:instrText>
    </w:r>
    <w:r>
      <w:fldChar w:fldCharType="separate"/>
    </w:r>
    <w:r>
      <w:t>9</w:t>
    </w:r>
    <w:r>
      <w:fldChar w:fldCharType="end"/>
    </w:r>
    <w:r>
      <w:t>/</w:t>
    </w:r>
    <w:r>
      <w:fldChar w:fldCharType="begin"/>
    </w:r>
    <w:r>
      <w:instrText>NUMPAGES</w:instrText>
    </w:r>
    <w:r>
      <w:fldChar w:fldCharType="separate"/>
    </w:r>
    <w:r>
      <w:t>10</w:t>
    </w:r>
    <w:r>
      <w:fldChar w:fldCharType="end"/>
    </w:r>
    <w:r>
      <w:tab/>
    </w:r>
    <w:r>
      <w:t>PE</w:t>
    </w:r>
    <w:r>
      <w:rPr>
        <w:rStyle w:val="HideTWBExt"/>
      </w:rPr>
      <w:t>&lt;</w:t>
    </w:r>
    <w:r>
      <w:rPr>
        <w:rStyle w:val="HideTWBExt"/>
      </w:rPr>
      <w:t>NoPE</w:t>
    </w:r>
    <w:r>
      <w:rPr>
        <w:rStyle w:val="HideTWBExt"/>
      </w:rPr>
      <w:t>&gt;</w:t>
    </w:r>
    <w:r>
      <w:t>752.944</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FI</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PR\1285511FI.docx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752.944</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FI</w:t>
    </w:r>
    <w:r>
      <w:tab/>
    </w:r>
    <w:r>
      <w:rPr>
        <w:rStyle w:val="EPFooter2Motto"/>
      </w:rPr>
      <w:t>Moninaisuudessaan yhtenäinen</w:t>
    </w:r>
    <w:r>
      <w:tab/>
    </w:r>
    <w:r>
      <w:t>FI</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0">
    <w:p>
      <w:pPr>
        <w:pStyle w:val="FootnoteText"/>
        <w:rPr>
          <w:color w:val="0000FF"/>
          <w:u w:val="single" w:color="0000FF"/>
        </w:rPr>
      </w:pPr>
      <w:r>
        <w:rPr>
          <w:rStyle w:val="FootnoteReference"/>
        </w:rPr>
        <w:footnoteRef/>
      </w:r>
      <w:r>
        <w:t xml:space="preserve"> </w:t>
      </w:r>
      <w:hyperlink r:id="rId1" w:history="1">
        <w:r>
          <w:rPr>
            <w:color w:val="0000FF"/>
            <w:u w:val="single" w:color="0000FF"/>
          </w:rPr>
          <w:t>EUVL C 506, 15.12.2021, s. 9.</w:t>
        </w:r>
      </w:hyperlink>
    </w:p>
  </w:footnote>
  <w:footnote w:id="1">
    <w:p>
      <w:pPr>
        <w:pStyle w:val="FootnoteText"/>
        <w:rPr>
          <w:color w:val="0000FF"/>
          <w:u w:val="single" w:color="0000FF"/>
        </w:rPr>
      </w:pPr>
      <w:r>
        <w:rPr>
          <w:rStyle w:val="FootnoteReference"/>
        </w:rPr>
        <w:footnoteRef/>
      </w:r>
      <w:r>
        <w:t xml:space="preserve"> </w:t>
      </w:r>
      <w:hyperlink r:id="rId2" w:history="1">
        <w:r>
          <w:rPr>
            <w:color w:val="0000FF"/>
            <w:u w:val="single" w:color="0000FF"/>
          </w:rPr>
          <w:t>EUVL L 354, 23.12.2016, s. 1.</w:t>
        </w:r>
      </w:hyperlink>
    </w:p>
  </w:footnote>
  <w:footnote w:id="2">
    <w:p>
      <w:pPr>
        <w:pStyle w:val="FootnoteText"/>
        <w:rPr>
          <w:color w:val="0000FF"/>
          <w:u w:val="single" w:color="0000FF"/>
        </w:rPr>
      </w:pPr>
      <w:r>
        <w:rPr>
          <w:rStyle w:val="FootnoteReference"/>
        </w:rPr>
        <w:footnoteRef/>
      </w:r>
      <w:r>
        <w:t xml:space="preserve"> </w:t>
      </w:r>
      <w:hyperlink r:id="rId3" w:history="1">
        <w:r>
          <w:rPr>
            <w:color w:val="0000FF"/>
            <w:u w:val="single" w:color="0000FF"/>
          </w:rPr>
          <w:t>EUVL L 242, 19.9.2022, s. 1.</w:t>
        </w:r>
      </w:hyperlink>
    </w:p>
  </w:footnote>
  <w:footnote w:id="3">
    <w:p>
      <w:pPr>
        <w:pStyle w:val="FootnoteText"/>
      </w:pPr>
      <w:r>
        <w:rPr>
          <w:rStyle w:val="FootnoteReference"/>
        </w:rPr>
        <w:footnoteRef/>
      </w:r>
      <w:r>
        <w:t xml:space="preserve"> </w:t>
      </w:r>
      <w:r>
        <w:t>Hyväksytyt tekstit, P9_TA(2023)0265.</w:t>
      </w:r>
    </w:p>
  </w:footnote>
  <w:footnote w:id="4">
    <w:p>
      <w:pPr>
        <w:pStyle w:val="FootnoteText"/>
      </w:pPr>
      <w:r>
        <w:rPr>
          <w:rStyle w:val="FootnoteReference"/>
        </w:rPr>
        <w:footnoteRef/>
      </w:r>
      <w:r>
        <w:t xml:space="preserve"> </w:t>
      </w:r>
      <w:r>
        <w:t>EUVL L 248, 22.9.2007, s. 17.</w:t>
      </w:r>
    </w:p>
  </w:footnote>
  <w:footnote w:id="5">
    <w:p>
      <w:pPr>
        <w:pStyle w:val="FootnoteText"/>
      </w:pPr>
      <w:r>
        <w:rPr>
          <w:rStyle w:val="FootnoteReference"/>
        </w:rPr>
        <w:footnoteRef/>
      </w:r>
      <w:r>
        <w:t xml:space="preserve"> </w:t>
      </w:r>
      <w:r>
        <w:t>https://www.europarl.europa.eu/doceo/document/PECH-PR-749918_FI.pdf.</w:t>
      </w:r>
    </w:p>
  </w:footnote>
  <w:footnote w:id="6">
    <w:p>
      <w:pPr>
        <w:pStyle w:val="FootnoteText"/>
        <w:rPr>
          <w:color w:val="0000FF"/>
          <w:u w:val="single" w:color="0000FF"/>
        </w:rPr>
      </w:pPr>
      <w:r>
        <w:rPr>
          <w:rStyle w:val="FootnoteReference"/>
        </w:rPr>
        <w:footnoteRef/>
      </w:r>
      <w:r>
        <w:t xml:space="preserve"> </w:t>
      </w:r>
      <w:hyperlink r:id="rId4" w:history="1">
        <w:r>
          <w:rPr>
            <w:color w:val="0000FF"/>
            <w:u w:val="single" w:color="0000FF"/>
          </w:rPr>
          <w:t>﻿Neuvoston asetus (EU) 2023/194, annettu 30. tammikuuta 2023, unionin vesillä ja unionin kalastusaluksiin tietyillä unionin ulkopuolisilla vesillä sovellettavien tiettyjen kalakantojen kalastusmahdollisuuksien vahvistamisesta vuodeksi 2023 sekä tällaisten kalastusmahdollisuuksien vahvistamisesta eräille syvänmeren kalakannoille vuosiksi 2023 ja 2024, EUVL L 28, 31.1.2023, s. 1.</w:t>
        </w:r>
      </w:hyperlink>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footnotePr>
    <w:numRestart w:val="eachSect"/>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numbering" Target="numbering.xml" /></Relationships>
</file>

<file path=word/_rels/footnotes.xml.rels>&#65279;<?xml version="1.0" encoding="utf-8" standalone="yes"?><Relationships xmlns="http://schemas.openxmlformats.org/package/2006/relationships"><Relationship Id="rId1" Type="http://schemas.openxmlformats.org/officeDocument/2006/relationships/hyperlink" Target="https://eur-lex.europa.eu/legal-content/EN/TXT/?uri=uriserv:OJ.C_.2021.506.01.0009.01.ENG" TargetMode="External" /><Relationship Id="rId2" Type="http://schemas.openxmlformats.org/officeDocument/2006/relationships/hyperlink" Target="https://eur-lex.europa.eu/legal-content/EN/TXT/?uri=uriserv:OJ.L_.2016.354.01.0001.01.ENG" TargetMode="External" /><Relationship Id="rId3" Type="http://schemas.openxmlformats.org/officeDocument/2006/relationships/hyperlink" Target="https://eur-lex.europa.eu/legal-content/EN/TXT/?uri=uriserv:OJ.L_.2022.242.01.0001.01.ENG" TargetMode="External" /><Relationship Id="rId4" Type="http://schemas.openxmlformats.org/officeDocument/2006/relationships/hyperlink" Target="http://data.europa.eu/eli/reg/2023/194/oj" TargetMode="External" /></Relationships>
</file>

<file path=docProps/app.xml><?xml version="1.0" encoding="utf-8"?>
<Properties xmlns="http://schemas.openxmlformats.org/officeDocument/2006/extended-properties" xmlns:vt="http://schemas.openxmlformats.org/officeDocument/2006/docPropsVTypes">
  <Template>Normal.dot</Template>
  <TotalTime>0</TotalTime>
  <Pages>10</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1285511</vt:lpwstr>
  </property>
  <property fmtid="{D5CDD505-2E9C-101B-9397-08002B2CF9AE}" pid="4" name="&lt;Model&gt;">
    <vt:lpwstr>PR_INI</vt:lpwstr>
  </property>
  <property fmtid="{D5CDD505-2E9C-101B-9397-08002B2CF9AE}" pid="5" name="&lt;Type&gt;">
    <vt:lpwstr>PR</vt:lpwstr>
  </property>
  <property fmtid="{D5CDD505-2E9C-101B-9397-08002B2CF9AE}" pid="6" name="DMXMLUID">
    <vt:lpwstr>20231010-113209-005566-202063</vt:lpwstr>
  </property>
  <property fmtid="{D5CDD505-2E9C-101B-9397-08002B2CF9AE}" pid="7" name="FooterPath">
    <vt:lpwstr>PR\1285511FI.doc</vt:lpwstr>
  </property>
  <property fmtid="{D5CDD505-2E9C-101B-9397-08002B2CF9AE}" pid="8" name="PE Number">
    <vt:lpwstr>752.944</vt:lpwstr>
  </property>
  <property fmtid="{D5CDD505-2E9C-101B-9397-08002B2CF9AE}" pid="9" name="UID">
    <vt:lpwstr>eu.europa.europarl-DIN1-2023-0000117530_01.04-fi-01.00_text-xml</vt:lpwstr>
  </property>
</Properties>
</file>