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tbl>
      <w:tblPr>
        <w:jc w:val="lef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488"/>
      </w:tblGrid>
      <w:tr>
        <w:tblPrEx>
          <w:jc w:val="left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0"/>
          <w:trHeight w:hRule="exact" w:val="1420"/>
          <w:jc w:val="left"/>
        </w:trPr>
        <w:tc>
          <w:tcPr>
            <w:tcW w:w="6804" w:type="dxa"/>
            <w:vAlign w:val="center"/>
          </w:tcPr>
          <w:p>
            <w:pPr>
              <w:pStyle w:val="EPName"/>
            </w:pPr>
            <w:r w:rsidR="00A77B3E">
              <w:t>Evropský parlament</w:t>
            </w:r>
          </w:p>
          <w:p>
            <w:pPr>
              <w:pStyle w:val="EPTerm"/>
            </w:pPr>
            <w:r>
              <w:t>2019-2024</w:t>
            </w:r>
          </w:p>
        </w:tc>
        <w:tc>
          <w:tcPr>
            <w:tcW w:w="2488" w:type="dxa"/>
            <w:vAlign w:val="top"/>
          </w:tcPr>
          <w:p>
            <w:pPr>
              <w:pStyle w:val="EPLogo"/>
            </w:pPr>
            <w:r>
              <w:drawing>
                <wp:inline>
                  <wp:extent cx="1162812" cy="647954"/>
                  <wp:docPr id="10000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0406514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PECH</w:t>
      </w:r>
      <w:r>
        <w:rPr>
          <w:rStyle w:val="HideTWBInt"/>
        </w:rPr>
        <w:t>}</w:t>
      </w:r>
      <w:r>
        <w:t>Výbor pro rybolov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LineBottom"/>
      </w:pPr>
    </w:p>
    <w:p>
      <w:pPr>
        <w:pStyle w:val="CoverReference"/>
      </w:pPr>
      <w:r>
        <w:rPr>
          <w:rStyle w:val="HideTWBExt"/>
        </w:rPr>
        <w:t>&lt;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t>2023/2027</w:t>
      </w:r>
      <w:r>
        <w:rPr>
          <w:rStyle w:val="HideTWBExt"/>
        </w:rPr>
        <w:t>&lt;/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RefTypeProc</w:t>
      </w:r>
      <w:r>
        <w:rPr>
          <w:rStyle w:val="HideTWBExt"/>
        </w:rPr>
        <w:t>&gt;</w:t>
      </w:r>
      <w:r>
        <w:t>(INI)</w:t>
      </w:r>
      <w:r>
        <w:rPr>
          <w:rStyle w:val="HideTWBExt"/>
        </w:rPr>
        <w:t>&lt;/</w:t>
      </w:r>
      <w:r>
        <w:rPr>
          <w:rStyle w:val="HideTWBExt"/>
        </w:rPr>
        <w:t>RefTypeProc</w:t>
      </w:r>
      <w:r>
        <w:rPr>
          <w:rStyle w:val="HideTWBExt"/>
        </w:rPr>
        <w:t>&gt;</w:t>
      </w:r>
    </w:p>
    <w:p>
      <w:pPr>
        <w:pStyle w:val="CoverDate"/>
      </w:pPr>
      <w:r>
        <w:rPr>
          <w:rStyle w:val="HideTWBExt"/>
        </w:rPr>
        <w:t>&lt;</w:t>
      </w:r>
      <w:r>
        <w:rPr>
          <w:rStyle w:val="HideTWBExt"/>
        </w:rPr>
        <w:t>Date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02/10/2023</w:t>
      </w:r>
      <w:r>
        <w:rPr>
          <w:rStyle w:val="HideTWBInt"/>
        </w:rPr>
        <w:t>}</w:t>
      </w:r>
      <w:r>
        <w:t>2. 10. 2023</w:t>
      </w:r>
      <w:r>
        <w:rPr>
          <w:rStyle w:val="HideTWBExt"/>
        </w:rPr>
        <w:t>&lt;/</w:t>
      </w:r>
      <w:r>
        <w:rPr>
          <w:rStyle w:val="HideTWBExt"/>
        </w:rPr>
        <w:t>Date</w:t>
      </w:r>
      <w:r>
        <w:rPr>
          <w:rStyle w:val="HideTWBExt"/>
        </w:rPr>
        <w:t>&gt;</w:t>
      </w:r>
    </w:p>
    <w:p>
      <w:pPr>
        <w:pStyle w:val="CoverDocType24a"/>
      </w:pPr>
      <w:r>
        <w:rPr>
          <w:rStyle w:val="HideTWBExt"/>
        </w:rPr>
        <w:t>&lt;</w:t>
      </w:r>
      <w:r>
        <w:rPr>
          <w:rStyle w:val="HideTWBExt"/>
        </w:rPr>
        <w:t>TitreType</w:t>
      </w:r>
      <w:r>
        <w:rPr>
          <w:rStyle w:val="HideTWBExt"/>
        </w:rPr>
        <w:t>&gt;</w:t>
      </w:r>
      <w:r>
        <w:t>NÁVRH ZPRÁVY</w:t>
      </w:r>
      <w:r>
        <w:rPr>
          <w:rStyle w:val="HideTWBExt"/>
        </w:rPr>
        <w:t>&lt;/</w:t>
      </w:r>
      <w:r>
        <w:rPr>
          <w:rStyle w:val="HideTWBExt"/>
        </w:rPr>
        <w:t>TitreType</w:t>
      </w:r>
      <w:r>
        <w:rPr>
          <w:rStyle w:val="HideTWBExt"/>
        </w:rPr>
        <w:t>&gt;</w:t>
      </w:r>
    </w:p>
    <w:p>
      <w:pPr>
        <w:pStyle w:val="CoverNormal"/>
      </w:pPr>
      <w:r>
        <w:rPr>
          <w:rStyle w:val="HideTWBExt"/>
        </w:rPr>
        <w:t>&lt;</w:t>
      </w:r>
      <w:r>
        <w:rPr>
          <w:rStyle w:val="HideTWBExt"/>
        </w:rPr>
        <w:t>Titre</w:t>
      </w:r>
      <w:r>
        <w:rPr>
          <w:rStyle w:val="HideTWBExt"/>
        </w:rPr>
        <w:t>&gt;</w:t>
      </w:r>
      <w:r>
        <w:t>o dopadu nelegálního rybolovu na potravinové zabezpečení: úloha Evropské unie</w:t>
      </w:r>
      <w:r>
        <w:rPr>
          <w:rStyle w:val="HideTWBExt"/>
        </w:rPr>
        <w:t>&lt;/</w:t>
      </w:r>
      <w:r>
        <w:rPr>
          <w:rStyle w:val="HideTWBExt"/>
        </w:rPr>
        <w:t>Titre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DocRef</w:t>
      </w:r>
      <w:r>
        <w:rPr>
          <w:rStyle w:val="HideTWBExt"/>
        </w:rPr>
        <w:t>&gt;</w:t>
      </w:r>
      <w:r>
        <w:t>(2023/2027(INI))</w:t>
      </w:r>
      <w:r>
        <w:rPr>
          <w:rStyle w:val="HideTWBExt"/>
        </w:rPr>
        <w:t>&lt;/</w:t>
      </w:r>
      <w:r>
        <w:rPr>
          <w:rStyle w:val="HideTWBExt"/>
        </w:rPr>
        <w:t>DocRef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PECH</w:t>
      </w:r>
      <w:r>
        <w:rPr>
          <w:rStyle w:val="HideTWBInt"/>
        </w:rPr>
        <w:t>}</w:t>
      </w:r>
      <w:r>
        <w:t>Výbor pro rybolov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CoverNormal24a"/>
      </w:pPr>
      <w:r>
        <w:t>Zpravodaj</w:t>
      </w:r>
      <w:r>
        <w:t xml:space="preserve">: </w:t>
      </w:r>
      <w:r>
        <w:rPr>
          <w:rStyle w:val="HideTWBExt"/>
        </w:rPr>
        <w:t>&lt;</w:t>
      </w:r>
      <w:r>
        <w:rPr>
          <w:rStyle w:val="HideTWBExt"/>
        </w:rPr>
        <w:t>Depute</w:t>
      </w:r>
      <w:r>
        <w:rPr>
          <w:rStyle w:val="HideTWBExt"/>
        </w:rPr>
        <w:t>&gt;</w:t>
      </w:r>
      <w:r>
        <w:t>Nuno Melo</w:t>
      </w:r>
      <w:r>
        <w:rPr>
          <w:rStyle w:val="HideTWBExt"/>
        </w:rPr>
        <w:t>&lt;/</w:t>
      </w:r>
      <w:r>
        <w:rPr>
          <w:rStyle w:val="HideTWBExt"/>
        </w:rPr>
        <w:t>Depute</w:t>
      </w:r>
      <w:r>
        <w:rPr>
          <w:rStyle w:val="HideTWBExt"/>
        </w:rPr>
        <w:t>&gt;</w:t>
      </w:r>
    </w:p>
    <w:p>
      <w:r>
        <w:br w:type="page"/>
      </w:r>
      <w:r>
        <w:t>PR_INI</w:t>
      </w:r>
    </w:p>
    <w:p>
      <w:pPr>
        <w:pStyle w:val="TOCHeading"/>
      </w:pPr>
      <w:r>
        <w:t>OBSAH</w:t>
      </w:r>
    </w:p>
    <w:p>
      <w:pPr>
        <w:pStyle w:val="TOCPage"/>
      </w:pPr>
      <w:r>
        <w:t>Strana</w:t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>TOC \t "PageHeading"</w:instrText>
      </w:r>
      <w:r>
        <w:fldChar w:fldCharType="separate"/>
      </w:r>
      <w:r>
        <w:t>NÁVRH USNESENÍ EVROPSKÉHO PARLAMENTU</w:t>
      </w:r>
      <w:r>
        <w:tab/>
      </w:r>
      <w:r>
        <w:fldChar w:fldCharType="begin"/>
      </w:r>
      <w:r>
        <w:instrText xml:space="preserve"> PAGEREF _Toc256000002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VYSVĚTLUJÍCÍ PROHLÁŠENÍ</w:t>
      </w:r>
      <w:r>
        <w:tab/>
      </w:r>
      <w:r>
        <w:fldChar w:fldCharType="begin"/>
      </w:r>
      <w:r>
        <w:instrText xml:space="preserve"> PAGEREF _Toc256000003 \h </w:instrText>
      </w:r>
      <w:r>
        <w:fldChar w:fldCharType="separate"/>
      </w:r>
      <w:r>
        <w:t>7</w:t>
      </w:r>
      <w:r>
        <w:fldChar w:fldCharType="end"/>
      </w:r>
    </w:p>
    <w:p>
      <w:pPr>
        <w:pStyle w:val="Normal12b"/>
      </w:pPr>
      <w:r>
        <w:fldChar w:fldCharType="end"/>
      </w:r>
    </w:p>
    <w:p>
      <w:pPr>
        <w:pStyle w:val="CoverNormalLeft"/>
      </w:pPr>
    </w:p>
    <w:p>
      <w:pPr>
        <w:pStyle w:val="CoverNormalLeft"/>
        <w:sectPr>
          <w:footerReference w:type="even" r:id="rId6"/>
          <w:footerReference w:type="default" r:id="rId7"/>
          <w:footerReference w:type="first" r:id="rId8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num="1" w:space="720"/>
          <w:titlePg/>
          <w:docGrid w:linePitch="360"/>
        </w:sectPr>
      </w:pPr>
      <w:r>
        <w:br w:type="page"/>
      </w:r>
    </w:p>
    <w:p>
      <w:pPr>
        <w:pStyle w:val="PageHeading"/>
      </w:pPr>
      <w:bookmarkStart w:id="0" w:name="_Toc256000002"/>
      <w:r>
        <w:t>NÁVRH USNESENÍ EVROPSKÉHO PARLAMENTU</w:t>
      </w:r>
      <w:bookmarkEnd w:id="0"/>
    </w:p>
    <w:p>
      <w:pPr>
        <w:pStyle w:val="NormalBold"/>
      </w:pPr>
      <w:r>
        <w:t>o dopadu nelegálního rybolovu na potravinové zabezpečení: úloha Evropské unie</w:t>
      </w:r>
    </w:p>
    <w:p>
      <w:pPr>
        <w:pStyle w:val="NormalBold"/>
      </w:pPr>
      <w:r>
        <w:t>(2023/2027(INI))</w:t>
      </w:r>
    </w:p>
    <w:p>
      <w:pPr>
        <w:pStyle w:val="EPComma"/>
      </w:pPr>
      <w:r>
        <w:rPr>
          <w:rStyle w:val="Italic"/>
        </w:rPr>
        <w:t>Evropský parlament</w:t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studii Komise z roku 2022 nazvanou „Studie o legislativních rámcích a systémech prosazování práva členských států, pokud jde o povinnosti a sankce pro státní příslušníky za porušení pravidel vyplývajících z nařízení o nezákonném, nehlášeném a neregulovaném rybolovu“,</w:t>
      </w:r>
    </w:p>
    <w:p>
      <w:pPr>
        <w:pStyle w:val="NormalHanging12a"/>
      </w:pPr>
      <w:r>
        <w:t>–</w:t>
      </w:r>
      <w:r>
        <w:tab/>
      </w:r>
      <w:r>
        <w:t xml:space="preserve">s ohledem na zvláštní zprávu 20/2022 ze dne 26. září 2022 </w:t>
      </w:r>
      <w:r>
        <w:t>Evropského účetního dvora</w:t>
      </w:r>
      <w:r>
        <w:t xml:space="preserve"> nazvanou „Opatření EU v oblasti boje proti nezákonnému rybolovu Kontrolní systémy jsou zavedené, ale jsou oslabené nerovnoměrnými kontrolami a sankcemi ze strany členských států“, která se zabývá bojem proti nezákonnému, nehlášenému a neregulovanému rybolovu,</w:t>
      </w:r>
    </w:p>
    <w:p>
      <w:pPr>
        <w:pStyle w:val="NormalHanging12a"/>
      </w:pPr>
      <w:r>
        <w:t>–</w:t>
      </w:r>
      <w:r>
        <w:tab/>
      </w:r>
      <w:r>
        <w:t>s ohledem na Úmluvu OSN o námořním právu,</w:t>
      </w:r>
    </w:p>
    <w:p>
      <w:pPr>
        <w:pStyle w:val="NormalHanging12a"/>
      </w:pPr>
      <w:r>
        <w:t>–</w:t>
      </w:r>
      <w:r>
        <w:tab/>
      </w:r>
      <w:r>
        <w:t>s ohledem na Dohodu k podpoře dodržování mezinárodních opatření na zachování a řízení rybářskými plavidly na volném moři Organizace OSN pro výživu a zemědělství (FAO) z roku 1995,</w:t>
      </w:r>
    </w:p>
    <w:p>
      <w:pPr>
        <w:pStyle w:val="NormalHanging12a"/>
      </w:pPr>
      <w:r>
        <w:t>–</w:t>
      </w:r>
      <w:r>
        <w:tab/>
      </w:r>
      <w:r>
        <w:t>s ohledem na Dohodu o provedení ustanovení Úmluvy Organizace spojených národů o mořském právu ze dne 10. prosince 1982 o zachování a řízení tažných populací ryb a vysoce stěhovavých rybích populací,</w:t>
      </w:r>
    </w:p>
    <w:p>
      <w:pPr>
        <w:pStyle w:val="NormalHanging12a"/>
      </w:pPr>
      <w:r>
        <w:t>–</w:t>
      </w:r>
      <w:r>
        <w:tab/>
      </w:r>
      <w:r>
        <w:t>s ohledem na Kodex chování pro zodpovědný rybolov organizace FAO z roku 1995,</w:t>
      </w:r>
    </w:p>
    <w:p>
      <w:pPr>
        <w:pStyle w:val="NormalHanging12a"/>
      </w:pPr>
      <w:r>
        <w:t>–</w:t>
      </w:r>
      <w:r>
        <w:tab/>
      </w:r>
      <w:r>
        <w:t>s ohledem na Mezinárodní akční plán pro předcházení, potírání a odstranění nezákonného, nehlášeného a neregulovaného rybolovu organizace FAO z roku 2001,</w:t>
      </w:r>
    </w:p>
    <w:p>
      <w:pPr>
        <w:pStyle w:val="NormalHanging12a"/>
      </w:pPr>
      <w:r>
        <w:t>–</w:t>
      </w:r>
      <w:r>
        <w:tab/>
      </w:r>
      <w:r>
        <w:t>s ohledem na dohodu s FAO o opatřeních přístavních států k předcházení, potírání a odstranění nezákonného, nehlášeného a neregulovaného rybolovu z roku 2009,</w:t>
      </w:r>
    </w:p>
    <w:p>
      <w:pPr>
        <w:pStyle w:val="NormalHanging12a"/>
      </w:pPr>
      <w:r>
        <w:t>–</w:t>
      </w:r>
      <w:r>
        <w:tab/>
      </w:r>
      <w:r>
        <w:t>s ohledem na dobrovolné pokyny FAO týkající se výkonu povinností státu vlajky z roku 2014,</w:t>
      </w:r>
    </w:p>
    <w:p>
      <w:pPr>
        <w:pStyle w:val="NormalHanging12a"/>
      </w:pPr>
      <w:r>
        <w:t>–</w:t>
      </w:r>
      <w:r>
        <w:tab/>
      </w:r>
      <w:r>
        <w:t>s ohledem na zprávu koalice EU pro nezákonný, nehlášený a neregulovaný rybolov z prosince 2021 nazvanou „Sledovatelnost mořských produktů: harmonizace systému dokumentace úlovků regionálních organizací pro řízení rybolovu s cílem bojovat proti nezákonnému, nehlášenému a neregulovanému rybolovu“,</w:t>
      </w:r>
    </w:p>
    <w:p>
      <w:pPr>
        <w:pStyle w:val="NormalHanging12a"/>
      </w:pPr>
      <w:r>
        <w:t>–</w:t>
      </w:r>
      <w:r>
        <w:tab/>
      </w:r>
      <w:r>
        <w:t>s ohledem na společné doporučení poradního sboru pro trhy a poradního sboru pro dálkový rybolov ze dne 21. dubna 2023 o potřebě harmonizovaných dovozních kontrol mezi členskými státy, aby se zabránilo vstupu produktů nezákonného, nehlášeného a neregulovaného rybolovu na trh Evropské unie,</w:t>
      </w:r>
    </w:p>
    <w:p>
      <w:pPr>
        <w:pStyle w:val="NormalHanging12a"/>
      </w:pPr>
      <w:r>
        <w:t>–</w:t>
      </w:r>
      <w:r>
        <w:tab/>
      </w:r>
      <w:r>
        <w:t>s ohledem na pokyny FAO z roku 2023 nazvané „Zlepšování sledovatelnosti end-to-end – Kritické sledovací události a klíčové datové prvky v hodnotových řetězcích rybolovu a akvakultury“,</w:t>
      </w:r>
    </w:p>
    <w:p>
      <w:pPr>
        <w:pStyle w:val="NormalHanging12a"/>
      </w:pPr>
      <w:r>
        <w:t>–</w:t>
      </w:r>
      <w:r>
        <w:tab/>
      </w:r>
      <w:r>
        <w:t>s ohledem na technické pokyny organizace FAO z roku 2023 nazvané „Provádění mezinárodního akčního plánu pro předcházení, potírání a odstranění nezákonného, nehlášeného a neregulovaného rybolovu – 1. Metodiky a ukazatele pro odhad rozsahu a dopadu nezákonného, nehlášeného a neregulovaného rybolovu: 1.1 Zásady a přístupy“,</w:t>
      </w:r>
    </w:p>
    <w:p>
      <w:pPr>
        <w:pStyle w:val="NormalHanging12a"/>
      </w:pPr>
      <w:r>
        <w:t>–</w:t>
      </w:r>
      <w:r>
        <w:tab/>
      </w:r>
      <w:r>
        <w:t>s ohledem na článek 54 jednacího řádu,</w:t>
      </w:r>
    </w:p>
    <w:p>
      <w:pPr>
        <w:pStyle w:val="NormalHanging12a"/>
      </w:pPr>
      <w:r>
        <w:t>–</w:t>
      </w:r>
      <w:r>
        <w:tab/>
      </w:r>
      <w:r>
        <w:t>s ohledem na zprávu Výboru pro rybolov (A9-0000/2023),</w:t>
      </w:r>
    </w:p>
    <w:p>
      <w:pPr>
        <w:pStyle w:val="NormalHanging12a"/>
      </w:pPr>
      <w:r>
        <w:t>A.</w:t>
      </w:r>
      <w:r>
        <w:tab/>
      </w:r>
      <w:r>
        <w:t>vzhledem k tomu, že EU je významným světovým aktérem v oblasti rybolovu, a to jak kvůli svému rybářskému loďstvu (přibližně 73 000 plavidel), tak kvůli svému postavení největšího světového dovozce produktů rybolovu (téměř 70 % produktů z mořských plodů spotřebovaných v EU je dováženo, což představuje 34 % celkového světového obchodu), a proto hraje ústřední úlohu v boji proti nezákonnému, nehlášenému a neregulovanému rybolovu na celém světě;</w:t>
      </w:r>
    </w:p>
    <w:p>
      <w:pPr>
        <w:pStyle w:val="NormalHanging12a"/>
      </w:pPr>
      <w:r>
        <w:t>B.</w:t>
      </w:r>
      <w:r>
        <w:tab/>
      </w:r>
      <w:r>
        <w:t>vzhledem k tomu, že v odvětví rybolovu v EU je přímo zaměstnáno 124 000 rybářů a každoročně generuje příjmy ve výši 6,3 miliardy EUR;</w:t>
      </w:r>
    </w:p>
    <w:p>
      <w:pPr>
        <w:pStyle w:val="NormalHanging12a"/>
      </w:pPr>
      <w:r>
        <w:t>C.</w:t>
      </w:r>
      <w:r>
        <w:tab/>
      </w:r>
      <w:r>
        <w:t>vzhledem k tomu, že EU se zavázala k dosažení cíle udržitelného rozvoje č. 14.4, kterým je ukončení nezákonného, nehlášeného a neregulovaného rybolovu do roku 2020;</w:t>
      </w:r>
    </w:p>
    <w:p>
      <w:pPr>
        <w:pStyle w:val="NormalHanging12a"/>
      </w:pPr>
      <w:r>
        <w:t>D.</w:t>
      </w:r>
      <w:r>
        <w:tab/>
      </w:r>
      <w:r>
        <w:t>vzhledem k tomu, že článek 12 nařízení o rybolovu NNN</w:t>
      </w:r>
      <w:r>
        <w:rPr>
          <w:rStyle w:val="FootnoteReference"/>
        </w:rPr>
        <w:footnoteReference w:id="0"/>
      </w:r>
      <w:r>
        <w:t xml:space="preserve"> zakazuje dovoz produktů rybolovu získaných z nezákonného, nehlášeného a neregulovaného rybolovu;</w:t>
      </w:r>
    </w:p>
    <w:p>
      <w:pPr>
        <w:pStyle w:val="NormalHanging12a"/>
      </w:pPr>
      <w:r>
        <w:t>E.</w:t>
      </w:r>
      <w:r>
        <w:tab/>
      </w:r>
      <w:r>
        <w:t>vzhledem k tomu, že čtyři třetí země mají v současné době červenou kartu a osm třetích zemí má žlutou kartu; vzhledem k tomu, že jeden významný producent mořských produktů, Čínská lidová republika, nebyl nikdy předmětem postupu podle nařízení o nezákonném, nehlášeném a neregulovaném rybolovu, a to navzdory rozsáhlým důkazům o jeho významném a rostoucím zapojení do nezákonného, nehlášeného a neregulovaného rybolovu;</w:t>
      </w:r>
    </w:p>
    <w:p>
      <w:pPr>
        <w:pStyle w:val="NormalHanging12a"/>
      </w:pPr>
      <w:r>
        <w:t>F.</w:t>
      </w:r>
      <w:r>
        <w:tab/>
      </w:r>
      <w:r>
        <w:t>vzhledem k tomu, že EU má v oblasti rybolovu pevný předpisový rámec, jehož součástí jsou i opatření ke zlepšení kapacit v oblasti sledování, inspekce, kontroly a dohledu využívaných v boji proti nezákonnému, nehlášenému a neregulovanému rybolovu;</w:t>
      </w:r>
    </w:p>
    <w:p>
      <w:pPr>
        <w:pStyle w:val="NormalHanging12a"/>
      </w:pPr>
      <w:r>
        <w:t>G.</w:t>
      </w:r>
      <w:r>
        <w:tab/>
      </w:r>
      <w:r>
        <w:t>vzhledem k tomu, že Evropský námořní a rybářský fond poskytl podporu na činnosti v oblasti sledování, kontroly a prosazování práva s celkovým rozpočtem ve výši 580 milionů EUR;</w:t>
      </w:r>
    </w:p>
    <w:p>
      <w:pPr>
        <w:pStyle w:val="NormalHanging12a"/>
      </w:pPr>
      <w:r>
        <w:t>H.</w:t>
      </w:r>
      <w:r>
        <w:tab/>
      </w:r>
      <w:r>
        <w:t xml:space="preserve">vzhledem k tomu, že </w:t>
      </w:r>
      <w:r>
        <w:t>Evropský účetní dvůr</w:t>
      </w:r>
      <w:r>
        <w:t xml:space="preserve"> ve své zvláštní zpráva 20/2022 ze dne 26. září 2022 dochází k závěru, že kontrolní systémy jsou oslabené nerovnoměrnými kontrolami a sankcemi ze strany členských států;</w:t>
      </w:r>
    </w:p>
    <w:p>
      <w:pPr>
        <w:pStyle w:val="NormalHanging12a"/>
      </w:pPr>
      <w:r>
        <w:t>I.</w:t>
      </w:r>
      <w:r>
        <w:tab/>
      </w:r>
      <w:r>
        <w:t>vzhledem k tomu, že digitalizace osvědčení o úlovku NNN prostřednictvím informačního systému CATCH omezí možnosti podvodného dovozu;</w:t>
      </w:r>
    </w:p>
    <w:p>
      <w:pPr>
        <w:pStyle w:val="NormalHanging12a"/>
      </w:pPr>
      <w:r>
        <w:t>J.</w:t>
      </w:r>
      <w:r>
        <w:tab/>
      </w:r>
      <w:r>
        <w:t>vzhledem k tomu, že produkty pocházející z nezákonného rybolovu představují riziko pro potravinové zabezpečení občanů Evropské unie;</w:t>
      </w:r>
    </w:p>
    <w:p>
      <w:pPr>
        <w:pStyle w:val="NormalHanging12a"/>
      </w:pPr>
      <w:r>
        <w:t>1.</w:t>
      </w:r>
      <w:r>
        <w:tab/>
      </w:r>
      <w:r>
        <w:t>znovu potvrzuje, že je třeba, aby EU a její členské státy k nezákonnému, nehlášenému a neregulovanému rybolovu i nadále uplatňovaly přístup nulové tolerance, a to vůči všem zemím stejně bez ohledu na jejich velikost, a aby podporovaly udržitelný rybolov s cílem bojovat proti nadměrnému rybolovu a zajistit potravinové zabezpečení;</w:t>
      </w:r>
    </w:p>
    <w:p>
      <w:pPr>
        <w:pStyle w:val="NormalHanging12a"/>
      </w:pPr>
      <w:r>
        <w:t>2.</w:t>
      </w:r>
      <w:r>
        <w:tab/>
      </w:r>
      <w:r>
        <w:t>požaduje, aby uplatňování pokynů EU umožňovalo určit, jak nejlépe zlepšit provádění nařízení EU o nezákonném, nehlášeném a neregulovaném rybolovu v členských státech, které jeho požadavky nedodržují, a jak nejlépe ověřovat informace uvedené ve dvouletých zprávách;</w:t>
      </w:r>
    </w:p>
    <w:p>
      <w:pPr>
        <w:pStyle w:val="NormalHanging12a"/>
      </w:pPr>
      <w:r>
        <w:t>3.</w:t>
      </w:r>
      <w:r>
        <w:tab/>
      </w:r>
      <w:r>
        <w:t>vybízí členské státy, aby vyčlenily dostatečné kapacity a zdroje k zajištění účinného provádění dovozních kontrol;</w:t>
      </w:r>
    </w:p>
    <w:p>
      <w:pPr>
        <w:pStyle w:val="NormalHanging12a"/>
      </w:pPr>
      <w:r>
        <w:t>4.</w:t>
      </w:r>
      <w:r>
        <w:tab/>
      </w:r>
      <w:r>
        <w:t>zdůrazňuje, že Komise musí poskytnout odpovídající podporu vnitrostátním orgánům odpovědným za kontrolu dovozu mořských plodů, a konstatuje, že tato podpora může, je-li k dispozici, zahrnovat vypracování seznamu opatření pro zachování a řízení rybolovných zdrojů, která se uplatňují v zemích mimo EU, a sdílení podrobných informací ve vztahu k zemím mimo EU o nedostatcích zjištěných v souvislosti s prováděním nařízení EU o nezákonném, nehlášeném a neregulovaném rybolovu;</w:t>
      </w:r>
    </w:p>
    <w:p>
      <w:pPr>
        <w:pStyle w:val="NormalHanging12a"/>
      </w:pPr>
      <w:r>
        <w:t>5.</w:t>
      </w:r>
      <w:r>
        <w:tab/>
      </w:r>
      <w:r>
        <w:t>zdůrazňuje, že Komise musí spolu s Evropskou agenturou pro kontrolu rybolovu a v úzké spolupráci s členskými státy poskytnout vnitrostátním orgánům další podporu, pokud jde o to, jak nejlépe provádět nařízení o nezákonném, nehlášeném a neregulovaném rybolovu, přičemž tato podpora bude mít podobu pokynů, výměny osvědčených postupů, odborné přípravy atd.;</w:t>
      </w:r>
    </w:p>
    <w:p>
      <w:pPr>
        <w:pStyle w:val="NormalHanging12a"/>
      </w:pPr>
      <w:r>
        <w:t>6.</w:t>
      </w:r>
      <w:r>
        <w:tab/>
      </w:r>
      <w:r>
        <w:t>vybízí Komisi, aby i nadále usilovala o jednotné uplatňování a provádění postupů kontroly dovozu v celé EU, včetně kontrol osvědčení o úlovku, přístupu založeného na posouzení rizik a ověřování;</w:t>
      </w:r>
    </w:p>
    <w:p>
      <w:pPr>
        <w:pStyle w:val="NormalHanging12a"/>
      </w:pPr>
      <w:r>
        <w:t>7.</w:t>
      </w:r>
      <w:r>
        <w:tab/>
      </w:r>
      <w:r>
        <w:t>připomíná Komisi, že je třeba harmonizovat kontroly dovozu ve všech členských státech, aby se produkty nezákonného, nehlášeného a neregulovaného rybolovu nedostávaly na trh EU;</w:t>
      </w:r>
    </w:p>
    <w:p>
      <w:pPr>
        <w:pStyle w:val="NormalHanging12a"/>
      </w:pPr>
      <w:r>
        <w:t>8.</w:t>
      </w:r>
      <w:r>
        <w:tab/>
      </w:r>
      <w:r>
        <w:t>vybízí Komisi, aby urychleně pracovala na zajištění plné funkčnosti informačního systému CATCH a aby vnitrostátní orgány členských států byly do dvou let ode dne použitelnosti článku 4 revidovaného nařízení o kontrole rybolovu plně obeznámeny s používáním tohoto systému;</w:t>
      </w:r>
    </w:p>
    <w:p>
      <w:pPr>
        <w:pStyle w:val="NormalHanging12a"/>
      </w:pPr>
      <w:r>
        <w:t>9.</w:t>
      </w:r>
      <w:r>
        <w:tab/>
      </w:r>
      <w:r>
        <w:t>žádá Komisi, aby zajistila dostatečné lidské zdroje, aby výše uvedený informační systém mohl být v členských státech zaveden rychleji a účinněji;</w:t>
      </w:r>
    </w:p>
    <w:p>
      <w:pPr>
        <w:pStyle w:val="NormalHanging12a"/>
      </w:pPr>
      <w:r>
        <w:t>10.</w:t>
      </w:r>
      <w:r>
        <w:tab/>
      </w:r>
      <w:r>
        <w:t>považuje za pozitivní, že revidované nařízení o kontrole rybolovu zřizuje nový informační systém CATCH;</w:t>
      </w:r>
    </w:p>
    <w:p>
      <w:pPr>
        <w:pStyle w:val="NormalHanging12a"/>
      </w:pPr>
      <w:r>
        <w:t>11.</w:t>
      </w:r>
      <w:r>
        <w:tab/>
      </w:r>
      <w:r>
        <w:t>vybízí k tomu, aby byl do příštích iterací informačního systému CATCH začleněn úplnější soubor kritérií rizik a křížových kontrol údajů, jak doporučuje poradní sbor pro dálkový rybolov; domnívá se, že má-li se zajistit zvyšování standardů, musí Komise zajistit, aby posouzení rizik používané v systému CATCH bylo přinejmenším stejně důkladné jako posouzení uplatňované v členských státech, které již mají elektronický systém pro kontrolu osvědčení o úlovku; domnívá se, že v mezidobí musí Komise zajistit interoperabilitu mezi systémem CATCH a vnitrostátními informačními systémy, aniž by se zvýšila zátěž hospodářských subjektů;</w:t>
      </w:r>
    </w:p>
    <w:p>
      <w:pPr>
        <w:pStyle w:val="NormalHanging12a"/>
      </w:pPr>
      <w:r>
        <w:t>12.</w:t>
      </w:r>
      <w:r>
        <w:tab/>
      </w:r>
      <w:r>
        <w:t>naléhavě vyzývá Komisi, aby v rámci generálního ředitelství Evropské komise pro námořní záležitosti a rybolov zvýšila počet zaměstnanců zabývajících se správou oceánů a nezákonným, nehlášeným a neregulovaným rybolovem;</w:t>
      </w:r>
    </w:p>
    <w:p>
      <w:pPr>
        <w:pStyle w:val="NormalHanging12a"/>
      </w:pPr>
      <w:r>
        <w:t>13.</w:t>
      </w:r>
      <w:r>
        <w:tab/>
      </w:r>
      <w:r>
        <w:t>vybízí členské státy, aby zajistily zavedení nezbytných postupů pro přípravu právního přijetí informačního systému CATCH a aby zajistily, že systém bude připraven k použití co nejdříve;</w:t>
      </w:r>
    </w:p>
    <w:p>
      <w:pPr>
        <w:pStyle w:val="NormalHanging12a"/>
      </w:pPr>
      <w:r>
        <w:t>14.</w:t>
      </w:r>
      <w:r>
        <w:tab/>
      </w:r>
      <w:r>
        <w:t>naléhavě vyzývá členské státy, aby posílily své kontrolní systémy s cílem zabránit dovozu nelegálních produktů rybolovu a aby přijaly nezbytná opatření;</w:t>
      </w:r>
    </w:p>
    <w:p>
      <w:pPr>
        <w:pStyle w:val="NormalHanging12a"/>
      </w:pPr>
      <w:r>
        <w:t>15.</w:t>
      </w:r>
      <w:r>
        <w:tab/>
      </w:r>
      <w:r>
        <w:t>naléhavě vyzývá členské státy, aby proti nezákonnému rybolovu uplatňovaly odrazující sankce;</w:t>
      </w:r>
    </w:p>
    <w:p>
      <w:pPr>
        <w:pStyle w:val="NormalHanging12a"/>
      </w:pPr>
      <w:r>
        <w:t>16.</w:t>
      </w:r>
      <w:r>
        <w:tab/>
      </w:r>
      <w:r>
        <w:t>vyzývá Komisi a členské státy, aby se zemím spojeným s nezákonným, nehlášeným a neregulovaným rybolovem a se závažným porušováním pracovních povinností neposkytovaly preferenční přístup na trh; domnívá se, že EU by měla usilovat o vytvoření skutečně rovných podmínek pro mořské plody pocházejících z EU a ze třetích zemí; domnívá se, že nástroj autonomních celních kvót by se měl používat výhradně v případech, kdy dodávky mořských plodů pro trhy EU nejsou dostatečné a že by neměl být využíván k dovozu produktů pocházejících z nezákonného, nehlášeného a neregulovaného rybolovu nebo k vyvíjení tlaku na ceny zboží vyrobeného v EU;</w:t>
      </w:r>
    </w:p>
    <w:p>
      <w:pPr>
        <w:pStyle w:val="NormalHanging12a"/>
      </w:pPr>
      <w:r>
        <w:t>17.</w:t>
      </w:r>
      <w:r>
        <w:tab/>
      </w:r>
      <w:r>
        <w:t xml:space="preserve">vybízí členské státy, aby zlepšily rutinní a včasné sdílení informací, včetně informací o zamítnutých zásilkách, což orgánům umožní lépe uplatňovat a prosazovat právní předpisy; zdůrazňuje, že v tomto ohledu může pomoci dohoda s FAO o opatřeních přístavních států; </w:t>
      </w:r>
    </w:p>
    <w:p>
      <w:pPr>
        <w:pStyle w:val="NormalHanging12a"/>
      </w:pPr>
      <w:r>
        <w:t>18.</w:t>
      </w:r>
      <w:r>
        <w:tab/>
      </w:r>
      <w:r>
        <w:t>zdůrazňuje, že mnostranné systémy dokumentace úlovků, které navrhly a schválily smluvní strany regionálních organizací pro řízení rybolovu a spolupracující nesmluvní strany a které vyžadují, aby byly kritické informace o zásilce zaznamenávány a předávány v rámci celého dodavatelského řetězce, se ukázaly být účinnými nástroji pro zlepšení sledovatelnosti a přispívají k boji proti nezákonnému, nehlášenému a neregulovanému rybolovu;</w:t>
      </w:r>
    </w:p>
    <w:p>
      <w:pPr>
        <w:pStyle w:val="NormalHanging12a"/>
      </w:pPr>
      <w:r>
        <w:t>19.</w:t>
      </w:r>
      <w:r>
        <w:tab/>
      </w:r>
      <w:r>
        <w:t>pověřuje svou předsedkyni, aby předala toto usnesení Radě a Komisi.</w:t>
      </w:r>
    </w:p>
    <w:p>
      <w:pPr>
        <w:pStyle w:val="NormalHanging12a"/>
        <w:sectPr>
          <w:footnotePr>
            <w:numRestart w:val="eachSect"/>
          </w:footnotePr>
          <w:type w:val="continuous"/>
          <w:pgSz w:w="11906" w:h="16838"/>
          <w:pgMar w:top="1134" w:right="1417" w:bottom="1417" w:left="1417" w:header="1134" w:footer="567" w:gutter="0"/>
          <w:cols w:num="1" w:space="720"/>
          <w:titlePg/>
          <w:docGrid w:linePitch="360"/>
        </w:sectPr>
      </w:pPr>
      <w:r>
        <w:br w:type="page"/>
      </w:r>
    </w:p>
    <w:p>
      <w:pPr>
        <w:pStyle w:val="PageHeading"/>
      </w:pPr>
      <w:bookmarkStart w:id="1" w:name="_Toc256000003"/>
      <w:r>
        <w:t>VYSVĚTLUJÍCÍ PROHLÁŠENÍ</w:t>
      </w:r>
      <w:bookmarkEnd w:id="1"/>
    </w:p>
    <w:p>
      <w:pPr>
        <w:pStyle w:val="Normal12a"/>
      </w:pPr>
      <w:r>
        <w:t>Evropská unie (EU) se jako jeden z nejdůležitějších světových aktérů v oblasti rybolovu nachází v jedinečné situaci. Je tomu tak nejen proto, že sama provozozuje rozsáhlý rybolov v oceánech s přibližně 73 000 loděmi plujícími pod její vlajkou, ale i vzhledem ke svému postavení primárního dovozce produktů rybolovu, kdy téměř 70 % spotřebovaných mořských plodů se do EU dováží ze zahraničí. Vliv EU na celosvětové rybolovné postupy proto nelze podceňovat. Toto dominantní postavení znamená, že EU nese rovněž významnou odpovědnost za definování a prosazování udržitelných postupů v tomto odvětví .</w:t>
      </w:r>
    </w:p>
    <w:p>
      <w:pPr>
        <w:pStyle w:val="Normal12a"/>
      </w:pPr>
      <w:r>
        <w:t>EU měla jako smluvní strana Úmluvy Organizace spojených národů o mořském právu (UNCLOS) a signatář několika dalších důležitých mezinárodních dohod vždy povinnost chránit mořské zdroje. Daná ustanovení zdůrazňují odpovědnost všech států za zajištění udržitelné správy moří a za spolupráci na dosažení tohoto společného cíle.</w:t>
      </w:r>
    </w:p>
    <w:p>
      <w:pPr>
        <w:pStyle w:val="Normal12a"/>
      </w:pPr>
      <w:r>
        <w:t>Nezákonný, nehlášený a neregulovaný rybolov představuje významnou hrozbu pro mořské ekosystémy, sociálně-ekonomické podmínky komunit závislých na rybolovu, celosvětovou pověst tohoto odvětví a mezinárodní úsilí o zlepšení správy oceánů.</w:t>
      </w:r>
    </w:p>
    <w:p>
      <w:pPr>
        <w:pStyle w:val="Normal12a"/>
      </w:pPr>
      <w:r>
        <w:t>Obrovitost hospodářských dopadů tohoto odvětví se dá dobře ilustrovat na vysoké zaměstnanosti, které toto odvětví vytváří v pobřežních komunitách – více než 124 000 přímých pracovních míst – a pozoruhodných příjmech, které přináší do pokladen EU – 6,3 miliardy EUR ročně. Tento hospodářský přínos je však ohrožen, pokud se na trh dostávají produkty nezákonného, nehlášeného a neregulovaného rybolovu. Nezákonné činnosti nejenže připravují státy o příjmy, ale vyžadují také vyšší výdaje na sledování, inspekci a kontrolní opatření.</w:t>
      </w:r>
    </w:p>
    <w:p>
      <w:pPr>
        <w:pStyle w:val="Normal12a"/>
      </w:pPr>
      <w:r>
        <w:t>Evropská unie se vzhledem ke své vedoucí pozici na světovém trhu s mořskými plody nachází v jedinečném postavení, které ji umožňuje na mezinárodní úrovni utvářet udržitelné rybolovné postupy a být prvním, kdo je bude uplatňovat. Snaha EU o udržitelnost v odvětví rybolovu není pouze otázkou ekonomiky nebo životního prostředí, jde totiž také o potravinové zabezpečení. Protože se většina mořských plodů do EU dováží, je zajištění udržitelného dovozu a legálního původu zásadní pro zdraví a dobré životní podmínky jejích občanů.</w:t>
      </w:r>
    </w:p>
    <w:p>
      <w:pPr>
        <w:pStyle w:val="Normal12a"/>
      </w:pPr>
      <w:r>
        <w:t xml:space="preserve">Ačkoli má EU pevné regulační rámce, jako je např. přidělení 580 milionů EUR z Evropského námořního a rybářského fondu na podporu monitorovacích a kontrolních činností, problémy přetrvávají.  </w:t>
      </w:r>
      <w:r>
        <w:t>Evropský účetní dvůr</w:t>
      </w:r>
      <w:r>
        <w:t>ve své zprávě z roku 2022 uvádí, že kontroly a sankce ze strany členských států jsou nerovnoměrné, a poukazuje na mezery v systému, které se musí urychleně začít řešit.</w:t>
      </w:r>
    </w:p>
    <w:p>
      <w:pPr>
        <w:pStyle w:val="Normal12a"/>
      </w:pPr>
      <w:r>
        <w:t>Cesta vpřed má v EU mnoho podob. Slibným krokem správným směrem je například digitalizace osvědčení o úlovku NNN prostřednictvím informačního systému CATCH. Cílem tohoto systému je omezit podvodný dovoz a zajistit přísnější dodržování předpisů EU.</w:t>
      </w:r>
    </w:p>
    <w:p>
      <w:pPr>
        <w:pStyle w:val="Normal12a"/>
      </w:pPr>
      <w:r>
        <w:t>Kromě toho má zásadní význam podpora užší spolupráce se třetími zeměmi, z nichž mnohé jsou významnými producenty mořských plodů. Tato partnerství zajistí, aby dovážené produkty splňovaly přísné normy EU a aby postoj bloku k nezákonnému, nehlášenému a neregulovanému rybolovu měl odezvu v celém světě.</w:t>
      </w:r>
    </w:p>
    <w:p>
      <w:pPr>
        <w:pStyle w:val="Normal12a"/>
      </w:pPr>
      <w:r>
        <w:t>Užitečným se ukázal být unijní systém barevných karet – čtyři třetí země mají v současné době červenou kartu, osm třetích zemí má kartu žlutou. Navzdory tomu nebyl jeden významný producent mořských produktů, Čínská lidová republika, nikdy předmětem postupu podle nařízení o nezákonném, nehlášeném a neregulovaném rybolovu, a to přesto, že existují rozsáhlé důkazy o tom, že se Čína tohoto druhu rybolovu účastní ve stále větší míře.</w:t>
      </w:r>
    </w:p>
    <w:p>
      <w:pPr>
        <w:pStyle w:val="Normal12a"/>
      </w:pPr>
      <w:r>
        <w:t>Protože provozovatelé nezákonného, nehlášeného a neregulovaného rybolovu neustále hledají mezery v právní úpravě, je nezbytné, aby EU zachovala dynamický a proaktivní přístup, který ji umožní pokračovat ve svém úsilí o udržitelný rybolov a a celosvětové potravinové zabezpečení .</w:t>
      </w:r>
    </w:p>
    <w:p>
      <w:pPr>
        <w:pStyle w:val="Normal12a"/>
      </w:pPr>
      <w:r>
        <w:t>EU by se měla postavit do čela boje proti nezákonnému, nehlášenému a neregulovanému rybolovu. Tím bude zajištěna nejen budoucnost mořských ekosystémů a obživy, kterou tyto ekosystémy poskytují, ale upevní se také postavení EU jako celosvětového zastánce udržitelných a odpovědných rybolovných postupů. Má-li se tak stát, je zásadní, aby EU a členské státy pokračovaly v provádění a zejména prosazování těchto opatření na celém světě:</w:t>
      </w:r>
    </w:p>
    <w:p>
      <w:pPr>
        <w:pStyle w:val="NormalHangingJustified"/>
      </w:pPr>
      <w:r>
        <w:t>•</w:t>
      </w:r>
      <w:r>
        <w:tab/>
      </w:r>
      <w:r>
        <w:t>prosazovat nulovou toleranci vůči nezákonnému, nehlášenému a neregulovanému rybolovu, zajistit rovné zacházení se všemi zeměmi bez ohledu na velikost, prosazovat udržitelný rybolov, bojovat proti nadměrnému rybolovu a dbát na potravinové zabezpečení</w:t>
      </w:r>
    </w:p>
    <w:p>
      <w:pPr>
        <w:pStyle w:val="NormalHangingJustified"/>
      </w:pPr>
      <w:r>
        <w:t>•</w:t>
      </w:r>
      <w:r>
        <w:tab/>
      </w:r>
      <w:r>
        <w:t>zavést harmonizované kontroly dovozu mezi členskými státy, aby se zabránilo vstupu produktů z nezákonného, nehlášeného a neregulovaného rybolovu na trh EU</w:t>
      </w:r>
    </w:p>
    <w:p>
      <w:pPr>
        <w:pStyle w:val="NormalHangingJustified"/>
      </w:pPr>
      <w:r>
        <w:t>•</w:t>
      </w:r>
      <w:r>
        <w:tab/>
      </w:r>
      <w:r>
        <w:t>vybízet Komisi, aby zajistila plnou funkčnost informačního systému CATCH a aby vnitrostátní orgány členských států byly s používáním tohoto systému důkladně obeznámeny do dvou let ode dne nabytí účinnosti revidovaného nařízení o kontrole rybolovu</w:t>
      </w:r>
    </w:p>
    <w:p>
      <w:pPr>
        <w:pStyle w:val="NormalHangingJustified"/>
      </w:pPr>
      <w:r>
        <w:t>•</w:t>
      </w:r>
      <w:r>
        <w:tab/>
      </w:r>
      <w:r>
        <w:t>zajistit dostatečné lidské zdroje na podporu rychlejšího a účinnějšího zavádění počítačového systému CATCH v členských státech</w:t>
      </w:r>
    </w:p>
    <w:p>
      <w:pPr>
        <w:pStyle w:val="NormalHangingJustified"/>
      </w:pPr>
      <w:r>
        <w:t>•</w:t>
      </w:r>
      <w:r>
        <w:tab/>
      </w:r>
      <w:r>
        <w:t>zvýšit počet zaměstnanců GŘ MARE pro správu oceánů a nezákonný, nehlášený a neregulovaný rybolov</w:t>
      </w:r>
    </w:p>
    <w:p>
      <w:pPr>
        <w:pStyle w:val="NormalHangingJustified"/>
      </w:pPr>
      <w:r>
        <w:t>•</w:t>
      </w:r>
      <w:r>
        <w:tab/>
      </w:r>
      <w:r>
        <w:t>posílit kontrolní systémy a nezbytná opatření přijatá členskými státy, aby se zabránilo dovozu produktů pocházejících z nezákonného rybolovu</w:t>
      </w:r>
    </w:p>
    <w:p>
      <w:pPr>
        <w:pStyle w:val="NormalHangingJustified"/>
      </w:pPr>
      <w:r>
        <w:t>•</w:t>
      </w:r>
      <w:r>
        <w:tab/>
      </w:r>
      <w:r>
        <w:t>vyzývat členské státy, aby proti nezákonnému rybolovu uplatňovaly odrazující sankce</w:t>
      </w:r>
    </w:p>
    <w:p>
      <w:pPr>
        <w:pStyle w:val="NormalHangingJustified"/>
      </w:pPr>
      <w:r>
        <w:t>•</w:t>
      </w:r>
      <w:r>
        <w:tab/>
      </w:r>
      <w:r>
        <w:t>vyzývat Komisi a členské státy, aby se zdržely poskytování preferenčního přístupu na trh zemím spojeným s nezákonným, nehlášeným a neregulovaným rybolovem a se závažným porušováním pracovních povinností.</w:t>
      </w:r>
    </w:p>
    <w:p>
      <w:pPr>
        <w:pStyle w:val="NormalHangingJustified"/>
      </w:pPr>
      <w:r>
        <w:t>•</w:t>
      </w:r>
      <w:r>
        <w:tab/>
      </w:r>
      <w:r>
        <w:t>povzbuzovat členské státy, aby zlepšily pravidelné a včasné předávání informovací, včetně informací o zamítnutých dodávkách, což příslušným orgánům umožní vymáhat právní předpisy efektivněji; v tomto ohledu může pomoci dohoda s FAO o opatřeních přístavních států</w:t>
      </w:r>
    </w:p>
    <w:p>
      <w:pPr>
        <w:pStyle w:val="NormalHangingJustified"/>
      </w:pPr>
      <w:r>
        <w:t>•</w:t>
      </w:r>
      <w:r>
        <w:tab/>
      </w:r>
      <w:r>
        <w:t>zdůrazňovat, že systémy certifikace úlovků navržené a schválené regionálními organizacemi pro řízení rybolovu, které vyžadují zaznamenávání a předávání velmi důležitých informací o dodávkách napříč dodavatelským řetězcem, jsou osvědčenými nástroji, jak zlepšit sledovatelnost. a pomáhají v boji proti rybolovu NNN.</w:t>
      </w:r>
    </w:p>
    <w:p>
      <w:pPr>
        <w:pStyle w:val="Normal12a"/>
      </w:pPr>
    </w:p>
    <w:sectPr>
      <w:footnotePr>
        <w:numRestart w:val="eachSect"/>
      </w:footnotePr>
      <w:type w:val="continuous"/>
      <w:pgSz w:w="11906" w:h="16838"/>
      <w:pgMar w:top="1134" w:right="1417" w:bottom="1417" w:left="1417" w:header="1134" w:footer="567" w:gutter="0"/>
      <w:cols w:num="1"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753.497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8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  <w:r>
      <w:tab/>
    </w: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PR\1286110CS.docx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PR\1286110CS.docx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753.497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PR\1286110CS.docx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753.497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0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color w:val="0000FF"/>
            <w:u w:val="single" w:color="0000FF"/>
          </w:rPr>
          <w:t>Nařízení Rady (ES) č. 1005/2008 ze dne 29. září 2008, kterým se zavádí systém Společenství pro předcházení, potírání a odstranění nezákonného, nehlášeného a neregulovaného rybolovu, mění nařízení (EHS) č. 2847/93, (ES) č. 1936/2001 a (ES) č. 601/2004 a zrušují nařízení (ES) č. 1093/94 a (ES) č. 1447/1999 (Úř. věst. L 286, 29.10.2008, s. 1).</w:t>
        </w:r>
      </w:hyperlink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4581"/>
    <w:multiLevelType w:val="hybridMultilevel"/>
    <w:tmpl w:val="F16C6036"/>
    <w:lvl w:ilvl="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C09CF"/>
    <w:multiLevelType w:val="hybridMultilevel"/>
    <w:tmpl w:val="0DAA9F68"/>
    <w:lvl w:ilvl="0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footnotePr>
    <w:numRestart w:val="eachSect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572801"/>
    <w:pPr>
      <w:widowControl/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  <w:style w:type="paragraph" w:customStyle="1" w:styleId="Normal12a24b">
    <w:name w:val="Normal12a24b"/>
    <w:basedOn w:val="Normal"/>
    <w:rsid w:val="00D46F6C"/>
    <w:pPr>
      <w:spacing w:before="36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numbering" Target="numbering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08/1005/oj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9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1286110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20231016-170006-007636-039405</vt:lpwstr>
  </property>
  <property fmtid="{D5CDD505-2E9C-101B-9397-08002B2CF9AE}" pid="7" name="FooterPath">
    <vt:lpwstr>PR\1286110CS.doc</vt:lpwstr>
  </property>
  <property fmtid="{D5CDD505-2E9C-101B-9397-08002B2CF9AE}" pid="8" name="PE Number">
    <vt:lpwstr>753.497</vt:lpwstr>
  </property>
  <property fmtid="{D5CDD505-2E9C-101B-9397-08002B2CF9AE}" pid="9" name="UID">
    <vt:lpwstr>eu.europa.europarl-DIN1-2023-0000120919_01.03-cs-01.00_text-xml</vt:lpwstr>
  </property>
</Properties>
</file>