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tbl>
      <w:tblPr>
        <w:jc w:val="left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488"/>
      </w:tblGrid>
      <w:tr>
        <w:tblPrEx>
          <w:jc w:val="left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0"/>
          <w:trHeight w:hRule="exact" w:val="1420"/>
          <w:jc w:val="left"/>
        </w:trPr>
        <w:tc>
          <w:tcPr>
            <w:tcW w:w="6804" w:type="dxa"/>
            <w:vAlign w:val="center"/>
          </w:tcPr>
          <w:p>
            <w:pPr>
              <w:pStyle w:val="EPName"/>
            </w:pPr>
            <w:r w:rsidR="00A77B3E">
              <w:t>Parlament Ewropew</w:t>
            </w:r>
          </w:p>
          <w:p>
            <w:pPr>
              <w:pStyle w:val="EPTerm"/>
            </w:pPr>
            <w:r>
              <w:t>2019-2024</w:t>
            </w:r>
          </w:p>
        </w:tc>
        <w:tc>
          <w:tcPr>
            <w:tcW w:w="2488" w:type="dxa"/>
            <w:vAlign w:val="top"/>
          </w:tcPr>
          <w:p>
            <w:pPr>
              <w:pStyle w:val="EPLogo"/>
            </w:pPr>
            <w:r>
              <w:drawing>
                <wp:inline>
                  <wp:extent cx="1162812" cy="647954"/>
                  <wp:docPr id="10000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563254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PECH</w:t>
      </w:r>
      <w:r>
        <w:rPr>
          <w:rStyle w:val="HideTWBInt"/>
        </w:rPr>
        <w:t>}</w:t>
      </w:r>
      <w:r>
        <w:t>Kumitat għas-Sajd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LineBottom"/>
      </w:pPr>
    </w:p>
    <w:p>
      <w:pPr>
        <w:pStyle w:val="CoverReference"/>
      </w:pPr>
      <w:r>
        <w:rPr>
          <w:rStyle w:val="HideTWBExt"/>
        </w:rPr>
        <w:t>&lt;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t>2023/2027</w:t>
      </w:r>
      <w:r>
        <w:rPr>
          <w:rStyle w:val="HideTWBExt"/>
        </w:rPr>
        <w:t>&lt;/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RefTypeProc</w:t>
      </w:r>
      <w:r>
        <w:rPr>
          <w:rStyle w:val="HideTWBExt"/>
        </w:rPr>
        <w:t>&gt;</w:t>
      </w:r>
      <w:r>
        <w:t>(INI)</w:t>
      </w:r>
      <w:r>
        <w:rPr>
          <w:rStyle w:val="HideTWBExt"/>
        </w:rPr>
        <w:t>&lt;/</w:t>
      </w:r>
      <w:r>
        <w:rPr>
          <w:rStyle w:val="HideTWBExt"/>
        </w:rPr>
        <w:t>RefTypeProc</w:t>
      </w:r>
      <w:r>
        <w:rPr>
          <w:rStyle w:val="HideTWBExt"/>
        </w:rPr>
        <w:t>&gt;</w:t>
      </w:r>
    </w:p>
    <w:p>
      <w:pPr>
        <w:pStyle w:val="CoverDate"/>
      </w:pPr>
      <w:r>
        <w:rPr>
          <w:rStyle w:val="HideTWBExt"/>
        </w:rPr>
        <w:t>&lt;</w:t>
      </w:r>
      <w:r>
        <w:rPr>
          <w:rStyle w:val="HideTWBExt"/>
        </w:rPr>
        <w:t>Date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02/10/2023</w:t>
      </w:r>
      <w:r>
        <w:rPr>
          <w:rStyle w:val="HideTWBInt"/>
        </w:rPr>
        <w:t>}</w:t>
      </w:r>
      <w:r>
        <w:t>2.10.2023</w:t>
      </w:r>
      <w:r>
        <w:rPr>
          <w:rStyle w:val="HideTWBExt"/>
        </w:rPr>
        <w:t>&lt;/</w:t>
      </w:r>
      <w:r>
        <w:rPr>
          <w:rStyle w:val="HideTWBExt"/>
        </w:rPr>
        <w:t>Date</w:t>
      </w:r>
      <w:r>
        <w:rPr>
          <w:rStyle w:val="HideTWBExt"/>
        </w:rPr>
        <w:t>&gt;</w:t>
      </w:r>
    </w:p>
    <w:p>
      <w:pPr>
        <w:pStyle w:val="CoverDocType24a"/>
      </w:pPr>
      <w:r>
        <w:rPr>
          <w:rStyle w:val="HideTWBExt"/>
        </w:rPr>
        <w:t>&lt;</w:t>
      </w:r>
      <w:r>
        <w:rPr>
          <w:rStyle w:val="HideTWBExt"/>
        </w:rPr>
        <w:t>TitreType</w:t>
      </w:r>
      <w:r>
        <w:rPr>
          <w:rStyle w:val="HideTWBExt"/>
        </w:rPr>
        <w:t>&gt;</w:t>
      </w:r>
      <w:r>
        <w:t>ABBOZZ TA’ RAPPORT</w:t>
      </w:r>
      <w:r>
        <w:rPr>
          <w:rStyle w:val="HideTWBExt"/>
        </w:rPr>
        <w:t>&lt;/</w:t>
      </w:r>
      <w:r>
        <w:rPr>
          <w:rStyle w:val="HideTWBExt"/>
        </w:rPr>
        <w:t>TitreType</w:t>
      </w:r>
      <w:r>
        <w:rPr>
          <w:rStyle w:val="HideTWBExt"/>
        </w:rPr>
        <w:t>&gt;</w:t>
      </w:r>
    </w:p>
    <w:p>
      <w:pPr>
        <w:pStyle w:val="CoverNormal"/>
      </w:pPr>
      <w:r>
        <w:rPr>
          <w:rStyle w:val="HideTWBExt"/>
        </w:rPr>
        <w:t>&lt;</w:t>
      </w:r>
      <w:r>
        <w:rPr>
          <w:rStyle w:val="HideTWBExt"/>
        </w:rPr>
        <w:t>Titre</w:t>
      </w:r>
      <w:r>
        <w:rPr>
          <w:rStyle w:val="HideTWBExt"/>
        </w:rPr>
        <w:t>&gt;</w:t>
      </w:r>
      <w:r>
        <w:t>dwar l-impatt tas-sajd illegali fuq is-sigurtà tal-ikel – ir-rwol tal-Unjoni Ewropea</w:t>
      </w:r>
      <w:r>
        <w:rPr>
          <w:rStyle w:val="HideTWBExt"/>
        </w:rPr>
        <w:t>&lt;/</w:t>
      </w:r>
      <w:r>
        <w:rPr>
          <w:rStyle w:val="HideTWBExt"/>
        </w:rPr>
        <w:t>Titre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DocRef</w:t>
      </w:r>
      <w:r>
        <w:rPr>
          <w:rStyle w:val="HideTWBExt"/>
        </w:rPr>
        <w:t>&gt;</w:t>
      </w:r>
      <w:r>
        <w:t>(2023/2027(INI))</w:t>
      </w:r>
      <w:r>
        <w:rPr>
          <w:rStyle w:val="HideTWBExt"/>
        </w:rPr>
        <w:t>&lt;/</w:t>
      </w:r>
      <w:r>
        <w:rPr>
          <w:rStyle w:val="HideTWBExt"/>
        </w:rPr>
        <w:t>DocRef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PECH</w:t>
      </w:r>
      <w:r>
        <w:rPr>
          <w:rStyle w:val="HideTWBInt"/>
        </w:rPr>
        <w:t>}</w:t>
      </w:r>
      <w:r>
        <w:t>Kumitat għas-Sajd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CoverNormal24a"/>
      </w:pPr>
      <w:r>
        <w:t>Rapporteur</w:t>
      </w:r>
      <w:r>
        <w:t xml:space="preserve">: </w:t>
      </w:r>
      <w:r>
        <w:rPr>
          <w:rStyle w:val="HideTWBExt"/>
        </w:rPr>
        <w:t>&lt;</w:t>
      </w:r>
      <w:r>
        <w:rPr>
          <w:rStyle w:val="HideTWBExt"/>
        </w:rPr>
        <w:t>Depute</w:t>
      </w:r>
      <w:r>
        <w:rPr>
          <w:rStyle w:val="HideTWBExt"/>
        </w:rPr>
        <w:t>&gt;</w:t>
      </w:r>
      <w:r>
        <w:t>Nuno Melo</w:t>
      </w:r>
      <w:r>
        <w:rPr>
          <w:rStyle w:val="HideTWBExt"/>
        </w:rPr>
        <w:t>&lt;/</w:t>
      </w:r>
      <w:r>
        <w:rPr>
          <w:rStyle w:val="HideTWBExt"/>
        </w:rPr>
        <w:t>Depute</w:t>
      </w:r>
      <w:r>
        <w:rPr>
          <w:rStyle w:val="HideTWBExt"/>
        </w:rPr>
        <w:t>&gt;</w:t>
      </w:r>
    </w:p>
    <w:p>
      <w:r>
        <w:br w:type="page"/>
      </w:r>
      <w:r>
        <w:t>PR_INI</w:t>
      </w:r>
    </w:p>
    <w:p>
      <w:pPr>
        <w:pStyle w:val="TOCHeading"/>
      </w:pPr>
      <w:r>
        <w:t>WERREJ</w:t>
      </w:r>
    </w:p>
    <w:p>
      <w:pPr>
        <w:pStyle w:val="TOCPage"/>
      </w:pPr>
      <w:r>
        <w:t>Paġna</w:t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>TOC \t "PageHeading"</w:instrText>
      </w:r>
      <w:r>
        <w:fldChar w:fldCharType="separate"/>
      </w:r>
      <w:r>
        <w:t>MOZZJONI GĦAL RIŻOLUZZJONI TAL-PARLAMENT EWROPEW</w:t>
      </w:r>
      <w:r>
        <w:tab/>
      </w:r>
      <w:r>
        <w:fldChar w:fldCharType="begin"/>
      </w:r>
      <w:r>
        <w:instrText xml:space="preserve"> PAGEREF _Toc256000002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t>NOTA SPJEGATTIVA</w:t>
      </w:r>
      <w:r>
        <w:tab/>
      </w:r>
      <w:r>
        <w:fldChar w:fldCharType="begin"/>
      </w:r>
      <w:r>
        <w:instrText xml:space="preserve"> PAGEREF _Toc256000003 \h </w:instrText>
      </w:r>
      <w:r>
        <w:fldChar w:fldCharType="separate"/>
      </w:r>
      <w:r>
        <w:t>7</w:t>
      </w:r>
      <w:r>
        <w:fldChar w:fldCharType="end"/>
      </w:r>
    </w:p>
    <w:p>
      <w:pPr>
        <w:pStyle w:val="Normal12b"/>
      </w:pPr>
      <w:r>
        <w:fldChar w:fldCharType="end"/>
      </w:r>
    </w:p>
    <w:p>
      <w:pPr>
        <w:pStyle w:val="CoverNormalLeft"/>
      </w:pPr>
    </w:p>
    <w:p>
      <w:pPr>
        <w:pStyle w:val="CoverNormalLeft"/>
        <w:sectPr>
          <w:footerReference w:type="even" r:id="rId6"/>
          <w:footerReference w:type="default" r:id="rId7"/>
          <w:footerReference w:type="first" r:id="rId8"/>
          <w:footnotePr>
            <w:numRestart w:val="eachSect"/>
          </w:footnotePr>
          <w:pgSz w:w="11906" w:h="16838"/>
          <w:pgMar w:top="1134" w:right="1417" w:bottom="1417" w:left="1417" w:header="1134" w:footer="567" w:gutter="0"/>
          <w:cols w:num="1" w:space="708"/>
          <w:titlePg/>
          <w:docGrid w:linePitch="360"/>
        </w:sectPr>
      </w:pPr>
      <w:r>
        <w:br w:type="page"/>
      </w:r>
    </w:p>
    <w:p>
      <w:pPr>
        <w:pStyle w:val="PageHeading"/>
      </w:pPr>
      <w:bookmarkStart w:id="0" w:name="_Toc256000002"/>
      <w:r>
        <w:t>MOZZJONI GĦAL RIŻOLUZZJONI TAL-PARLAMENT EWROPEW</w:t>
      </w:r>
      <w:bookmarkEnd w:id="0"/>
    </w:p>
    <w:p>
      <w:pPr>
        <w:pStyle w:val="NormalBold"/>
      </w:pPr>
      <w:r>
        <w:t>dwar l-impatt tas-sajd illegali fuq is-sigurtà tal-ikel – ir-rwol tal-Unjoni Ewropea</w:t>
      </w:r>
    </w:p>
    <w:p>
      <w:pPr>
        <w:pStyle w:val="NormalBold"/>
      </w:pPr>
      <w:r>
        <w:t>(2023/2027(INI))</w:t>
      </w:r>
    </w:p>
    <w:p>
      <w:pPr>
        <w:pStyle w:val="EPComma"/>
      </w:pPr>
      <w:r>
        <w:rPr>
          <w:rStyle w:val="Italic"/>
        </w:rPr>
        <w:t>Il-Parlament Ewropew</w:t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l-istudju tal-2022 mill-Kummissjoni bit-titlu “Studju dwar l-oqfsa leġiżlattivi u s-sistemi ta’ infurzar tal-Istati Membri rigward l-obbligi u s-sanzjonijiet għaċ-ċittadini b’rabta mal-ksur tar-regoli li jirriżultaw mir-Regolament IUU”,</w:t>
      </w:r>
    </w:p>
    <w:p>
      <w:pPr>
        <w:pStyle w:val="NormalHanging12a"/>
      </w:pPr>
      <w:r>
        <w:t>–</w:t>
      </w:r>
      <w:r>
        <w:tab/>
      </w:r>
      <w:r>
        <w:t xml:space="preserve">wara li kkunsidra r-Rapport Speċjali 20/2022 </w:t>
      </w:r>
      <w:r>
        <w:t>tal-Qorti Ewropea tal-Awdituri</w:t>
      </w:r>
      <w:r>
        <w:t xml:space="preserve"> tas-26 ta’ Settembru 2022, bit-titlu “Azzjoni tal-UE għall-ġlieda kontra s-sajd illegali – Hemm sistemi ta’ kontroll fis-seħħ iżda huma mdgħajfa minħabba kontrolli u sanzjonijiet mhux uniformi applikati mill-Istati Membri”, li jkopri l-politika tal-UE dwar il-ġlieda kontra s-sajd illegali, mhux irrappurtat u mhux irregolat (IUU),</w:t>
      </w:r>
    </w:p>
    <w:p>
      <w:pPr>
        <w:pStyle w:val="NormalHanging12a"/>
      </w:pPr>
      <w:r>
        <w:t>–</w:t>
      </w:r>
      <w:r>
        <w:tab/>
      </w:r>
      <w:r>
        <w:t>wara li kkunsidra l-Konvenzjoni tan-Nazzjonijiet Uniti 1982 dwar il-Liġi tal-Baħar,</w:t>
      </w:r>
    </w:p>
    <w:p>
      <w:pPr>
        <w:pStyle w:val="NormalHanging12a"/>
      </w:pPr>
      <w:r>
        <w:t>–</w:t>
      </w:r>
      <w:r>
        <w:tab/>
      </w:r>
      <w:r>
        <w:t>wara li kkunsidra l-Ftehim tal-1995 tal-Organizzazzjoni tal-Ikel u l-Agrikoltura (FAO) biex jippromwovi l-osservanza tal-miżuri internazzjonali ta’ konservazzjoni u ta’ ġestjoni minn bastimenti tas-sajd f’ibħra internazzjonali.</w:t>
      </w:r>
    </w:p>
    <w:p>
      <w:pPr>
        <w:pStyle w:val="NormalHanging12a"/>
      </w:pPr>
      <w:r>
        <w:t>–</w:t>
      </w:r>
      <w:r>
        <w:tab/>
      </w:r>
      <w:r>
        <w:t>wara li kkunsidra l-Ftehim tan-NU tal-1995 dwar il-Ħażniet ta’ Ħut,</w:t>
      </w:r>
    </w:p>
    <w:p>
      <w:pPr>
        <w:pStyle w:val="NormalHanging12a"/>
      </w:pPr>
      <w:r>
        <w:t>–</w:t>
      </w:r>
      <w:r>
        <w:tab/>
      </w:r>
      <w:r>
        <w:t>wara li kkunsidra l-Kodiċi ta’ Kondotta tal-FAO tal-1995 għal Sajd Responsabbli,</w:t>
      </w:r>
    </w:p>
    <w:p>
      <w:pPr>
        <w:pStyle w:val="NormalHanging12a"/>
      </w:pPr>
      <w:r>
        <w:t>–</w:t>
      </w:r>
      <w:r>
        <w:tab/>
      </w:r>
      <w:r>
        <w:t>wara li kkunsidra l-Pjan ta’ Azzjoni Internazzjonali tal-FAO tal-2001 għall-Prevenzjoni, l-Iskoraġġiment u l-Eliminazzjoni tas-Sajd Illegali, Mhux Rappurtat u Mhux Regolat,</w:t>
      </w:r>
    </w:p>
    <w:p>
      <w:pPr>
        <w:pStyle w:val="NormalHanging12a"/>
      </w:pPr>
      <w:r>
        <w:t>–</w:t>
      </w:r>
      <w:r>
        <w:tab/>
      </w:r>
      <w:r>
        <w:t>wara li kkunsidra l-Ftehim tal-FAO tal-2009 dwar Miżuri tal-Istat tal-port li Jimpedixxu, Jiskoraġġixxu u Jeliminaw is-Sajd Illegali, mhux rappurtat u Mhux Regolat,</w:t>
      </w:r>
    </w:p>
    <w:p>
      <w:pPr>
        <w:pStyle w:val="NormalHanging12a"/>
      </w:pPr>
      <w:r>
        <w:t>–</w:t>
      </w:r>
      <w:r>
        <w:tab/>
      </w:r>
      <w:r>
        <w:t>wara li kkunsidra l-Linji Gwida Volontarji tal-FAO għall-Prestazzjoni tal-Istat tal-Bandiera tal-2014,</w:t>
      </w:r>
    </w:p>
    <w:p>
      <w:pPr>
        <w:pStyle w:val="NormalHanging12a"/>
      </w:pPr>
      <w:r>
        <w:t>–</w:t>
      </w:r>
      <w:r>
        <w:tab/>
      </w:r>
      <w:r>
        <w:t>wara li kkunsidra r-rapport tal-Koalizzjoni tas-Sajd IUU tal-UE ta’ Diċembru 2021 bit-titolu “Seafood traceability: Aligning RFMO catch documentation schemes to combat IUU fishing” (Traċċabbiltà tal-Frott tal-Baħar: nallinjaw l-iskemi tad-dokumentazzjoni tal-qbid tal-RFMOs biex nikkumbattu s-sajd IUU),</w:t>
      </w:r>
    </w:p>
    <w:p>
      <w:pPr>
        <w:pStyle w:val="NormalHanging12a"/>
      </w:pPr>
      <w:r>
        <w:t>–</w:t>
      </w:r>
      <w:r>
        <w:tab/>
      </w:r>
      <w:r>
        <w:t>wara li kkunsidra l-parir konġunt tal-Kunsill Konsultattiv għas-Swieq u tal-Kunsill Konsultattiv għall-Flotta ta’ Distanzi Twal tal-21 ta’ April 2023 dwar il-ħtieġa ta’ kontrolli armonizzati tal-importazzjoni bejn l-Istati Membri sabiex jiġi evitat li l-prodotti tas-sajd illegali, mhux irrappurtat u mhux irregolat (IUU) jidħlu fis-suq tal-Unjoni Ewropea,</w:t>
      </w:r>
    </w:p>
    <w:p>
      <w:pPr>
        <w:pStyle w:val="NormalHanging12a"/>
      </w:pPr>
      <w:r>
        <w:t>–</w:t>
      </w:r>
      <w:r>
        <w:tab/>
      </w:r>
      <w:r>
        <w:t>wara li kkunsidra d-dokument ta’ gwida tal-FAO tal-2023 bit-titlu “Advancing end-to-end traceability — Critical tracking events and key data elements along capture fisheries and aquaculture value chains”, (Avvanz tat-traċċabbiltà minn tarf sa tarf — Avvenimenti kritiċi ta’ traċċar u elementi ewlenin tad-data tul il-ktajjen tal-valur tas-sajd tal-qbid u tal-akkwakultura),</w:t>
      </w:r>
    </w:p>
    <w:p>
      <w:pPr>
        <w:pStyle w:val="NormalHanging12a"/>
      </w:pPr>
      <w:r>
        <w:t>–</w:t>
      </w:r>
      <w:r>
        <w:tab/>
      </w:r>
      <w:r>
        <w:t>wara li kkunsidra l-linja gwida teknika tal-FAO tal-2023 bit-titlu “Implimentazzjoni tal-Pjan ta’ Azzjoni Internazzjonali għall-Prevenzjoni, l-Iskoraġġiment u l-Eliminazzjoni tas-Sajd Illegali, Mhux Rappurtat u Mhux Regolat — 1. Metodoloġiji u indikaturi għall-istima tad-daqs u l-impatt tas-sajd illegali, mhux irrappurtat u mhux irregolat: 1.1 Prinċipji u approċċi”,</w:t>
      </w:r>
    </w:p>
    <w:p>
      <w:pPr>
        <w:pStyle w:val="NormalHanging12a"/>
      </w:pPr>
      <w:r>
        <w:t>–</w:t>
      </w:r>
      <w:r>
        <w:tab/>
      </w:r>
      <w:r>
        <w:t>wara li kkunsidra l-Artikolu 54 tar-Regoli ta’ Proċedura tiegħu,</w:t>
      </w:r>
    </w:p>
    <w:p>
      <w:pPr>
        <w:pStyle w:val="NormalHanging12a"/>
      </w:pPr>
      <w:r>
        <w:t>–</w:t>
      </w:r>
      <w:r>
        <w:tab/>
      </w:r>
      <w:r>
        <w:t>wara li kkunsidra r-rapport tal-Kumitat għas-Sajd (A9-0000/2023),</w:t>
      </w:r>
    </w:p>
    <w:p>
      <w:pPr>
        <w:pStyle w:val="NormalHanging12a"/>
      </w:pPr>
      <w:r>
        <w:t>A.</w:t>
      </w:r>
      <w:r>
        <w:tab/>
      </w:r>
      <w:r>
        <w:t>billi l-UE hija attur globali ewlieni fis-sajd kemm minħabba l-flotta tas-sajd tagħha (li tammonta għal madwar 73 000 bastiment) kif ukoll minħabba l-pożizzjoni tagħha bħala l-akbar importatur fid-dinja ta’ prodotti tas-sajd (kważi 70 % tal-prodotti tal-frott tal-baħar ikkunsmati fl-UE huma importati, li jirrappreżentaw 34 % tal-kummerċ dinji totali fil-valur), u għalhekk għandha rwol ċentrali fil-ġlieda kontra s-sajd IUU madwar id-dinja;</w:t>
      </w:r>
    </w:p>
    <w:p>
      <w:pPr>
        <w:pStyle w:val="NormalHanging12a"/>
      </w:pPr>
      <w:r>
        <w:t>B.</w:t>
      </w:r>
      <w:r>
        <w:tab/>
      </w:r>
      <w:r>
        <w:t>billi s-settur tas-sajd fl-UE jimpjega 124 000 sajjied direttament u jiġġenera EUR 6.3 biljun fi dħul kull sena;</w:t>
      </w:r>
    </w:p>
    <w:p>
      <w:pPr>
        <w:pStyle w:val="NormalHanging12a"/>
      </w:pPr>
      <w:r>
        <w:t>C.</w:t>
      </w:r>
      <w:r>
        <w:tab/>
      </w:r>
      <w:r>
        <w:t>billi l-UE kienet impenjata li tilħaq il-mira 14.4 tal-Għan ta’ Żvilupp Sostenibbli, li kellha ttemm is-sajd IUU sal-2020;</w:t>
      </w:r>
    </w:p>
    <w:p>
      <w:pPr>
        <w:pStyle w:val="NormalHanging12a"/>
      </w:pPr>
      <w:r>
        <w:t>D.</w:t>
      </w:r>
      <w:r>
        <w:tab/>
      </w:r>
      <w:r>
        <w:t>billi l-Artikolu 12 tar-Regolament dwar is-Sajd IUU</w:t>
      </w:r>
      <w:r>
        <w:rPr>
          <w:rStyle w:val="FootnoteReference"/>
        </w:rPr>
        <w:footnoteReference w:id="0"/>
      </w:r>
      <w:r>
        <w:t xml:space="preserve"> jipprojbixxi l-importazzjoni ta’ prodotti tas-sajd miksuba minn sajd IUU;</w:t>
      </w:r>
    </w:p>
    <w:p>
      <w:pPr>
        <w:pStyle w:val="NormalHanging12a"/>
      </w:pPr>
      <w:r>
        <w:t>E.</w:t>
      </w:r>
      <w:r>
        <w:tab/>
      </w:r>
      <w:r>
        <w:t>billi erba’ pajjiżi terzi bħalissa għandhom karta ħamra u tmienja għandhom karta safra; billi, madankollu, produttur ewlieni tal-frott tal-baħar, ir-Repubblika tal-Poplu taċ-Ċina, qatt ma kien soġġett għal proċedura skont ir-Regolament IUU minkejja evidenza konsiderevoli tal-involviment sinifikanti u dejjem jikber tiegħu fis-sajd IUU;</w:t>
      </w:r>
    </w:p>
    <w:p>
      <w:pPr>
        <w:pStyle w:val="NormalHanging12a"/>
      </w:pPr>
      <w:r>
        <w:t>F.</w:t>
      </w:r>
      <w:r>
        <w:tab/>
      </w:r>
      <w:r>
        <w:t>billi l-UE għandha qafas robust tal-leġiżlazzjoni dwar is-sajd, inklużi miżuri biex jittejbu l-kapaċitajiet ta’ monitoraġġ, spezzjoni, kontroll u sorveljanza użati biex jiġi miġġieled is-sajd IUU;</w:t>
      </w:r>
    </w:p>
    <w:p>
      <w:pPr>
        <w:pStyle w:val="NormalHanging12a"/>
      </w:pPr>
      <w:r>
        <w:t>G.</w:t>
      </w:r>
      <w:r>
        <w:tab/>
      </w:r>
      <w:r>
        <w:t>billi l-Fond Ewropew għall-Affarijiet Marittimi u s-Sajd ipprovda appoġġ għall-attivitajiet ta’ monitoraġġ, kontroll u infurzar, b’baġit totali ta’ EUR 580 miljun allokat għal dan;</w:t>
      </w:r>
    </w:p>
    <w:p>
      <w:pPr>
        <w:pStyle w:val="NormalHanging12a"/>
      </w:pPr>
      <w:r>
        <w:t>H.</w:t>
      </w:r>
      <w:r>
        <w:tab/>
      </w:r>
      <w:r>
        <w:t xml:space="preserve">billi r-Rapport Speċjali 20/2022 </w:t>
      </w:r>
      <w:r>
        <w:t>tal-Qorti Ewropea tal-Awdituri</w:t>
      </w:r>
      <w:r>
        <w:t xml:space="preserve"> jikkonkludi li s-sistemi ta’ kontroll huma mdgħajfa minħabba kontrolli u sanzjonijiet mhux uniformi applikati mill-Istati Membri;</w:t>
      </w:r>
    </w:p>
    <w:p>
      <w:pPr>
        <w:pStyle w:val="NormalHanging12a"/>
      </w:pPr>
      <w:r>
        <w:t>I.</w:t>
      </w:r>
      <w:r>
        <w:tab/>
      </w:r>
      <w:r>
        <w:t>billi d-diġitalizzazzjoni taċ-ċertifikati tal-qbid IUU permezz tas-sistema tal-IT CATCH se tnaqqas l-opportunitajiet għall-importazzjonijiet frawdolenti;</w:t>
      </w:r>
    </w:p>
    <w:p>
      <w:pPr>
        <w:pStyle w:val="NormalHanging12a"/>
      </w:pPr>
      <w:r>
        <w:t>J.</w:t>
      </w:r>
      <w:r>
        <w:tab/>
      </w:r>
      <w:r>
        <w:t>billi l-prodotti li jirriżultaw mis-sajd illegali joħolqu riskju għas-sigurtà tal-ikel taċ-ċittadini tal-Unjoni Ewropea;</w:t>
      </w:r>
    </w:p>
    <w:p>
      <w:pPr>
        <w:pStyle w:val="NormalHanging12a"/>
      </w:pPr>
      <w:r>
        <w:t>1.</w:t>
      </w:r>
      <w:r>
        <w:tab/>
      </w:r>
      <w:r>
        <w:t>Jafferma mill-ġdid il-ħtieġa li l-UE u l-Istati Membri tagħha jkomplu jieħdu approċċ ta’ tolleranza żero għas-sajd IUU, billi japplikaw dan l-approċċ b’mod ugwali għall-pajjiżi kollha, irrispettivament mid-daqs, u jippromwovu sajd sostenibbli bl-għan li jiġi miġġieled is-sajd eċċessiv u tiġi żgurata s-sigurtà tal-ikel;</w:t>
      </w:r>
    </w:p>
    <w:p>
      <w:pPr>
        <w:pStyle w:val="NormalHanging12a"/>
      </w:pPr>
      <w:r>
        <w:t>2.</w:t>
      </w:r>
      <w:r>
        <w:tab/>
      </w:r>
      <w:r>
        <w:t>Jitlob l-applikazzjoni tal-linji gwida tal-UE biex jiġi ddeterminat kif l-aħjar tittejjeb l-implimentazzjoni tar-Regolament IUU tal-UE fl-Istati Membri li jonqsu milli jirrispettaw ir-rekwiżiti tar-Regolament u kif l-aħjar tiġi vverifikata l-informazzjoni pprovduta fir-rapporti biennali;</w:t>
      </w:r>
    </w:p>
    <w:p>
      <w:pPr>
        <w:pStyle w:val="NormalHanging12a"/>
      </w:pPr>
      <w:r>
        <w:t>3.</w:t>
      </w:r>
      <w:r>
        <w:tab/>
      </w:r>
      <w:r>
        <w:t>Iħeġġeġ lill-Istati Membri jallokaw biżżejjed kapaċità u riżorsi biex jiżguraw l-implimentazzjoni effettiva tal-kontrolli tal-importazzjoni;</w:t>
      </w:r>
    </w:p>
    <w:p>
      <w:pPr>
        <w:pStyle w:val="NormalHanging12a"/>
      </w:pPr>
      <w:r>
        <w:t>4.</w:t>
      </w:r>
      <w:r>
        <w:tab/>
      </w:r>
      <w:r>
        <w:t>Jenfasizza li l-Kummissjoni jeħtiġilha tipprovdi appoġġ adegwat lill-awtoritajiet nazzjonali responsabbli għall-kontroll tal-importazzjonijiet tal-frott tal-baħar, filwaqt li tinnota li dan l-appoġġ jista’ jinkludi, fejn disponibbli, l-elaborazzjoni ta’ lista tal-miżuri ta’ ġestjoni u konservazzjoni li japplikaw f’pajjiżi mhux tal-UE u l-kondiviżjoni ta’ informazzjoni dettaljata dwar in-nuqqasijiet identifikati fil-kuntest tal-implimentazzjoni tar-Regolament IUU tal-UE fir-rigward ta’ pajjiżi mhux tal-UE;</w:t>
      </w:r>
    </w:p>
    <w:p>
      <w:pPr>
        <w:pStyle w:val="NormalHanging12a"/>
      </w:pPr>
      <w:r>
        <w:t>5.</w:t>
      </w:r>
      <w:r>
        <w:tab/>
      </w:r>
      <w:r>
        <w:t>Jenfasizza li l-Kummissjoni jeħtiġilha tipprovdi, flimkien mal-Aġenzija Ewropea għall-Kontroll tas-Sajd u f’koordinazzjoni mill-qrib mal-Istati Membri, appoġġ ulterjuri lill-awtoritajiet nazzjonali fir-rigward ta’ kif l-aħjar jiġi implimentat ir-Regolament IUU, u dan l-appoġġ għandu jieħu l-forma ta’ gwida, skambji ta’ prattiki tajba, taħriġ, u simili;</w:t>
      </w:r>
    </w:p>
    <w:p>
      <w:pPr>
        <w:pStyle w:val="NormalHanging12a"/>
      </w:pPr>
      <w:r>
        <w:t>6.</w:t>
      </w:r>
      <w:r>
        <w:tab/>
      </w:r>
      <w:r>
        <w:t>Iħeġġeġ lill-Kummissjoni tkompli tistinka għall-applikazzjoni u l-implimentazzjoni konsistenti tal-proċeduri ta’ kontroll tal-importazzjoni madwar l-UE, inklużi l-kontrolli taċ-ċertifikati tal-qbid, approċċ ibbażat fuq ir-riskju u verifiki;</w:t>
      </w:r>
    </w:p>
    <w:p>
      <w:pPr>
        <w:pStyle w:val="NormalHanging12a"/>
      </w:pPr>
      <w:r>
        <w:t>7.</w:t>
      </w:r>
      <w:r>
        <w:tab/>
      </w:r>
      <w:r>
        <w:t>Ifakkar lill-Kummissjoni dwar il-ħtieġa li jiġu armonizzati l-kontrolli tal-importazzjoni fl-Istati Membri kollha sabiex jiġi evitat li prodotti tas-sajd IUU jidħlu fis-suq tal-UE;</w:t>
      </w:r>
    </w:p>
    <w:p>
      <w:pPr>
        <w:pStyle w:val="NormalHanging12a"/>
      </w:pPr>
      <w:r>
        <w:t>8.</w:t>
      </w:r>
      <w:r>
        <w:tab/>
      </w:r>
      <w:r>
        <w:t>Iħeġġeġ lill-Kummissjoni taħdem malajr biex tiżgura li s-sistema tal-IT CATCH tkun kompletament operattiva u li l-awtoritajiet nazzjonali tal-Istati Membri jkunu kompletament familjari mal-użu tagħha fi żmien sentejn mid-data tal-applikazzjoni tal-Artikolu 4 tar-Regolament rivedut dwar il-Kontroll tas-Sajd;</w:t>
      </w:r>
    </w:p>
    <w:p>
      <w:pPr>
        <w:pStyle w:val="NormalHanging12a"/>
      </w:pPr>
      <w:r>
        <w:t>9.</w:t>
      </w:r>
      <w:r>
        <w:tab/>
      </w:r>
      <w:r>
        <w:t>Jitlob lill-Kummissjoni tagħmel mezz li jkollha biżżejjed riżorsi umani sabiex tiżgura twassil aktar rapidu u effettiv tas-sistema tal-IT imsemmija hawn fuq fl-Istati Membri;</w:t>
      </w:r>
    </w:p>
    <w:p>
      <w:pPr>
        <w:pStyle w:val="NormalHanging12a"/>
      </w:pPr>
      <w:r>
        <w:t>10.</w:t>
      </w:r>
      <w:r>
        <w:tab/>
      </w:r>
      <w:r>
        <w:t>Jilqa’ l-istabbiliment tas-sistema l-ġdida tal-IT CATCH bis-saħħa tar-Regolament rivedut dwar il-Kontroll tas-Sajd;</w:t>
      </w:r>
    </w:p>
    <w:p>
      <w:pPr>
        <w:pStyle w:val="NormalHanging12a"/>
      </w:pPr>
      <w:r>
        <w:t>11.</w:t>
      </w:r>
      <w:r>
        <w:tab/>
      </w:r>
      <w:r>
        <w:t>Iħeġġeġ l-inklużjoni rapida ta’ kriterji tar-riskju u kontroverifiki tad-data aktar komprensivi fl-iterazzjonijiet li jmiss tas-sistema tal-IT CATCH, kif irrakkomandat mill-Kunsill Konsultattiv għall-Flotta ta’ Distanzi Twal; iqis li sabiex tiġi żgurata tellieqa sal-quċċata, il-Kummissjoni jeħtiġilha tiżgura li l-valutazzjoni tar-riskju applikata fil-CATCH tkun mill-inqas dettaljata daqs dawk applikati fl-Istati Membri li diġà għandhom sistema elettronika biex jivverifikaw iċ-ċertifikati tal-qbid; iqis li sadanittant, il-Kummissjoni jeħtiġilha tiżgura li jkun hemm interoperabbiltà bejn il-CATCH u s-sistemi tal-IT nazzjonali mingħajr ma żżid il-piż fuq l-operaturi ekonomiċi;</w:t>
      </w:r>
    </w:p>
    <w:p>
      <w:pPr>
        <w:pStyle w:val="NormalHanging12a"/>
      </w:pPr>
      <w:r>
        <w:t>12.</w:t>
      </w:r>
      <w:r>
        <w:tab/>
      </w:r>
      <w:r>
        <w:t>Iħeġġeġ lill-Kummissjoni żżid l-għadd ta’ persunal li jaħdem fuq il-governanza tal-oċeani u s-sajd IUU fi ħdan id-Direttorat Ġenerali għall-Affarijiet Marittimi u s-Sajd tal-Kummissjoni;</w:t>
      </w:r>
    </w:p>
    <w:p>
      <w:pPr>
        <w:pStyle w:val="NormalHanging12a"/>
      </w:pPr>
      <w:r>
        <w:t>13.</w:t>
      </w:r>
      <w:r>
        <w:tab/>
      </w:r>
      <w:r>
        <w:t>Iħeġġeġ lill-Istati Membri jiżguraw li l-proċeduri meħtieġa jiġu stabbiliti bi tħejjija għall-adozzjoni legali tas-sistema tal-IT CATCH u jiżguraw li s-sistema tkun lesta għall-użu malajr kemm jista’ jkun;</w:t>
      </w:r>
    </w:p>
    <w:p>
      <w:pPr>
        <w:pStyle w:val="NormalHanging12a"/>
      </w:pPr>
      <w:r>
        <w:t>14.</w:t>
      </w:r>
      <w:r>
        <w:tab/>
      </w:r>
      <w:r>
        <w:t>Iħeġġeġ lill-Istati Membri jsaħħu s-sistemi ta’ kontroll tagħhom għall-prevenzjoni tal-importazzjoni ta’ prodotti tas-sajd illegali u jieħdu l-azzjoni meħtieġa;</w:t>
      </w:r>
    </w:p>
    <w:p>
      <w:pPr>
        <w:pStyle w:val="NormalHanging12a"/>
      </w:pPr>
      <w:r>
        <w:t>15.</w:t>
      </w:r>
      <w:r>
        <w:tab/>
      </w:r>
      <w:r>
        <w:t>Iħeġġeġ lill-Istati Membri japplikaw sanzjonijiet dissważivi kontra s-sajd illegali;</w:t>
      </w:r>
    </w:p>
    <w:p>
      <w:pPr>
        <w:pStyle w:val="NormalHanging12a"/>
      </w:pPr>
      <w:r>
        <w:t>16.</w:t>
      </w:r>
      <w:r>
        <w:tab/>
      </w:r>
      <w:r>
        <w:t>Jistieden lill-Kummissjoni u lill-Istati Membri jżommu lura milli jagħtu aċċess preferenzjali għas-suq lin-nazzjonijiet assoċjati ma’ prattiki tas-sajd IUU u ksur serju tax-xogħol; iqis li l-UE għandha tistinka biex tistabbilixxi kundizzjonijiet ekwi ġenwini bejn il-frott tal-baħar prodott fl-UE u dak prodott f’pajjiżi terzi; iqis li b’mod speċifiku, l-istrument awtonomu tal-kwoti tariffarji għandu jintuża esklużivament f’każijiet fejn il-provvista tal-frott tal-baħar għas-swieq tal-UE ma tkunx biżżejjed u li ma għandux jintuża biex jiġu importati prodotti li ġejjin minn sajd IUU jew biex issir pressjoni fuq il-prezzijiet ta’ prodotti manifatturati fl-UE;</w:t>
      </w:r>
    </w:p>
    <w:p>
      <w:pPr>
        <w:pStyle w:val="NormalHanging12a"/>
      </w:pPr>
      <w:r>
        <w:t>17.</w:t>
      </w:r>
      <w:r>
        <w:tab/>
      </w:r>
      <w:r>
        <w:t>Iħeġġeġ lill-Istati Membri jtejbu l-kondiviżjoni sistematika u f’waqtha tal-informazzjoni, inkluż dwar kunsinni rifjutati, biex b’hekk jippermettu lill-awtoritajiet japplikaw u jinfurzaw aħjar il-liġi; jissottolinja li l-Ftehim tal-FAO dwar il-Miżuri tal-Istat tal-Port jista’ jassisti f’dan ir-rigward;</w:t>
      </w:r>
    </w:p>
    <w:p>
      <w:pPr>
        <w:pStyle w:val="NormalHanging12a"/>
      </w:pPr>
      <w:r>
        <w:t>18.</w:t>
      </w:r>
      <w:r>
        <w:tab/>
      </w:r>
      <w:r>
        <w:t>Jenfasizza li l-iskemi multilaterali tad-dokumentazzjoni tal-qbid li huma mfassla u maqbula mill-partijiet kontraenti tal-organizzazzjonijiet reġjonali tal-ġestjoni tas-sajd u mill-partijiet mhux kontraenti li jikkooperaw, u li jirrikjedu li informazzjoni kritika dwar kunsinna tiġi rreġistrata u trasferita tul il-katina tal-provvista, urew li huma għodod effettivi għat-titjib tat-traċċabbiltà u jikkontribwixxu għall-ġlieda kontra s-sajd IUU;</w:t>
      </w:r>
    </w:p>
    <w:p>
      <w:pPr>
        <w:pStyle w:val="NormalHanging12a"/>
      </w:pPr>
      <w:r>
        <w:t>19.</w:t>
      </w:r>
      <w:r>
        <w:tab/>
      </w:r>
      <w:r>
        <w:t>Jagħti istruzzjonijiet lill-President tiegħu biex tgħaddi din ir-riżoluzzjoni lill-Kunsill u lill-Kummissjoni.</w:t>
      </w:r>
    </w:p>
    <w:p>
      <w:pPr>
        <w:pStyle w:val="NormalHanging12a"/>
        <w:sectPr>
          <w:footnotePr>
            <w:numRestart w:val="eachSect"/>
          </w:footnotePr>
          <w:type w:val="continuous"/>
          <w:pgSz w:w="11906" w:h="16838"/>
          <w:pgMar w:top="1134" w:right="1417" w:bottom="1417" w:left="1417" w:header="1134" w:footer="567" w:gutter="0"/>
          <w:cols w:num="1" w:space="708"/>
          <w:titlePg/>
          <w:docGrid w:linePitch="360"/>
        </w:sectPr>
      </w:pPr>
      <w:r>
        <w:br w:type="page"/>
      </w:r>
    </w:p>
    <w:p>
      <w:pPr>
        <w:pStyle w:val="PageHeading"/>
      </w:pPr>
      <w:bookmarkStart w:id="1" w:name="_Toc256000003"/>
      <w:r>
        <w:t>NOTA SPJEGATTIVA</w:t>
      </w:r>
      <w:bookmarkEnd w:id="1"/>
    </w:p>
    <w:p>
      <w:pPr>
        <w:pStyle w:val="Normal12a"/>
      </w:pPr>
      <w:r>
        <w:t>L-Unjoni Ewropea (UE), tinsab f’sitwazzjoni unika bħala waħda mill-aktar atturi globali importanti fis-sajd, kemm minħabba l-preżenza estensiva tas-sajd tagħha fl-oċeani kif ukoll minħabba l-pożizzjoni tagħha bħala importatur primarju ta’ prodotti tas-sajd. B’madwar 73,000 bastiment li jtajru l-bandiera tagħha u rata ta’ importazzjoni impressjonanti, fejn kważi 70 % tal-frott tal-baħar ikkunsmat jiġi minn barra, l-influwenza tal-UE fuq il-prattiki tas-sajd globali ma tistax tiġi sottovalutata. Din il-pożizzjoni dominanti tfisser li l-UE għandha wkoll responsabbiltà sinifikanti fit-tfassil u l-promozzjoni ta’ prattiki sostenibbli fis-settur.</w:t>
      </w:r>
    </w:p>
    <w:p>
      <w:pPr>
        <w:pStyle w:val="Normal12a"/>
      </w:pPr>
      <w:r>
        <w:t>Bħala Parti Kontraenti għall-Konvenzjoni tan-Nazzjonijiet Uniti dwar il-Liġi tal-Baħar (UNCLOS) u firmatarja ta’ diversi ftehimiet internazzjonali importanti oħra, l-UE dejjem kellha d-dmir li tissalvagwardja r-riżorsi tal-baħar. Dawn id-dispożizzjonijiet jenfasizzaw ir-responsabbiltà tal-istati kollha biex jiżguraw ġestjoni sostenibbli tal-baħar u biex jikkollaboraw lejn dan l-għan kondiviż.</w:t>
      </w:r>
    </w:p>
    <w:p>
      <w:pPr>
        <w:pStyle w:val="Normal12a"/>
      </w:pPr>
      <w:r>
        <w:t>Is-sajd illegali, mhux irrappurtat u mhux irregolat (IUU) joħloq theddida sinifikanti għall-ekosistemi tal-baħar, għall-benesseri soċjoekonomiku tal-komunitajiet dipendenti mis-sajd, għar-reputazzjoni globali tas-settur tas-sajd, u għall-isforzi internazzjonali għal governanza mtejba tal-oċeani.</w:t>
      </w:r>
    </w:p>
    <w:p>
      <w:pPr>
        <w:pStyle w:val="Normal12a"/>
      </w:pPr>
      <w:r>
        <w:t>L-enormità tar-riperkussjonijiet ekonomiċi hija evidenti meta wieħed iqis il-firxa ta’ impjiegi iġġenerati mis-settur fil-komunitajiet kostali — aktar minn 124,000 impjieg dirett — u d-dħul notevoli li dan iġib għat-teżor tal-UE — EUR 6.3 biljun fis-sena. L-introduzzjoni ta’ prodotti mis-sajd IUU fis-suq tipperikola dan il-kontribut ekonomiku. Mhux talli l-operazzjonijiet illegali jċaħħdu lill-istati mid-dħul, iżda talli jeħtieġu wkoll żieda fl-ispejjeż għall-monitoraġġ, l-ispezzjoni u l-miżuri ta’ kontroll biex jiġi miġġieled is-sajd IUU.</w:t>
      </w:r>
    </w:p>
    <w:p>
      <w:pPr>
        <w:pStyle w:val="Normal12a"/>
      </w:pPr>
      <w:r>
        <w:t>Minħabba r-rwol ċentrali tagħha fis-suq globali tal-frott tal-baħar, l-Unjoni Ewropea tinsab f’pożizzjoni unika biex issawwar u tmexxi l-prattiki tas-sajd internazzjonali sostenibbli. L-impenn tal-UE għas-sostenibbiltà fis-settur tas-sajd mhuwiex biss tħassib ekonomiku jew ambjentali; hija kwistjoni ta’ sigurtà tal-ikel. Peress li l-maġġoranza tal-frott tal-baħar jiġi importat, l-iżgurar li dawn l-importazzjonijiet jinkisbu b’mod sostenibbli u legali huwa vitali għas-saħħa u l-benesseri taċ-ċittadini tiegħu.</w:t>
      </w:r>
    </w:p>
    <w:p>
      <w:pPr>
        <w:pStyle w:val="Normal12a"/>
      </w:pPr>
      <w:r>
        <w:t>Għalkemm l-UE għandha oqfsa regolatorji robusti, bħall-allokazzjoni ta’ EUR 580 miljun mill-Fond Ewropew għall-Affarijiet Marittimi u s-Sajd biex tappoġġa l-attivitajiet ta’ monitoraġġ u kontroll, għad hemm sfidi. Il-</w:t>
      </w:r>
      <w:r>
        <w:t>Qorti Ewropea tal-Awdituri</w:t>
      </w:r>
      <w:r>
        <w:t>, fir-rapport tal-2022 tagħha, ssuġġeriet li l-Istati Membri qed jikkontrollaw u jissanzjonaw b’mod inkosistenti u żvelat xquq fis-sistema li hemm bżonn li jiġu indirizzati b’mod urġenti.</w:t>
      </w:r>
    </w:p>
    <w:p>
      <w:pPr>
        <w:pStyle w:val="Normal12a"/>
      </w:pPr>
      <w:r>
        <w:t>Għall-UE, it-triq ’il quddiem hija multidimensjonali. Id-diġitalizzazzjoni taċ-ċertifikati tal-qbid IUU permezz tas-sistema tal-IT CATCH, pereżempju, hija pass promettenti fid-direzzjoni t-tajba. Din is-sistema għandha l-għan li tnaqqas l-importazzjonijiet frawdolenti u tiżgura konformità aktar stretta mar-regolamenti tal-UE.</w:t>
      </w:r>
    </w:p>
    <w:p>
      <w:pPr>
        <w:pStyle w:val="Normal12a"/>
      </w:pPr>
      <w:r>
        <w:t>Barra minn hekk, it-trawwim ta’ kollaborazzjonijiet aktar mill-qrib ma’ pajjiżi terzi, li ħafna minnhom huma produtturi sinifikanti tal-frott tal-baħar, huwa kruċjali. Dawn is-sħubijiet se jiżguraw li l-prodotti importati jissodisfaw l-istandards stretti tal-UE u li l-pożizzjoni tal-blokk kontra s-sajd IUU hija relatabbli globalment.</w:t>
      </w:r>
    </w:p>
    <w:p>
      <w:pPr>
        <w:pStyle w:val="Normal12a"/>
      </w:pPr>
      <w:r>
        <w:t>B’mod partikolari, is-sistema tal-karti tal-UE wriet li hija utli. Bħalissa hemm erba’ pajjiżi terzi li għandhom karta ħamra u tmien pajjiżi li għandhom karta safra. Madankollu, produttur ewlieni tal-frott tal-baħar, ir-Repubblika tal-Poplu taċ-Ċina (RPĊ), qatt ma kien soġġett għal regolamenti IUU, minkejja evidenza konsiderevoli tal-involviment sinifikanti u dejjem akbar ta’ dan il-pajjiż fis-sajd IUU.</w:t>
      </w:r>
    </w:p>
    <w:p>
      <w:pPr>
        <w:pStyle w:val="Normal12a"/>
      </w:pPr>
      <w:r>
        <w:t>Minħabba li l-operaturi IUU kontinwament ifittxu lakuni fl-oqfsa eżistenti, huwa essenzjali għall-UE li żżomm approċċ dinamiku u proattiv biex tissalvagwardja l-impenn tagħha lejn is-sajd sostenibbli u s-sigurtà globali tal-ikel.</w:t>
      </w:r>
    </w:p>
    <w:p>
      <w:pPr>
        <w:pStyle w:val="Normal12a"/>
      </w:pPr>
      <w:r>
        <w:t>L-UE għandha r-responsabbiltà li tkun minn ta’ quddiem fil-ġlieda kontra s-sajd IUU. B’hekk, hija tkun tista’ tiżgura mhux biss il-futur tal-ekosistemi tal-baħar tagħha u l-għajxien li jappoġġaw iżda wkoll tikkonsolida l-pożizzjoni tagħha bħala promotur globali għal prattiki tas-sajd sostenibbli u responsabbli. Biex dan iseħħ, huwa kruċjali għall-UE u għall-Istati Membri li jkomplu jimplimentaw u b’mod speċjali jippromwovu diversi miżuri madwar id-dinja:</w:t>
      </w:r>
    </w:p>
    <w:p>
      <w:pPr>
        <w:pStyle w:val="NormalHangingJustified"/>
      </w:pPr>
      <w:r>
        <w:t>•</w:t>
      </w:r>
      <w:r>
        <w:tab/>
      </w:r>
      <w:r>
        <w:t>Jippromwovu t-tolleranza żero għas-sajd illegali, mhux irrappurtat u mhux irregolat, filwaqt li jiġi żgurat li l-pajjiżi kollha jiġu trattati bl-istess mod, irrispettivament mid-daqs, u jiġi promoss is-sajd sostenibbli, jiġi miġġieled is-sajd eċċessiv, u tiġi ggarantita s-sigurtà tal-ikel.</w:t>
      </w:r>
    </w:p>
    <w:p>
      <w:pPr>
        <w:pStyle w:val="NormalHangingJustified"/>
      </w:pPr>
      <w:r>
        <w:t>•</w:t>
      </w:r>
      <w:r>
        <w:tab/>
      </w:r>
      <w:r>
        <w:t>Jimplimentaw il-kontrolli armonizzati tal-importazzjoni fost l-Istati Membri għall-prevenzjoni tad-dħul ta’ prodotti tas-sajd IUU fis-suq tal-UE.</w:t>
      </w:r>
    </w:p>
    <w:p>
      <w:pPr>
        <w:pStyle w:val="NormalHangingJustified"/>
      </w:pPr>
      <w:r>
        <w:t>•</w:t>
      </w:r>
      <w:r>
        <w:tab/>
      </w:r>
      <w:r>
        <w:t>Jinkoraġġixxu lill-Kummissjoni biex tiżgura li s-sistema tal-IT CATCH tkun kompletament operattiva u li l-awtoritajiet nazzjonali tal-Istati Membri jkunu familjari sew mal-użu tagħha, sentejn wara l-implimentazzjoni tar-regolament rivedut dwar il-kontroll tas-sajd.</w:t>
      </w:r>
    </w:p>
    <w:p>
      <w:pPr>
        <w:pStyle w:val="NormalHangingJustified"/>
      </w:pPr>
      <w:r>
        <w:t>•</w:t>
      </w:r>
      <w:r>
        <w:tab/>
      </w:r>
      <w:r>
        <w:t>Ikunu ċerti li għandhom biżżejjed riżorsi umani biex jippromwovu implimentazzjoni aktar rapida u aktar effiċjenti tas-sistema tal-kompjuter CATCH fl-Istati Membri.</w:t>
      </w:r>
    </w:p>
    <w:p>
      <w:pPr>
        <w:pStyle w:val="NormalHangingJustified"/>
      </w:pPr>
      <w:r>
        <w:t>•</w:t>
      </w:r>
      <w:r>
        <w:tab/>
      </w:r>
      <w:r>
        <w:t>Iżidu l-għadd ta’ persunal fid-DĠ MARE għall-governanza tal-oċeani u s-sajd IUU.</w:t>
      </w:r>
    </w:p>
    <w:p>
      <w:pPr>
        <w:pStyle w:val="NormalHangingJustified"/>
      </w:pPr>
      <w:r>
        <w:t>•</w:t>
      </w:r>
      <w:r>
        <w:tab/>
      </w:r>
      <w:r>
        <w:t>Itejbu s-sistemi ta’ kontroll u l-miżuri meħtieġa adottati mill-Istati Membri biex jipprevjenu l-importazzjoni ta’ prodotti minn sajd illegali.</w:t>
      </w:r>
    </w:p>
    <w:p>
      <w:pPr>
        <w:pStyle w:val="NormalHangingJustified"/>
      </w:pPr>
      <w:r>
        <w:t>•</w:t>
      </w:r>
      <w:r>
        <w:tab/>
      </w:r>
      <w:r>
        <w:t>Jinkoraġġixxu lill-Istati Membri japplikaw sanzjonijiet deterrenti kontra s-sajd illegali.</w:t>
      </w:r>
    </w:p>
    <w:p>
      <w:pPr>
        <w:pStyle w:val="NormalHangingJustified"/>
      </w:pPr>
      <w:r>
        <w:t>•</w:t>
      </w:r>
      <w:r>
        <w:tab/>
      </w:r>
      <w:r>
        <w:t>Iwissu lill-Kummissjoni u lill-Istati Membri biex iżommu lura milli jagħtu aċċess preferenzjali għas-suq lin-nazzjonijiet marbuta mas-sajd IUU u ma’ ksur serju tax-xogħol.</w:t>
      </w:r>
    </w:p>
    <w:p>
      <w:pPr>
        <w:pStyle w:val="NormalHangingJustified"/>
      </w:pPr>
      <w:r>
        <w:t>•</w:t>
      </w:r>
      <w:r>
        <w:tab/>
      </w:r>
      <w:r>
        <w:t>Iħeġġu lill-Istati Membri jtejbu l-kondiviżjoni sistematika u f’waqtha ta’ informazzjoni, inkluż vjeġġi rifjutati, li jippermettu lill-awtoritajiet jinfurzaw il-leġiżlazzjoni b’mod aktar effettiv; jenfasizzaw li l-Ftehim dwar il-Miżuri tal-Istat tal-Port jista’ jassisti f’dan il-qasam.</w:t>
      </w:r>
    </w:p>
    <w:p>
      <w:pPr>
        <w:pStyle w:val="NormalHangingJustified"/>
      </w:pPr>
      <w:r>
        <w:t>•</w:t>
      </w:r>
      <w:r>
        <w:tab/>
      </w:r>
      <w:r>
        <w:t>Jenfasizzaw li l-iskemi ta’ ċertifikazzjoni tal-qbid (CDS), imfassla u maqbula mill-Organizzazzjonijiet Reġjonali tal-Ġestjoni tas-Sajd (RFMO), li jeħtieġu li informazzjoni kritika dwar il-vjeġġi tiġi rreġistrata u trasferita tul il-katina tal-provvista, huma għodod ippruvati biex itejbu t-traċċabbiltà u jgħinu fil-ġlieda kontra s-sajd IUU.</w:t>
      </w:r>
    </w:p>
    <w:p>
      <w:pPr>
        <w:pStyle w:val="Normal12a"/>
      </w:pPr>
    </w:p>
    <w:sectPr>
      <w:footnotePr>
        <w:numRestart w:val="eachSect"/>
      </w:footnotePr>
      <w:type w:val="continuous"/>
      <w:pgSz w:w="11906" w:h="16838"/>
      <w:pgMar w:top="1134" w:right="1417" w:bottom="1417" w:left="1417" w:header="1134" w:footer="567" w:gutter="0"/>
      <w:cols w:num="1"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753.497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8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  <w:r>
      <w:tab/>
    </w: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PR\1286110MT.docx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</w:p>
  <w:p>
    <w:pPr>
      <w:pStyle w:val="EPFooter2"/>
    </w:pPr>
    <w:r>
      <w:t>MT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PR\1286110MT.docx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753.497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ab/>
    </w:r>
    <w:r>
      <w:tab/>
    </w:r>
    <w:r>
      <w:t>MT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PR\1286110MT.docx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753.497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>MT</w:t>
    </w:r>
    <w:r>
      <w:tab/>
    </w:r>
    <w:r>
      <w:rPr>
        <w:rStyle w:val="EPFooter2Motto"/>
      </w:rPr>
      <w:t>Magħquda fid-diversità</w:t>
    </w:r>
    <w:r>
      <w:tab/>
    </w:r>
    <w:r>
      <w:t>MT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0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color w:val="0000FF"/>
            <w:u w:val="single" w:color="0000FF"/>
          </w:rPr>
          <w:t>wara li kkunsidra r-Regolament tal-Kunsill (KE) Nru 1005/2008 tad-29 tav Settembru 2008 li jistabbilixxi sistema Komunitarja sabiex tipprevjeni, tiskoraġġixxi u telimina sajd illegali, mhux irrappurtat u mhux irregolat, li jemenda r-Regolamenti (KEE) Nru 2847/93, (KE) Nru 1936/2001 u (KE) Nru 601/2004 u li jħassar ir-Regolamenti (KE) Nru 1093/94 u (KE) Nru 1447/1999 (ĠU L 286, 29.10.2008, p. 1).</w:t>
        </w:r>
      </w:hyperlink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4581"/>
    <w:multiLevelType w:val="hybridMultilevel"/>
    <w:tmpl w:val="F16C6036"/>
    <w:lvl w:ilvl="0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C09CF"/>
    <w:multiLevelType w:val="hybridMultilevel"/>
    <w:tmpl w:val="0DAA9F68"/>
    <w:lvl w:ilvl="0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footnotePr>
    <w:numRestart w:val="eachSect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Comma">
    <w:name w:val="EPComma"/>
    <w:basedOn w:val="Normal"/>
    <w:rsid w:val="006A5366"/>
    <w:pPr>
      <w:spacing w:before="480" w:after="240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TOCRight">
    <w:name w:val="TOC Right"/>
    <w:basedOn w:val="Normal"/>
    <w:rsid w:val="00E839D9"/>
    <w:pPr>
      <w:spacing w:after="240"/>
      <w:jc w:val="right"/>
    </w:pPr>
  </w:style>
  <w:style w:type="paragraph" w:customStyle="1" w:styleId="CoverDateRefPart">
    <w:name w:val="CoverDateRefPart"/>
    <w:basedOn w:val="Normal"/>
    <w:rsid w:val="00C5424C"/>
    <w:pPr>
      <w:spacing w:after="1200"/>
    </w:pPr>
  </w:style>
  <w:style w:type="paragraph" w:customStyle="1" w:styleId="EPName">
    <w:name w:val="EPName"/>
    <w:basedOn w:val="Normal"/>
    <w:rsid w:val="00D16E15"/>
    <w:pPr>
      <w:spacing w:before="80" w:after="80"/>
    </w:pPr>
    <w:rPr>
      <w:rFonts w:ascii="Arial Narrow" w:hAnsi="Arial Narrow" w:cs="Arial"/>
      <w:b/>
      <w:snapToGrid/>
      <w:sz w:val="32"/>
      <w:szCs w:val="22"/>
      <w:lang w:eastAsia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NormalBold">
    <w:name w:val="NormalBold"/>
    <w:basedOn w:val="Normal"/>
    <w:rsid w:val="006A5366"/>
    <w:rPr>
      <w:b/>
    </w:rPr>
  </w:style>
  <w:style w:type="paragraph" w:customStyle="1" w:styleId="CoverReference">
    <w:name w:val="CoverReference"/>
    <w:basedOn w:val="Normal"/>
    <w:rsid w:val="00791131"/>
    <w:pPr>
      <w:spacing w:before="1080"/>
      <w:jc w:val="right"/>
    </w:pPr>
    <w:rPr>
      <w:rFonts w:ascii="Arial" w:hAnsi="Arial" w:cs="Arial"/>
      <w:b/>
    </w:rPr>
  </w:style>
  <w:style w:type="paragraph" w:customStyle="1" w:styleId="CoverNormal24a">
    <w:name w:val="CoverNormal24a"/>
    <w:basedOn w:val="Normal"/>
    <w:rsid w:val="00D20BEB"/>
    <w:pPr>
      <w:spacing w:after="480"/>
      <w:ind w:left="1417"/>
    </w:pPr>
  </w:style>
  <w:style w:type="paragraph" w:styleId="TOC1">
    <w:name w:val="toc 1"/>
    <w:basedOn w:val="Normal"/>
    <w:next w:val="Normal"/>
    <w:autoRedefine/>
    <w:uiPriority w:val="39"/>
    <w:rsid w:val="00E57F92"/>
    <w:pPr>
      <w:spacing w:after="240"/>
    </w:pPr>
  </w:style>
  <w:style w:type="paragraph" w:customStyle="1" w:styleId="TOCPage">
    <w:name w:val="TOC Page"/>
    <w:basedOn w:val="Normal"/>
    <w:next w:val="TOC1"/>
    <w:rsid w:val="004302F8"/>
    <w:pPr>
      <w:keepNext/>
      <w:spacing w:after="24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F03FCA"/>
    <w:pPr>
      <w:spacing w:after="480"/>
      <w:ind w:left="1418"/>
    </w:pPr>
    <w:rPr>
      <w:rFonts w:ascii="Arial" w:hAnsi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customStyle="1" w:styleId="NormalHanging12a">
    <w:name w:val="NormalHanging12a"/>
    <w:basedOn w:val="Normal"/>
    <w:rsid w:val="00572801"/>
    <w:pPr>
      <w:widowControl/>
      <w:spacing w:after="240"/>
      <w:ind w:left="567" w:hanging="567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customStyle="1" w:styleId="PageHeading">
    <w:name w:val="PageHeading"/>
    <w:basedOn w:val="Normal"/>
    <w:rsid w:val="00F03FCA"/>
    <w:pPr>
      <w:keepNext/>
      <w:spacing w:after="480"/>
      <w:jc w:val="center"/>
    </w:pPr>
    <w:rPr>
      <w:rFonts w:ascii="Arial" w:hAnsi="Arial" w:cs="Arial"/>
      <w:b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TOCSubHeading">
    <w:name w:val="TOC SubHeading"/>
    <w:basedOn w:val="Normal"/>
    <w:rsid w:val="00F03FCA"/>
    <w:pPr>
      <w:spacing w:before="480" w:after="240"/>
    </w:pPr>
    <w:rPr>
      <w:b/>
    </w:rPr>
  </w:style>
  <w:style w:type="paragraph" w:customStyle="1" w:styleId="TOCTabLeader">
    <w:name w:val="TOC TabLeader"/>
    <w:basedOn w:val="Normal"/>
    <w:rsid w:val="00E839D9"/>
    <w:pPr>
      <w:tabs>
        <w:tab w:val="left" w:leader="dot" w:pos="5954"/>
      </w:tabs>
      <w:spacing w:after="240"/>
    </w:pPr>
  </w:style>
  <w:style w:type="paragraph" w:customStyle="1" w:styleId="CoverNormalHanging">
    <w:name w:val="CoverNormalHanging"/>
    <w:basedOn w:val="Normal"/>
    <w:rsid w:val="00BF1100"/>
    <w:pPr>
      <w:ind w:left="3686" w:hanging="2268"/>
    </w:pPr>
  </w:style>
  <w:style w:type="paragraph" w:styleId="TOCHeading">
    <w:name w:val="TOC Heading"/>
    <w:basedOn w:val="Normal"/>
    <w:next w:val="TOCPage"/>
    <w:rsid w:val="007F2104"/>
    <w:pPr>
      <w:keepNext/>
      <w:spacing w:before="240" w:after="240"/>
      <w:jc w:val="center"/>
    </w:pPr>
    <w:rPr>
      <w:rFonts w:ascii="Arial" w:hAnsi="Arial"/>
      <w:b/>
      <w:snapToGrid/>
      <w:lang w:eastAsia="en-GB"/>
    </w:rPr>
  </w:style>
  <w:style w:type="table" w:styleId="TableGrid">
    <w:name w:val="Table Grid"/>
    <w:basedOn w:val="TableNormal"/>
    <w:rsid w:val="00F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F03FCA"/>
    <w:pPr>
      <w:jc w:val="center"/>
    </w:pPr>
    <w:rPr>
      <w:rFonts w:ascii="Arial" w:hAnsi="Arial" w:cs="Arial"/>
      <w:i/>
      <w:snapToGrid/>
      <w:sz w:val="22"/>
      <w:szCs w:val="22"/>
      <w:lang w:eastAsia="en-GB"/>
    </w:rPr>
  </w:style>
  <w:style w:type="paragraph" w:customStyle="1" w:styleId="LineTop">
    <w:name w:val="LineTop"/>
    <w:basedOn w:val="Normal"/>
    <w:next w:val="Normal"/>
    <w:rsid w:val="00F732B6"/>
    <w:pPr>
      <w:pBdr>
        <w:top w:val="single" w:sz="4" w:space="1" w:color="auto"/>
      </w:pBdr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LineBottom">
    <w:name w:val="LineBottom"/>
    <w:basedOn w:val="Normal"/>
    <w:next w:val="Normal"/>
    <w:rsid w:val="00791131"/>
    <w:pPr>
      <w:pBdr>
        <w:bottom w:val="single" w:sz="4" w:space="1" w:color="auto"/>
      </w:pBdr>
      <w:spacing w:after="240"/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EPTerm">
    <w:name w:val="EPTerm"/>
    <w:basedOn w:val="Normal"/>
    <w:next w:val="Normal"/>
    <w:rsid w:val="00D16E15"/>
    <w:pPr>
      <w:spacing w:after="80"/>
    </w:pPr>
    <w:rPr>
      <w:rFonts w:ascii="Arial" w:hAnsi="Arial" w:cs="Arial"/>
      <w:snapToGrid/>
      <w:sz w:val="20"/>
      <w:szCs w:val="22"/>
      <w:lang w:eastAsia="en-GB"/>
    </w:rPr>
  </w:style>
  <w:style w:type="paragraph" w:customStyle="1" w:styleId="EPLogo">
    <w:name w:val="EPLogo"/>
    <w:basedOn w:val="Normal"/>
    <w:qFormat/>
    <w:rsid w:val="00D16E15"/>
    <w:pPr>
      <w:jc w:val="right"/>
    </w:pPr>
    <w:rPr>
      <w:snapToGrid/>
      <w:lang w:eastAsia="en-GB"/>
    </w:rPr>
  </w:style>
  <w:style w:type="paragraph" w:customStyle="1" w:styleId="CoverRefPart">
    <w:name w:val="CoverRefPart"/>
    <w:basedOn w:val="Normal"/>
    <w:rsid w:val="00577455"/>
    <w:pPr>
      <w:jc w:val="right"/>
    </w:pPr>
    <w:rPr>
      <w:rFonts w:ascii="Arial" w:hAnsi="Arial"/>
    </w:rPr>
  </w:style>
  <w:style w:type="paragraph" w:customStyle="1" w:styleId="Subheading">
    <w:name w:val="Subheading"/>
    <w:basedOn w:val="Normal"/>
    <w:rsid w:val="0065571D"/>
    <w:pPr>
      <w:spacing w:before="480" w:after="240"/>
    </w:pPr>
    <w:rPr>
      <w:b/>
      <w:bCs/>
      <w:i/>
      <w:iCs/>
    </w:rPr>
  </w:style>
  <w:style w:type="paragraph" w:customStyle="1" w:styleId="EPFooter">
    <w:name w:val="EPFooter"/>
    <w:basedOn w:val="Normal"/>
    <w:rsid w:val="007C663F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Header">
    <w:name w:val="header"/>
    <w:basedOn w:val="Normal"/>
    <w:link w:val="HeaderChar"/>
    <w:semiHidden/>
    <w:rsid w:val="007C66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791131"/>
    <w:rPr>
      <w:snapToGrid w:val="0"/>
      <w:sz w:val="24"/>
      <w:lang w:eastAsia="en-US"/>
    </w:rPr>
  </w:style>
  <w:style w:type="character" w:styleId="PageNumber">
    <w:name w:val="page number"/>
    <w:basedOn w:val="DefaultParagraphFont"/>
    <w:semiHidden/>
    <w:rsid w:val="00131752"/>
  </w:style>
  <w:style w:type="paragraph" w:customStyle="1" w:styleId="AmColumnHeading">
    <w:name w:val="AmColumnHeading"/>
    <w:basedOn w:val="Normal"/>
    <w:rsid w:val="00B47478"/>
    <w:pPr>
      <w:spacing w:after="240"/>
      <w:jc w:val="center"/>
    </w:pPr>
    <w:rPr>
      <w:i/>
      <w:snapToGrid/>
      <w:lang w:eastAsia="en-GB"/>
    </w:rPr>
  </w:style>
  <w:style w:type="paragraph" w:customStyle="1" w:styleId="AmCrossRef">
    <w:name w:val="AmCrossRef"/>
    <w:basedOn w:val="Normal"/>
    <w:rsid w:val="00B47478"/>
    <w:pPr>
      <w:spacing w:before="240" w:after="240"/>
      <w:jc w:val="center"/>
    </w:pPr>
    <w:rPr>
      <w:i/>
      <w:snapToGrid/>
      <w:lang w:eastAsia="en-GB"/>
    </w:rPr>
  </w:style>
  <w:style w:type="paragraph" w:customStyle="1" w:styleId="AmJustText">
    <w:name w:val="AmJustText"/>
    <w:basedOn w:val="Normal"/>
    <w:rsid w:val="00B47478"/>
    <w:pPr>
      <w:spacing w:after="240"/>
    </w:pPr>
    <w:rPr>
      <w:i/>
      <w:snapToGrid/>
      <w:lang w:eastAsia="en-GB"/>
    </w:rPr>
  </w:style>
  <w:style w:type="paragraph" w:customStyle="1" w:styleId="AmJustTitle">
    <w:name w:val="AmJustTitle"/>
    <w:basedOn w:val="Normal"/>
    <w:next w:val="AmJustText"/>
    <w:rsid w:val="00B47478"/>
    <w:pPr>
      <w:keepNext/>
      <w:spacing w:before="240" w:after="240"/>
      <w:jc w:val="center"/>
    </w:pPr>
    <w:rPr>
      <w:i/>
      <w:snapToGrid/>
      <w:lang w:eastAsia="en-GB"/>
    </w:rPr>
  </w:style>
  <w:style w:type="paragraph" w:customStyle="1" w:styleId="AmNumberTabs">
    <w:name w:val="AmNumberTabs"/>
    <w:basedOn w:val="Normal"/>
    <w:rsid w:val="00B474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napToGrid/>
      <w:lang w:eastAsia="en-GB"/>
    </w:rPr>
  </w:style>
  <w:style w:type="paragraph" w:customStyle="1" w:styleId="AmOrLang">
    <w:name w:val="AmOrLang"/>
    <w:basedOn w:val="Normal"/>
    <w:rsid w:val="00B47478"/>
    <w:pPr>
      <w:spacing w:before="240" w:after="240"/>
      <w:jc w:val="right"/>
    </w:pPr>
    <w:rPr>
      <w:snapToGrid/>
      <w:lang w:eastAsia="en-GB"/>
    </w:rPr>
  </w:style>
  <w:style w:type="paragraph" w:customStyle="1" w:styleId="AnnexWPDate">
    <w:name w:val="AnnexWPDate"/>
    <w:basedOn w:val="Normal"/>
    <w:rsid w:val="00B47478"/>
    <w:pPr>
      <w:spacing w:before="240" w:after="480"/>
      <w:jc w:val="right"/>
    </w:pPr>
    <w:rPr>
      <w:snapToGrid/>
      <w:lang w:eastAsia="en-GB"/>
    </w:rPr>
  </w:style>
  <w:style w:type="paragraph" w:customStyle="1" w:styleId="AnnexWPDocType">
    <w:name w:val="AnnexWPDocType"/>
    <w:basedOn w:val="Normal"/>
    <w:rsid w:val="00B47478"/>
    <w:pPr>
      <w:spacing w:after="240"/>
      <w:jc w:val="center"/>
    </w:pPr>
    <w:rPr>
      <w:b/>
      <w:snapToGrid/>
      <w:lang w:eastAsia="en-GB"/>
    </w:rPr>
  </w:style>
  <w:style w:type="paragraph" w:customStyle="1" w:styleId="AnnexWPLogo">
    <w:name w:val="AnnexWPLogo"/>
    <w:basedOn w:val="Normal"/>
    <w:rsid w:val="00B47478"/>
    <w:pPr>
      <w:spacing w:before="120" w:after="120"/>
    </w:pPr>
    <w:rPr>
      <w:snapToGrid/>
      <w:lang w:eastAsia="en-GB"/>
    </w:rPr>
  </w:style>
  <w:style w:type="paragraph" w:customStyle="1" w:styleId="AnnexWPSmall">
    <w:name w:val="AnnexWPSmall"/>
    <w:basedOn w:val="Normal"/>
    <w:rsid w:val="00B47478"/>
    <w:rPr>
      <w:smallCaps/>
      <w:snapToGrid/>
      <w:sz w:val="20"/>
      <w:lang w:eastAsia="en-GB"/>
    </w:rPr>
  </w:style>
  <w:style w:type="paragraph" w:customStyle="1" w:styleId="AnnexWPTabs">
    <w:name w:val="AnnexWPTabs"/>
    <w:basedOn w:val="Normal"/>
    <w:rsid w:val="00B47478"/>
    <w:pPr>
      <w:tabs>
        <w:tab w:val="right" w:pos="3686"/>
        <w:tab w:val="left" w:pos="3827"/>
      </w:tabs>
    </w:pPr>
    <w:rPr>
      <w:b/>
      <w:snapToGrid/>
      <w:lang w:eastAsia="en-GB"/>
    </w:rPr>
  </w:style>
  <w:style w:type="paragraph" w:customStyle="1" w:styleId="AnnexWPTitle">
    <w:name w:val="AnnexWPTitle"/>
    <w:basedOn w:val="Normal"/>
    <w:rsid w:val="00B47478"/>
    <w:pPr>
      <w:spacing w:before="480"/>
    </w:pPr>
    <w:rPr>
      <w:b/>
      <w:snapToGrid/>
      <w:lang w:eastAsia="en-GB"/>
    </w:rPr>
  </w:style>
  <w:style w:type="paragraph" w:customStyle="1" w:styleId="AmHeadingConsam">
    <w:name w:val="AmHeadingConsam"/>
    <w:basedOn w:val="Normal"/>
    <w:next w:val="Normal"/>
    <w:rsid w:val="00B47478"/>
    <w:pPr>
      <w:spacing w:before="720" w:after="240"/>
      <w:jc w:val="center"/>
    </w:pPr>
    <w:rPr>
      <w:snapToGrid/>
      <w:lang w:eastAsia="en-GB"/>
    </w:rPr>
  </w:style>
  <w:style w:type="paragraph" w:customStyle="1" w:styleId="CoverNormal12a">
    <w:name w:val="CoverNormal12a"/>
    <w:basedOn w:val="Normal"/>
    <w:rsid w:val="00B47478"/>
    <w:pPr>
      <w:spacing w:after="240"/>
      <w:ind w:left="1418"/>
    </w:pPr>
    <w:rPr>
      <w:snapToGrid/>
      <w:lang w:eastAsia="en-GB"/>
    </w:rPr>
  </w:style>
  <w:style w:type="paragraph" w:customStyle="1" w:styleId="Confidential">
    <w:name w:val="Confidential"/>
    <w:basedOn w:val="Normal"/>
    <w:rsid w:val="00B47478"/>
    <w:pPr>
      <w:spacing w:before="120" w:after="120"/>
      <w:jc w:val="center"/>
    </w:pPr>
    <w:rPr>
      <w:rFonts w:ascii="Arial" w:hAnsi="Arial"/>
      <w:caps/>
      <w:snapToGrid/>
      <w:lang w:eastAsia="en-GB"/>
    </w:rPr>
  </w:style>
  <w:style w:type="paragraph" w:customStyle="1" w:styleId="CoverReferenceIMM">
    <w:name w:val="CoverReferenceIMM"/>
    <w:basedOn w:val="Normal"/>
    <w:rsid w:val="00B47478"/>
    <w:pPr>
      <w:spacing w:before="360"/>
      <w:jc w:val="right"/>
    </w:pPr>
    <w:rPr>
      <w:rFonts w:ascii="Arial" w:hAnsi="Arial"/>
      <w:b/>
      <w:snapToGrid/>
      <w:lang w:eastAsia="en-GB"/>
    </w:rPr>
  </w:style>
  <w:style w:type="paragraph" w:customStyle="1" w:styleId="CoverDate">
    <w:name w:val="CoverDate"/>
    <w:basedOn w:val="Normal"/>
    <w:rsid w:val="00B47478"/>
    <w:pPr>
      <w:spacing w:before="240" w:after="1200"/>
    </w:pPr>
    <w:rPr>
      <w:snapToGrid/>
      <w:lang w:eastAsia="en-GB"/>
    </w:rPr>
  </w:style>
  <w:style w:type="paragraph" w:customStyle="1" w:styleId="CoverDocType">
    <w:name w:val="CoverDocType"/>
    <w:basedOn w:val="Normal"/>
    <w:rsid w:val="00B47478"/>
    <w:pPr>
      <w:ind w:left="1418"/>
    </w:pPr>
    <w:rPr>
      <w:rFonts w:ascii="Arial" w:hAnsi="Arial"/>
      <w:b/>
      <w:snapToGrid/>
      <w:sz w:val="48"/>
      <w:lang w:eastAsia="en-GB"/>
    </w:rPr>
  </w:style>
  <w:style w:type="character" w:styleId="FootnoteReference">
    <w:name w:val="footnote reference"/>
    <w:rsid w:val="00B47478"/>
    <w:rPr>
      <w:vertAlign w:val="superscript"/>
    </w:rPr>
  </w:style>
  <w:style w:type="paragraph" w:customStyle="1" w:styleId="NormalBold12a">
    <w:name w:val="NormalBold12a"/>
    <w:basedOn w:val="Normal"/>
    <w:rsid w:val="00B47478"/>
    <w:pPr>
      <w:spacing w:after="240"/>
    </w:pPr>
    <w:rPr>
      <w:b/>
      <w:snapToGrid/>
      <w:lang w:eastAsia="en-GB"/>
    </w:rPr>
  </w:style>
  <w:style w:type="paragraph" w:customStyle="1" w:styleId="NormalCenter12a">
    <w:name w:val="NormalCenter12a"/>
    <w:basedOn w:val="Normal"/>
    <w:rsid w:val="00B47478"/>
    <w:pPr>
      <w:spacing w:after="240"/>
      <w:jc w:val="center"/>
    </w:pPr>
    <w:rPr>
      <w:snapToGrid/>
      <w:lang w:eastAsia="en-GB"/>
    </w:rPr>
  </w:style>
  <w:style w:type="paragraph" w:customStyle="1" w:styleId="Normal6a">
    <w:name w:val="Normal6a"/>
    <w:basedOn w:val="Normal"/>
    <w:rsid w:val="00B47478"/>
    <w:pPr>
      <w:spacing w:after="120"/>
    </w:pPr>
    <w:rPr>
      <w:snapToGrid/>
      <w:lang w:eastAsia="en-GB"/>
    </w:rPr>
  </w:style>
  <w:style w:type="paragraph" w:customStyle="1" w:styleId="NormalBold12b">
    <w:name w:val="NormalBold12b"/>
    <w:basedOn w:val="Normal"/>
    <w:rsid w:val="00B47478"/>
    <w:pPr>
      <w:spacing w:before="240"/>
    </w:pPr>
    <w:rPr>
      <w:b/>
      <w:snapToGrid/>
      <w:lang w:eastAsia="en-GB"/>
    </w:rPr>
  </w:style>
  <w:style w:type="paragraph" w:customStyle="1" w:styleId="Arial14CentreBold">
    <w:name w:val="Arial14CentreBold"/>
    <w:basedOn w:val="Normal"/>
    <w:qFormat/>
    <w:rsid w:val="00A75A20"/>
    <w:pPr>
      <w:jc w:val="center"/>
    </w:pPr>
    <w:rPr>
      <w:rFonts w:ascii="Arial" w:hAnsi="Arial" w:cs="Arial"/>
      <w:b/>
      <w:snapToGrid/>
      <w:sz w:val="28"/>
      <w:szCs w:val="28"/>
      <w:lang w:eastAsia="en-GB"/>
    </w:rPr>
  </w:style>
  <w:style w:type="character" w:customStyle="1" w:styleId="Bold">
    <w:name w:val="Bold"/>
    <w:uiPriority w:val="1"/>
    <w:rsid w:val="0065571D"/>
    <w:rPr>
      <w:b/>
    </w:rPr>
  </w:style>
  <w:style w:type="character" w:customStyle="1" w:styleId="BoldItalic">
    <w:name w:val="BoldItalic"/>
    <w:uiPriority w:val="1"/>
    <w:rsid w:val="0065571D"/>
    <w:rPr>
      <w:b/>
      <w:i/>
      <w:u w:val="none"/>
    </w:rPr>
  </w:style>
  <w:style w:type="character" w:customStyle="1" w:styleId="BoldItalicUnderline">
    <w:name w:val="BoldItalicUnderline"/>
    <w:uiPriority w:val="1"/>
    <w:rsid w:val="0065571D"/>
    <w:rPr>
      <w:b/>
      <w:i/>
      <w:u w:val="single"/>
    </w:rPr>
  </w:style>
  <w:style w:type="character" w:customStyle="1" w:styleId="BoldUnderline">
    <w:name w:val="BoldUnderline"/>
    <w:uiPriority w:val="1"/>
    <w:rsid w:val="0065571D"/>
    <w:rPr>
      <w:b/>
      <w:u w:val="single"/>
    </w:rPr>
  </w:style>
  <w:style w:type="paragraph" w:customStyle="1" w:styleId="CoverNormalLeft">
    <w:name w:val="CoverNormalLeft"/>
    <w:basedOn w:val="CoverNormal"/>
    <w:qFormat/>
    <w:rsid w:val="00A75A20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A75A2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2707F5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A75A20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65571D"/>
    <w:rPr>
      <w:i/>
    </w:rPr>
  </w:style>
  <w:style w:type="character" w:customStyle="1" w:styleId="ItalicUnderline">
    <w:name w:val="ItalicUnderline"/>
    <w:uiPriority w:val="1"/>
    <w:rsid w:val="0065571D"/>
    <w:rPr>
      <w:i/>
      <w:u w:val="single"/>
    </w:rPr>
  </w:style>
  <w:style w:type="paragraph" w:customStyle="1" w:styleId="LegendSign">
    <w:name w:val="LegendSign"/>
    <w:basedOn w:val="Normal"/>
    <w:qFormat/>
    <w:rsid w:val="00A75A20"/>
    <w:pPr>
      <w:tabs>
        <w:tab w:val="right" w:pos="454"/>
        <w:tab w:val="left" w:pos="737"/>
      </w:tabs>
      <w:ind w:left="737" w:hanging="737"/>
    </w:pPr>
    <w:rPr>
      <w:snapToGrid/>
      <w:sz w:val="18"/>
      <w:lang w:eastAsia="en-GB"/>
    </w:rPr>
  </w:style>
  <w:style w:type="paragraph" w:customStyle="1" w:styleId="LegendStandard">
    <w:name w:val="LegendStandard"/>
    <w:basedOn w:val="LegendSign"/>
    <w:qFormat/>
    <w:rsid w:val="00A75A20"/>
    <w:pPr>
      <w:ind w:left="0" w:firstLine="0"/>
    </w:pPr>
  </w:style>
  <w:style w:type="paragraph" w:customStyle="1" w:styleId="LegendTitle">
    <w:name w:val="LegendTitle"/>
    <w:basedOn w:val="Normal"/>
    <w:qFormat/>
    <w:rsid w:val="00A75A20"/>
    <w:pPr>
      <w:spacing w:before="240" w:after="240"/>
    </w:pPr>
    <w:rPr>
      <w:b/>
      <w:i/>
      <w:snapToGrid/>
      <w:lang w:eastAsia="en-GB"/>
    </w:rPr>
  </w:style>
  <w:style w:type="character" w:customStyle="1" w:styleId="HideTermComment">
    <w:name w:val="HideTermComment"/>
    <w:uiPriority w:val="1"/>
    <w:qFormat/>
    <w:rsid w:val="00A75A20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A75A20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031EA2"/>
    <w:pPr>
      <w:spacing w:after="240"/>
    </w:pPr>
    <w:rPr>
      <w:snapToGrid/>
      <w:lang w:eastAsia="en-GB"/>
    </w:rPr>
  </w:style>
  <w:style w:type="paragraph" w:customStyle="1" w:styleId="Normal12b">
    <w:name w:val="Normal12b"/>
    <w:basedOn w:val="Normal"/>
    <w:qFormat/>
    <w:rsid w:val="00A75A20"/>
    <w:pPr>
      <w:spacing w:before="240"/>
    </w:pPr>
    <w:rPr>
      <w:snapToGrid/>
      <w:lang w:eastAsia="en-GB"/>
    </w:rPr>
  </w:style>
  <w:style w:type="paragraph" w:customStyle="1" w:styleId="NormalBoldUnderline24b">
    <w:name w:val="NormalBoldUnderline24b"/>
    <w:basedOn w:val="Normal"/>
    <w:qFormat/>
    <w:rsid w:val="001038F2"/>
    <w:pPr>
      <w:spacing w:before="480"/>
    </w:pPr>
    <w:rPr>
      <w:b/>
      <w:snapToGrid/>
      <w:u w:val="single"/>
      <w:lang w:eastAsia="en-GB"/>
    </w:rPr>
  </w:style>
  <w:style w:type="paragraph" w:customStyle="1" w:styleId="NormalBoldUnderline24b12a">
    <w:name w:val="NormalBoldUnderline24b12a"/>
    <w:basedOn w:val="NormalBoldUnderline24b"/>
    <w:qFormat/>
    <w:rsid w:val="00A75A20"/>
    <w:pPr>
      <w:spacing w:after="240"/>
    </w:pPr>
  </w:style>
  <w:style w:type="paragraph" w:customStyle="1" w:styleId="Normal12aBullet1">
    <w:name w:val="Normal12aBullet1"/>
    <w:basedOn w:val="Normal"/>
    <w:qFormat/>
    <w:rsid w:val="00A75A20"/>
    <w:pPr>
      <w:widowControl/>
      <w:numPr>
        <w:numId w:val="1"/>
      </w:numPr>
    </w:pPr>
    <w:rPr>
      <w:snapToGrid/>
      <w:lang w:eastAsia="en-GB"/>
    </w:rPr>
  </w:style>
  <w:style w:type="paragraph" w:customStyle="1" w:styleId="Normal12aBullet2">
    <w:name w:val="Normal12aBullet2"/>
    <w:basedOn w:val="Normal"/>
    <w:qFormat/>
    <w:rsid w:val="00A75A20"/>
    <w:pPr>
      <w:numPr>
        <w:numId w:val="2"/>
      </w:numPr>
    </w:pPr>
    <w:rPr>
      <w:snapToGrid/>
      <w:lang w:eastAsia="en-GB"/>
    </w:rPr>
  </w:style>
  <w:style w:type="paragraph" w:customStyle="1" w:styleId="NormalHanging12a1">
    <w:name w:val="NormalHanging12a1"/>
    <w:basedOn w:val="Normal"/>
    <w:qFormat/>
    <w:rsid w:val="00C668A5"/>
    <w:pPr>
      <w:spacing w:after="240"/>
      <w:ind w:left="992" w:hanging="425"/>
    </w:pPr>
    <w:rPr>
      <w:snapToGrid/>
      <w:lang w:eastAsia="en-GB"/>
    </w:rPr>
  </w:style>
  <w:style w:type="paragraph" w:customStyle="1" w:styleId="NormalHanging12a2">
    <w:name w:val="NormalHanging12a2"/>
    <w:basedOn w:val="NormalHanging12a1"/>
    <w:qFormat/>
    <w:rsid w:val="00A75A20"/>
    <w:pPr>
      <w:ind w:left="1417"/>
    </w:pPr>
  </w:style>
  <w:style w:type="paragraph" w:customStyle="1" w:styleId="NormalHanging12a3">
    <w:name w:val="NormalHanging12a3"/>
    <w:basedOn w:val="NormalHanging12a2"/>
    <w:qFormat/>
    <w:rsid w:val="00A75A20"/>
    <w:pPr>
      <w:ind w:left="1843"/>
    </w:pPr>
  </w:style>
  <w:style w:type="paragraph" w:customStyle="1" w:styleId="NormalHanging12a4">
    <w:name w:val="NormalHanging12a4"/>
    <w:basedOn w:val="NormalHanging12a3"/>
    <w:qFormat/>
    <w:rsid w:val="00A75A20"/>
    <w:pPr>
      <w:ind w:left="2268"/>
    </w:pPr>
  </w:style>
  <w:style w:type="paragraph" w:customStyle="1" w:styleId="NormalHanging12a5">
    <w:name w:val="NormalHanging12a5"/>
    <w:basedOn w:val="NormalHanging12a4"/>
    <w:qFormat/>
    <w:rsid w:val="00A75A20"/>
    <w:pPr>
      <w:ind w:left="2693"/>
    </w:pPr>
  </w:style>
  <w:style w:type="paragraph" w:customStyle="1" w:styleId="NormalHanging12a6">
    <w:name w:val="NormalHanging12a6"/>
    <w:basedOn w:val="NormalHanging12a5"/>
    <w:qFormat/>
    <w:rsid w:val="00A75A20"/>
    <w:pPr>
      <w:ind w:left="3118"/>
    </w:pPr>
  </w:style>
  <w:style w:type="paragraph" w:customStyle="1" w:styleId="NormalHanging12a7">
    <w:name w:val="NormalHanging12a7"/>
    <w:basedOn w:val="NormalHanging12a6"/>
    <w:qFormat/>
    <w:rsid w:val="00A75A20"/>
    <w:pPr>
      <w:ind w:left="3544"/>
    </w:pPr>
  </w:style>
  <w:style w:type="paragraph" w:customStyle="1" w:styleId="NormalHangingCenter">
    <w:name w:val="NormalHangingCenter"/>
    <w:basedOn w:val="Normal"/>
    <w:qFormat/>
    <w:rsid w:val="00BC0B6B"/>
    <w:pPr>
      <w:spacing w:after="240"/>
      <w:ind w:left="567" w:hanging="567"/>
      <w:jc w:val="center"/>
    </w:pPr>
    <w:rPr>
      <w:snapToGrid/>
      <w:lang w:eastAsia="en-GB"/>
    </w:rPr>
  </w:style>
  <w:style w:type="paragraph" w:customStyle="1" w:styleId="NormalHangingJustified">
    <w:name w:val="NormalHangingJustified"/>
    <w:basedOn w:val="Normal"/>
    <w:qFormat/>
    <w:rsid w:val="00BC0B6B"/>
    <w:pPr>
      <w:spacing w:after="240"/>
      <w:ind w:left="714" w:hanging="357"/>
      <w:jc w:val="both"/>
    </w:pPr>
    <w:rPr>
      <w:snapToGrid/>
      <w:lang w:eastAsia="en-GB"/>
    </w:rPr>
  </w:style>
  <w:style w:type="paragraph" w:customStyle="1" w:styleId="NormalUnderline24b12a">
    <w:name w:val="NormalUnderline24b12a"/>
    <w:basedOn w:val="EPComma"/>
    <w:qFormat/>
    <w:rsid w:val="00A75A20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A75A20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A75A20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A75A20"/>
    <w:rPr>
      <w:b/>
      <w:i/>
    </w:rPr>
  </w:style>
  <w:style w:type="paragraph" w:customStyle="1" w:styleId="NormalBoldItalicCenter6a">
    <w:name w:val="NormalBoldItalicCenter6a"/>
    <w:basedOn w:val="Normal6a"/>
    <w:qFormat/>
    <w:rsid w:val="00A75A20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A75A20"/>
    <w:rPr>
      <w:i/>
    </w:rPr>
  </w:style>
  <w:style w:type="paragraph" w:customStyle="1" w:styleId="PageHeadingNotTOC">
    <w:name w:val="PageHeadingNotTOC"/>
    <w:basedOn w:val="PageHeading"/>
    <w:rsid w:val="00A75A20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65571D"/>
    <w:rPr>
      <w:vertAlign w:val="subscript"/>
    </w:rPr>
  </w:style>
  <w:style w:type="character" w:customStyle="1" w:styleId="SubBold">
    <w:name w:val="SubBold"/>
    <w:uiPriority w:val="1"/>
    <w:qFormat/>
    <w:rsid w:val="0065571D"/>
    <w:rPr>
      <w:b/>
      <w:vertAlign w:val="subscript"/>
    </w:rPr>
  </w:style>
  <w:style w:type="character" w:customStyle="1" w:styleId="SubBoldItalic">
    <w:name w:val="SubBoldItalic"/>
    <w:uiPriority w:val="1"/>
    <w:rsid w:val="0065571D"/>
    <w:rPr>
      <w:b/>
      <w:i/>
      <w:vertAlign w:val="subscript"/>
    </w:rPr>
  </w:style>
  <w:style w:type="character" w:customStyle="1" w:styleId="SubItalic">
    <w:name w:val="SubItalic"/>
    <w:uiPriority w:val="1"/>
    <w:qFormat/>
    <w:rsid w:val="0065571D"/>
    <w:rPr>
      <w:b/>
      <w:i/>
      <w:vertAlign w:val="subscript"/>
    </w:rPr>
  </w:style>
  <w:style w:type="character" w:customStyle="1" w:styleId="Sup">
    <w:name w:val="Sup"/>
    <w:uiPriority w:val="1"/>
    <w:rsid w:val="0065571D"/>
    <w:rPr>
      <w:vertAlign w:val="superscript"/>
    </w:rPr>
  </w:style>
  <w:style w:type="character" w:customStyle="1" w:styleId="SupBoldItalic">
    <w:name w:val="SupBoldItalic"/>
    <w:uiPriority w:val="1"/>
    <w:qFormat/>
    <w:rsid w:val="0065571D"/>
    <w:rPr>
      <w:b/>
      <w:i/>
      <w:vertAlign w:val="superscript"/>
    </w:rPr>
  </w:style>
  <w:style w:type="character" w:customStyle="1" w:styleId="Underline">
    <w:name w:val="Underline"/>
    <w:uiPriority w:val="1"/>
    <w:rsid w:val="0065571D"/>
    <w:rPr>
      <w:u w:val="single"/>
    </w:rPr>
  </w:style>
  <w:style w:type="paragraph" w:customStyle="1" w:styleId="NormalBoldCenter">
    <w:name w:val="NormalBoldCenter"/>
    <w:basedOn w:val="Normal"/>
    <w:rsid w:val="00880359"/>
    <w:pPr>
      <w:jc w:val="center"/>
    </w:pPr>
    <w:rPr>
      <w:b/>
      <w:snapToGrid/>
      <w:lang w:eastAsia="en-GB"/>
    </w:rPr>
  </w:style>
  <w:style w:type="paragraph" w:customStyle="1" w:styleId="ProcedureTable">
    <w:name w:val="ProcedureTable"/>
    <w:basedOn w:val="Normal"/>
    <w:rsid w:val="008572D4"/>
    <w:rPr>
      <w:snapToGrid/>
      <w:sz w:val="20"/>
      <w:lang w:eastAsia="en-GB"/>
    </w:rPr>
  </w:style>
  <w:style w:type="paragraph" w:customStyle="1" w:styleId="ProcedureTableBold">
    <w:name w:val="ProcedureTableBold"/>
    <w:basedOn w:val="Normal"/>
    <w:rsid w:val="008572D4"/>
    <w:rPr>
      <w:b/>
      <w:snapToGrid/>
      <w:sz w:val="20"/>
      <w:lang w:eastAsia="en-GB"/>
    </w:rPr>
  </w:style>
  <w:style w:type="paragraph" w:customStyle="1" w:styleId="NormalCenter">
    <w:name w:val="NormalCenter"/>
    <w:basedOn w:val="Normal"/>
    <w:rsid w:val="00314D1A"/>
    <w:pPr>
      <w:jc w:val="center"/>
    </w:pPr>
    <w:rPr>
      <w:snapToGrid/>
      <w:lang w:eastAsia="en-GB"/>
    </w:rPr>
  </w:style>
  <w:style w:type="character" w:customStyle="1" w:styleId="SubBoldItalicUnderline">
    <w:name w:val="SubBoldItalicUnderline"/>
    <w:uiPriority w:val="1"/>
    <w:rsid w:val="0065571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65571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65571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65571D"/>
    <w:rPr>
      <w:u w:val="single"/>
      <w:vertAlign w:val="subscript"/>
    </w:rPr>
  </w:style>
  <w:style w:type="character" w:customStyle="1" w:styleId="SupBold">
    <w:name w:val="SupBold"/>
    <w:uiPriority w:val="1"/>
    <w:rsid w:val="0065571D"/>
    <w:rPr>
      <w:b/>
      <w:vertAlign w:val="superscript"/>
    </w:rPr>
  </w:style>
  <w:style w:type="character" w:customStyle="1" w:styleId="SupBoldItalicUnderline">
    <w:name w:val="SupBoldItalicUnderline"/>
    <w:uiPriority w:val="1"/>
    <w:rsid w:val="0065571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65571D"/>
    <w:rPr>
      <w:b/>
      <w:u w:val="single"/>
      <w:vertAlign w:val="superscript"/>
    </w:rPr>
  </w:style>
  <w:style w:type="character" w:customStyle="1" w:styleId="SupItalic">
    <w:name w:val="SupItalic"/>
    <w:uiPriority w:val="1"/>
    <w:rsid w:val="0065571D"/>
    <w:rPr>
      <w:i/>
      <w:vertAlign w:val="superscript"/>
    </w:rPr>
  </w:style>
  <w:style w:type="character" w:customStyle="1" w:styleId="SupItalicUnderline">
    <w:name w:val="SupItalicUnderline"/>
    <w:uiPriority w:val="1"/>
    <w:rsid w:val="0065571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65571D"/>
    <w:rPr>
      <w:u w:val="single"/>
      <w:vertAlign w:val="superscript"/>
    </w:rPr>
  </w:style>
  <w:style w:type="paragraph" w:customStyle="1" w:styleId="Normal24a">
    <w:name w:val="Normal24a"/>
    <w:basedOn w:val="Normal"/>
    <w:rsid w:val="00B140D0"/>
    <w:pPr>
      <w:spacing w:after="480"/>
    </w:pPr>
    <w:rPr>
      <w:snapToGrid/>
      <w:lang w:eastAsia="en-GB"/>
    </w:rPr>
  </w:style>
  <w:style w:type="paragraph" w:customStyle="1" w:styleId="Normal12a24b">
    <w:name w:val="Normal12a24b"/>
    <w:basedOn w:val="Normal"/>
    <w:rsid w:val="00D46F6C"/>
    <w:pPr>
      <w:spacing w:before="36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numbering" Target="numbering.xml" /></Relationships>
</file>

<file path=word/_rels/foot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08/1005/oj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9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1286110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UID">
    <vt:lpwstr>20231016-174906-007661-935590</vt:lpwstr>
  </property>
  <property fmtid="{D5CDD505-2E9C-101B-9397-08002B2CF9AE}" pid="7" name="FooterPath">
    <vt:lpwstr>PR\1286110MT.doc</vt:lpwstr>
  </property>
  <property fmtid="{D5CDD505-2E9C-101B-9397-08002B2CF9AE}" pid="8" name="PE Number">
    <vt:lpwstr>753.497</vt:lpwstr>
  </property>
  <property fmtid="{D5CDD505-2E9C-101B-9397-08002B2CF9AE}" pid="9" name="UID">
    <vt:lpwstr>eu.europa.europarl-DIN1-2023-0000120919_01.03-mt-01.00_text-xml</vt:lpwstr>
  </property>
</Properties>
</file>