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Parlament Europejski</w:t>
            </w:r>
          </w:p>
          <w:p>
            <w:pPr>
              <w:pStyle w:val="EPTerm"/>
            </w:pPr>
            <w:r>
              <w:t>2019–2024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6596578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PECH</w:t>
      </w:r>
      <w:r>
        <w:rPr>
          <w:rStyle w:val="HideTWBInt"/>
        </w:rPr>
        <w:t>}</w:t>
      </w:r>
      <w:r>
        <w:t>Komisja Rybołówstwa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2023/2027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02/10/2023</w:t>
      </w:r>
      <w:r>
        <w:rPr>
          <w:rStyle w:val="HideTWBInt"/>
        </w:rPr>
        <w:t>}</w:t>
      </w:r>
      <w:r>
        <w:t>2.10.2023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PROJEKT SPRAWOZDANIA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w sprawie wpływu nielegalnych połowów na bezpieczeństwo żywnościowe – rola Unii Europejskiej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(2023/2027(INI))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PECH</w:t>
      </w:r>
      <w:r>
        <w:rPr>
          <w:rStyle w:val="HideTWBInt"/>
        </w:rPr>
        <w:t>}</w:t>
      </w:r>
      <w:r>
        <w:t>Komisja Rybołówstwa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Sprawozdawca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Nuno Melo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SPIS TREŚCI</w:t>
      </w:r>
    </w:p>
    <w:p>
      <w:pPr>
        <w:pStyle w:val="TOCPage"/>
      </w:pPr>
      <w:r>
        <w:t>Strona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PROJEKT REZOLUCJI PARLAMENTU EUROPEJSKIEGO</w:t>
      </w:r>
      <w:r>
        <w:tab/>
      </w:r>
      <w:r>
        <w:fldChar w:fldCharType="begin"/>
      </w:r>
      <w:r>
        <w:instrText xml:space="preserve"> PAGEREF _Toc256000002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UZASADNIENIE</w:t>
      </w:r>
      <w:r>
        <w:tab/>
      </w:r>
      <w:r>
        <w:fldChar w:fldCharType="begin"/>
      </w:r>
      <w:r>
        <w:instrText xml:space="preserve"> PAGEREF _Toc256000003 \h </w:instrText>
      </w:r>
      <w:r>
        <w:fldChar w:fldCharType="separate"/>
      </w:r>
      <w:r>
        <w:t>8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CoverNormalLeft"/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20"/>
          <w:titlePg/>
          <w:docGrid w:linePitch="360"/>
        </w:sectPr>
      </w:pPr>
      <w:r>
        <w:br w:type="page"/>
      </w:r>
    </w:p>
    <w:p>
      <w:pPr>
        <w:pStyle w:val="PageHeading"/>
      </w:pPr>
      <w:bookmarkStart w:id="0" w:name="_Toc256000002"/>
      <w:r>
        <w:t>PROJEKT REZOLUCJI PARLAMENTU EUROPEJSKIEGO</w:t>
      </w:r>
      <w:bookmarkEnd w:id="0"/>
    </w:p>
    <w:p>
      <w:pPr>
        <w:pStyle w:val="NormalBold"/>
      </w:pPr>
      <w:r>
        <w:t>w sprawie wpływu nielegalnych połowów na bezpieczeństwo żywnościowe – rola Unii Europejskiej</w:t>
      </w:r>
    </w:p>
    <w:p>
      <w:pPr>
        <w:pStyle w:val="NormalBold"/>
      </w:pPr>
      <w:r>
        <w:t>(2023/2027(INI))</w:t>
      </w:r>
    </w:p>
    <w:p>
      <w:pPr>
        <w:pStyle w:val="EPComma"/>
      </w:pPr>
      <w:r>
        <w:rPr>
          <w:rStyle w:val="Italic"/>
        </w:rPr>
        <w:t>Parlament Europejski</w:t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badanie Komisji z 2022 r. „Study on the legislative frameworks and enforcement systems of Member States regarding obligations and sanctions to nationals for infringements to the rules arising from the IUU Regulation”,</w:t>
      </w:r>
    </w:p>
    <w:p>
      <w:pPr>
        <w:pStyle w:val="NormalHanging12a"/>
      </w:pPr>
      <w:r>
        <w:t>–</w:t>
      </w:r>
      <w:r>
        <w:tab/>
      </w:r>
      <w:r>
        <w:t>uwzględniając sprawozdanie specjalne 20/2022</w:t>
      </w:r>
      <w:r>
        <w:t>Europejskiego Trybunału Obrachunkowego</w:t>
      </w:r>
      <w:r>
        <w:t xml:space="preserve"> z dnia 26 września 2022 r. pt. „Działania UE na rzecz zwalczania nielegalnych połowów – niejednolite stosowanie kontroli i sankcji przez państwa członkowskie osłabia istniejące systemy kontroli”, dotyczące polityki UE w zakresie nielegalnych, nieraportowanych i nieuregulowanych połowów (połowy NNN),</w:t>
      </w:r>
    </w:p>
    <w:p>
      <w:pPr>
        <w:pStyle w:val="NormalHanging12a"/>
      </w:pPr>
      <w:r>
        <w:t>–</w:t>
      </w:r>
      <w:r>
        <w:tab/>
      </w:r>
      <w:r>
        <w:t>uwzględniając Konwencję Narodów Zjednoczonych o prawie morza z 1982 r.,</w:t>
      </w:r>
    </w:p>
    <w:p>
      <w:pPr>
        <w:pStyle w:val="NormalHanging12a"/>
      </w:pPr>
      <w:r>
        <w:t>–</w:t>
      </w:r>
      <w:r>
        <w:tab/>
      </w:r>
      <w:r>
        <w:t>uwzględniając Porozumienie Organizacji Narodów Zjednoczonych ds. Wyżywienia i Rolnictwa (FAO) o wspieraniu przestrzegania przez statki rybackie międzynarodowych środków ochrony i zarządzania na pełnym morzu z 1995 r.,</w:t>
      </w:r>
    </w:p>
    <w:p>
      <w:pPr>
        <w:pStyle w:val="NormalHanging12a"/>
      </w:pPr>
      <w:r>
        <w:t>–</w:t>
      </w:r>
      <w:r>
        <w:tab/>
      </w:r>
      <w:r>
        <w:t>uwzględniając porozumienie ONZ o zasobach rybnych z 1995 r.,</w:t>
      </w:r>
    </w:p>
    <w:p>
      <w:pPr>
        <w:pStyle w:val="NormalHanging12a"/>
      </w:pPr>
      <w:r>
        <w:t>–</w:t>
      </w:r>
      <w:r>
        <w:tab/>
      </w:r>
      <w:r>
        <w:t>uwzględniając Kodeks odpowiedzialnego rybołówstwa FAO z 1995 r.,</w:t>
      </w:r>
    </w:p>
    <w:p>
      <w:pPr>
        <w:pStyle w:val="NormalHanging12a"/>
      </w:pPr>
      <w:r>
        <w:t>–</w:t>
      </w:r>
      <w:r>
        <w:tab/>
      </w:r>
      <w:r>
        <w:t>uwzględniając przyjęty przez FAO w 2001 r. międzynarodowy plan działania na rzecz zapobiegania nielegalnym, nieraportowanym i nieuregulowanym połowom oraz ich powstrzymywania i eliminowania,</w:t>
      </w:r>
    </w:p>
    <w:p>
      <w:pPr>
        <w:pStyle w:val="NormalHanging12a"/>
      </w:pPr>
      <w:r>
        <w:t>–</w:t>
      </w:r>
      <w:r>
        <w:tab/>
      </w:r>
      <w:r>
        <w:t>uwzględniając przyjętą przez FAO w 2009 r. Umowę o środkach stosowanych przez państwo portu w celu zapobiegania nielegalnym, nieraportowanym i nieuregulowanym połowom oraz ich powstrzymywania i eliminowania,</w:t>
      </w:r>
    </w:p>
    <w:p>
      <w:pPr>
        <w:pStyle w:val="NormalHanging12a"/>
      </w:pPr>
      <w:r>
        <w:t>–</w:t>
      </w:r>
      <w:r>
        <w:tab/>
      </w:r>
      <w:r>
        <w:t>uwzględniając Dobrowolne wytyczne FAO w sprawie funkcjonowania państwa bandery z 2014 r.,</w:t>
      </w:r>
    </w:p>
    <w:p>
      <w:pPr>
        <w:pStyle w:val="NormalHanging12a"/>
      </w:pPr>
      <w:r>
        <w:t>–</w:t>
      </w:r>
      <w:r>
        <w:tab/>
      </w:r>
      <w:r>
        <w:t>uwzględniając sprawozdanie unijnej koalicji w dziedzinie połowów NNN z grudnia 2021 r. zatytułowane „Seafood traceability: Aligning RFMO catch documentation schemes to combat IUU fishing” („Identyfikowalność żywności pochodzenia morskiego: ujednolicenie systemów dokumentacji połowowej RFMO w celu zwalczania połowów NNN”),</w:t>
      </w:r>
    </w:p>
    <w:p>
      <w:pPr>
        <w:pStyle w:val="NormalHanging12a"/>
      </w:pPr>
      <w:r>
        <w:t>–</w:t>
      </w:r>
      <w:r>
        <w:tab/>
      </w:r>
      <w:r>
        <w:t>uwzględniając wspólną opinię Komitetu Doradczego ds. Rynków i Komitetu Doradczego ds. Floty Dalekomorskiej z dnia 21 kwietnia 2023 r. w sprawie potrzeby zharmonizowanych kontroli przywozu wśród państw członkowskich w celu zapobiegania wprowadzaniu na rynek Unii Europejskiej produktów pochodzących z nielegalnych, nieraportowanych i nieuregulowanych połowów (połowów NNN),</w:t>
      </w:r>
    </w:p>
    <w:p>
      <w:pPr>
        <w:pStyle w:val="NormalHanging12a"/>
      </w:pPr>
      <w:r>
        <w:t>–</w:t>
      </w:r>
      <w:r>
        <w:tab/>
      </w:r>
      <w:r>
        <w:t>uwzględniając wytyczne FAO z 2023 r. zatytułowane „Advancing end-to-end traceability – Critical tracking events and key data elements along capture fisheries and aquaculture value chains” („Rozwój identyfikowalności całego procesu – Krytyczne zdarzenia w zakresie śledzenia i kluczowe elementy danych w łańcuchu wartości rybołówstwa i akwakultury”),</w:t>
      </w:r>
    </w:p>
    <w:p>
      <w:pPr>
        <w:pStyle w:val="NormalHanging12a"/>
      </w:pPr>
      <w:r>
        <w:t>–</w:t>
      </w:r>
      <w:r>
        <w:tab/>
      </w:r>
      <w:r>
        <w:t>uwzględniając wytyczne techniczne FAO z 2023 r. zatytułowane „Implementation of the International Plan of Action to Prevent, Deter and Eliminate Illegal, Unreported and Unregulated Fishing – 1. Methodologies and indicators for the estimation of the magnitude and impact of illegal, unreported and unregulated fishing: 1.1 Principles and approaches” („Realizacja międzynarodowego planu działania na rzecz zapobiegania nielegalnym, nieraportowanym i nieuregulowanym połowom oraz ich powstrzymywania i eliminowania – 1. metody i wskaźniki służące oszacowaniu wielkości i wpływu nielegalnych, nieraportowanych i nieuregulowanych połowów: 1.1 zasady i podejścia”),</w:t>
      </w:r>
    </w:p>
    <w:p>
      <w:pPr>
        <w:pStyle w:val="NormalHanging12a"/>
      </w:pPr>
      <w:r>
        <w:t>–</w:t>
      </w:r>
      <w:r>
        <w:tab/>
      </w:r>
      <w:r>
        <w:t>uwzględniając art. 54 Regulaminu,</w:t>
      </w:r>
    </w:p>
    <w:p>
      <w:pPr>
        <w:pStyle w:val="NormalHanging12a"/>
      </w:pPr>
      <w:r>
        <w:t>–</w:t>
      </w:r>
      <w:r>
        <w:tab/>
      </w:r>
      <w:r>
        <w:t>uwzględniając sprawozdanie Komisji Rybołówstwa (A9-0000/2023),</w:t>
      </w:r>
    </w:p>
    <w:p>
      <w:pPr>
        <w:pStyle w:val="NormalHanging12a"/>
      </w:pPr>
      <w:r>
        <w:t>A.</w:t>
      </w:r>
      <w:r>
        <w:tab/>
      </w:r>
      <w:r>
        <w:t>mając na uwadze, że UE jest głównym światowym uczestnikiem sektora rybołówstwa zarówno ze względu na swoją flotę rybacką (liczącą około 73 000 statków), jak i pozycję największego na świecie importera produktów rybołówstwa (prawie 70 % żywności pochodzenia morskiego spożywanej w UE pochodzi z przywozu, co stanowi 34 % wartości całego światowego handlu), a zatem ma do odegrania kluczową rolę w walce z połowami NNN na całym świecie;</w:t>
      </w:r>
    </w:p>
    <w:p>
      <w:pPr>
        <w:pStyle w:val="NormalHanging12a"/>
      </w:pPr>
      <w:r>
        <w:t>B.</w:t>
      </w:r>
      <w:r>
        <w:tab/>
      </w:r>
      <w:r>
        <w:t>mając na uwadze, że w sektorze rybołówstwa w UE zatrudnionych jest bezpośrednio 124 000 rybaków, a roczne przychody generowane w tym sektorze wynoszą 6,3 mld EUR;</w:t>
      </w:r>
    </w:p>
    <w:p>
      <w:pPr>
        <w:pStyle w:val="NormalHanging12a"/>
      </w:pPr>
      <w:r>
        <w:t>C.</w:t>
      </w:r>
      <w:r>
        <w:tab/>
      </w:r>
      <w:r>
        <w:t>mając na uwadze, że UE zobowiązała się do osiągnięcia celu zrównoważonego rozwoju 14.4, który zakładał wyeliminowanie połowów NNN do 2020 r;</w:t>
      </w:r>
    </w:p>
    <w:p>
      <w:pPr>
        <w:pStyle w:val="NormalHanging12a"/>
      </w:pPr>
      <w:r>
        <w:t>D.</w:t>
      </w:r>
      <w:r>
        <w:tab/>
      </w:r>
      <w:r>
        <w:t>mając na uwadze, że w art. 12 rozporządzenia w sprawie połowów NNN</w:t>
      </w:r>
      <w:r>
        <w:rPr>
          <w:rStyle w:val="FootnoteReference"/>
        </w:rPr>
        <w:footnoteReference w:id="0"/>
      </w:r>
      <w:r>
        <w:t xml:space="preserve"> zabrania się przywozu produktów rybołówstwa pozyskanych w drodze połowów NNN;</w:t>
      </w:r>
    </w:p>
    <w:p>
      <w:pPr>
        <w:pStyle w:val="NormalHanging12a"/>
      </w:pPr>
      <w:r>
        <w:t>E.</w:t>
      </w:r>
      <w:r>
        <w:tab/>
      </w:r>
      <w:r>
        <w:t>mając na uwadze, że czterem państwom trzecim nadano aktualnie czerwoną kartkę, a ośmiu – żółtą kartkę; mając jednak na uwadze, że jednego z głównych producentów żywności pochodzenia morskiego, tj. Chińską Republikę Ludową, nigdy nie objęto procedurą przewidzianą w rozporządzeniu w sprawie połowów NNN, mimo że istnieją znaczne dowody świadczące o jego znaczącym i coraz większym udziale w połowach NNN;</w:t>
      </w:r>
    </w:p>
    <w:p>
      <w:pPr>
        <w:pStyle w:val="NormalHanging12a"/>
      </w:pPr>
      <w:r>
        <w:t>F.</w:t>
      </w:r>
      <w:r>
        <w:tab/>
      </w:r>
      <w:r>
        <w:t>mając na uwadze, że w UE funkcjonują solidne ramy w zakresie przepisów dotyczących rybołówstwa, w tym środki mające na celu poprawę zdolności w zakresie monitorowania, inspekcji, kontroli i nadzoru wykorzystywanych do zwalczania połowów NNN;</w:t>
      </w:r>
    </w:p>
    <w:p>
      <w:pPr>
        <w:pStyle w:val="NormalHanging12a"/>
      </w:pPr>
      <w:r>
        <w:t>G.</w:t>
      </w:r>
      <w:r>
        <w:tab/>
      </w:r>
      <w:r>
        <w:t>mając na uwadze, że w ramach Europejskiego Funduszu Morskiego, Rybackiego i Akwakultury przeznacza się 580 mln EUR na wsparcie działań w zakresie monitorowania, kontroli i egzekwowania przepisów;</w:t>
      </w:r>
    </w:p>
    <w:p>
      <w:pPr>
        <w:pStyle w:val="NormalHanging12a"/>
      </w:pPr>
      <w:r>
        <w:t>H.</w:t>
      </w:r>
      <w:r>
        <w:tab/>
      </w:r>
      <w:r>
        <w:t>mając na uwadze, że w sprawozdaniu specjalnym 20/2022</w:t>
      </w:r>
      <w:r>
        <w:t>Europejski Trybunał Obrachunkowy</w:t>
      </w:r>
      <w:r>
        <w:t xml:space="preserve"> stwierdził, że skuteczność systemów kontroli jest ograniczona wskutek niejednolitego stosowania kontroli i sankcji przez państwa członkowskie;</w:t>
      </w:r>
    </w:p>
    <w:p>
      <w:pPr>
        <w:pStyle w:val="NormalHanging12a"/>
      </w:pPr>
      <w:r>
        <w:t>I.</w:t>
      </w:r>
      <w:r>
        <w:tab/>
      </w:r>
      <w:r>
        <w:t>mając na uwadze, że digitalizacja świadectw połowowych NNN z wykorzystaniem systemu informatycznego CATCH ograniczy możliwości nieuczciwego przywozu;</w:t>
      </w:r>
    </w:p>
    <w:p>
      <w:pPr>
        <w:pStyle w:val="NormalHanging12a"/>
      </w:pPr>
      <w:r>
        <w:t>J.</w:t>
      </w:r>
      <w:r>
        <w:tab/>
      </w:r>
      <w:r>
        <w:t>mając na uwadze, że produkty pochodzące z nielegalnych połowów stanowią zagrożenie dla bezpieczeństwa żywnościowego obywateli Unii Europejskiej;</w:t>
      </w:r>
    </w:p>
    <w:p>
      <w:pPr>
        <w:pStyle w:val="NormalHanging12a"/>
      </w:pPr>
      <w:r>
        <w:t>1.</w:t>
      </w:r>
      <w:r>
        <w:tab/>
      </w:r>
      <w:r>
        <w:t>potwierdza, że UE i jej państwa członkowskie powinny nadal stosować podejście zerowej tolerancji wobec połowów NNN, stosować to podejście w równym stopniu do wszystkich krajów, niezależnie od ich wielkości, oraz propagować zrównoważone rybołówstwo w celu zwalczania przełowienia i zapewnienia bezpieczeństwa żywnościowego;</w:t>
      </w:r>
    </w:p>
    <w:p>
      <w:pPr>
        <w:pStyle w:val="NormalHanging12a"/>
      </w:pPr>
      <w:r>
        <w:t>2.</w:t>
      </w:r>
      <w:r>
        <w:tab/>
      </w:r>
      <w:r>
        <w:t>wzywa, aby zastosowano wytyczne UE w celu ustalenia, w jaki sposób najlepiej poprawić wdrażanie rozporządzenia UE w sprawie połowów NNN w państwach członkowskich, które nie przestrzegają wymogów rozporządzenia, oraz w jaki sposób najlepiej weryfikować informacje zawarte w dwuletnich sprawozdaniach;</w:t>
      </w:r>
    </w:p>
    <w:p>
      <w:pPr>
        <w:pStyle w:val="NormalHanging12a"/>
      </w:pPr>
      <w:r>
        <w:t>3.</w:t>
      </w:r>
      <w:r>
        <w:tab/>
      </w:r>
      <w:r>
        <w:t>zachęca państwa członkowskie, aby przydzielały wystarczające zdolności i zasoby na zapewnienie skutecznej realizacji kontroli przywozu;</w:t>
      </w:r>
    </w:p>
    <w:p>
      <w:pPr>
        <w:pStyle w:val="NormalHanging12a"/>
      </w:pPr>
      <w:r>
        <w:t>4.</w:t>
      </w:r>
      <w:r>
        <w:tab/>
      </w:r>
      <w:r>
        <w:t>podkreśla, że Komisja musi zapewnić odpowiednie wsparcie organom krajowym odpowiedzialnym za kontrolę przywozu żywności pochodzenia morskiego, oraz zauważa, że wsparcie to może obejmować, w miarę dostępności, sporządzenie wykazu środków zarządzania i ochrony stosowanych w państwach spoza UE oraz udostępnianie szczegółowych informacji na temat niedociągnięć stwierdzonych w kontekście wdrażania unijnego rozporządzenia w sprawie połowów NNN w odniesieniu do państw spoza UE;</w:t>
      </w:r>
    </w:p>
    <w:p>
      <w:pPr>
        <w:pStyle w:val="NormalHanging12a"/>
      </w:pPr>
      <w:r>
        <w:t>5.</w:t>
      </w:r>
      <w:r>
        <w:tab/>
      </w:r>
      <w:r>
        <w:t>podkreśla, że Komisja musi zapewnić, wraz z Europejską Agencją Kontroli Rybołówstwa i w ścisłej koordynacji z państwami członkowskimi, dalsze wsparcie dla organów krajowych w zakresie najlepszych sposobów wdrażania rozporządzenia w sprawie połowów NNN, przy czym wsparcie to powinno mieć formę wytycznych, wymiany dobrych praktyk, szkoleń itp.;</w:t>
      </w:r>
    </w:p>
    <w:p>
      <w:pPr>
        <w:pStyle w:val="NormalHanging12a"/>
      </w:pPr>
      <w:r>
        <w:t>6.</w:t>
      </w:r>
      <w:r>
        <w:tab/>
      </w:r>
      <w:r>
        <w:t>zachęca Komisję, aby nadal dążyła do spójnego stosowania i wdrażania procedur kontroli przywozu w całej UE, w tym kontroli świadectw połowowych, podejścia opartego na analizie ryzyka i weryfikacji;</w:t>
      </w:r>
    </w:p>
    <w:p>
      <w:pPr>
        <w:pStyle w:val="NormalHanging12a"/>
      </w:pPr>
      <w:r>
        <w:t>7.</w:t>
      </w:r>
      <w:r>
        <w:tab/>
      </w:r>
      <w:r>
        <w:t>przypomina Komisji o potrzebie harmonizacji kontroli przywozu we wszystkich państwach członkowskich z myślą o zapobieganiu wprowadzaniu na rynek UE produktów pochodzących z połowów NNN;</w:t>
      </w:r>
    </w:p>
    <w:p>
      <w:pPr>
        <w:pStyle w:val="NormalHanging12a"/>
      </w:pPr>
      <w:r>
        <w:t>8.</w:t>
      </w:r>
      <w:r>
        <w:tab/>
      </w:r>
      <w:r>
        <w:t>zachęca Komisję, aby podjęła szybkie działania w celu zapewnienia pełnej operacyjności systemu informatycznego CATCH oraz pełnego zapoznania organów krajowych państw członkowskich ze sposobem korzystania z tego systemu w ciągu dwóch lat od daty rozpoczęcia stosowania art. 4 zmienionego rozporządzenia w sprawie kontroli rybołówstwa;</w:t>
      </w:r>
    </w:p>
    <w:p>
      <w:pPr>
        <w:pStyle w:val="NormalHanging12a"/>
      </w:pPr>
      <w:r>
        <w:t>9.</w:t>
      </w:r>
      <w:r>
        <w:tab/>
      </w:r>
      <w:r>
        <w:t>zwraca się do Komisji, aby zapewniła wystarczające zasoby ludzkie na potrzeby szybszego i skuteczniejszego wdrożenia wspomnianego systemu informatycznego w państwach członkowskich;</w:t>
      </w:r>
    </w:p>
    <w:p>
      <w:pPr>
        <w:pStyle w:val="NormalHanging12a"/>
      </w:pPr>
      <w:r>
        <w:t>10.</w:t>
      </w:r>
      <w:r>
        <w:tab/>
      </w:r>
      <w:r>
        <w:t>z zadowoleniem przyjmuje ustanowienie nowego systemu informatycznego CATCH na mocy zmienionego rozporządzenia w sprawie kontroli rybołówstwa;</w:t>
      </w:r>
    </w:p>
    <w:p>
      <w:pPr>
        <w:pStyle w:val="NormalHanging12a"/>
      </w:pPr>
      <w:r>
        <w:t>11.</w:t>
      </w:r>
      <w:r>
        <w:tab/>
      </w:r>
      <w:r>
        <w:t>zachęca do szybkiego włączenia bardziej kompleksowych kryteriów ryzyka i kontroli krzyżowych danych w kolejnych iteracjach systemu informatycznego CATCH, zgodnie z zaleceniami Komitetu Doradczego ds. Floty Dalekomorskiej; uważa, że w celu zapewnienia wyższych standardów Komisja musi upewnić się, że ocena ryzyka stosowana w ramach systemu CATCH jest co najmniej tak dokładna jak ocena stosowana w państwach członkowskich, które już posiadają elektroniczny system sprawdzania świadectw połowowych; uważa, że w okresie przejściowym Komisja musi zapewnić interoperacyjność między systemem CATCH a krajowymi systemami informatycznymi bez zwiększania obciążenia podmiotów gospodarczych;</w:t>
      </w:r>
    </w:p>
    <w:p>
      <w:pPr>
        <w:pStyle w:val="NormalHanging12a"/>
      </w:pPr>
      <w:r>
        <w:t>12.</w:t>
      </w:r>
      <w:r>
        <w:tab/>
      </w:r>
      <w:r>
        <w:t>wzywa Komisję, aby zwiększyła liczbę pracowników zajmujących się zarządzaniem oceanami i połowami NNN w Dyrekcji Generalnej ds. Gospodarki Morskiej i Rybołówstwa Komisji;</w:t>
      </w:r>
    </w:p>
    <w:p>
      <w:pPr>
        <w:pStyle w:val="NormalHanging12a"/>
      </w:pPr>
      <w:r>
        <w:t>13.</w:t>
      </w:r>
      <w:r>
        <w:tab/>
      </w:r>
      <w:r>
        <w:t>zachęca państwa członkowskie do zapewnienia, aby wdrożono niezbędne procedury w ramach przygotowań do prawnego przyjęcia systemu informatycznego CATCH oraz do zapewnienia jak najszybszej gotowości systemu do użytku;</w:t>
      </w:r>
    </w:p>
    <w:p>
      <w:pPr>
        <w:pStyle w:val="NormalHanging12a"/>
      </w:pPr>
      <w:r>
        <w:t>14.</w:t>
      </w:r>
      <w:r>
        <w:tab/>
      </w:r>
      <w:r>
        <w:t>wzywa państwa członkowskie, aby wzmocniły krajowe systemy kontroli w celu zapobiegania przywozowi nielegalnych produktów rybołówstwa oraz by podjęły niezbędne działania;</w:t>
      </w:r>
    </w:p>
    <w:p>
      <w:pPr>
        <w:pStyle w:val="NormalHanging12a"/>
      </w:pPr>
      <w:r>
        <w:t>15.</w:t>
      </w:r>
      <w:r>
        <w:tab/>
      </w:r>
      <w:r>
        <w:t>wzywa państwa członkowskie, aby stosowały odstraszające sankcje wobec nielegalnych połowów;</w:t>
      </w:r>
    </w:p>
    <w:p>
      <w:pPr>
        <w:pStyle w:val="NormalHanging12a"/>
      </w:pPr>
      <w:r>
        <w:t>16.</w:t>
      </w:r>
      <w:r>
        <w:tab/>
      </w:r>
      <w:r>
        <w:t>wzywa Komisję i państwa członkowskie, aby nie przyznawały preferencyjnego dostępu do rynku krajom powiązanym z praktykami połowowymi NNN i poważnymi naruszeniami praw pracowniczych; uważa, że UE powinna dążyć do ustanowienia prawdziwie równych warunków działania, jeżeli chodzi o żywność pochodzenia morskiego produkowaną w UE i żywność pochodzenia morskiego produkowaną w państwach trzecich; uważa, że w szczególności instrument autonomicznych kontyngentów taryfowych należy stosować wyłącznie w przypadkach, w których podaż żywności pochodzenia morskiego na rynkach UE jest niewystarczająca, oraz że nie powinno się go wykorzystywać do przywozu produktów pochodzących z połowów NNN ani do wywierania presji na ceny towarów produkowanych w UE;</w:t>
      </w:r>
    </w:p>
    <w:p>
      <w:pPr>
        <w:pStyle w:val="NormalHanging12a"/>
      </w:pPr>
      <w:r>
        <w:t>17.</w:t>
      </w:r>
      <w:r>
        <w:tab/>
      </w:r>
      <w:r>
        <w:t>zachęca państwa członkowskie, aby usprawniły rutynową i terminową wymianę informacji, w tym na temat odrzuconych przesyłek, co może umożliwić organom lepsze stosowanie i egzekwowanie prawa; podkreśla, że pomocna w tym zakresie może być umowa FAO o środkach stosowanych przez państwo portu;</w:t>
      </w:r>
    </w:p>
    <w:p>
      <w:pPr>
        <w:pStyle w:val="NormalHanging12a"/>
      </w:pPr>
      <w:r>
        <w:t>18.</w:t>
      </w:r>
      <w:r>
        <w:tab/>
      </w:r>
      <w:r>
        <w:t>podkreśla, że skutecznymi narzędziami poprawiającymi identyfikowalność i przyczyniającymi się do walki z połowami NNN są wielostronne systemy dokumentacji połowowej, które zostały opracowane i uzgodnione przez umawiające się strony regionalnych organizacji ds. zarządzania rybołówstwem i współpracujące strony niebędące umawiającymi się stronami oraz które wymagają rejestrowania i przekazywania w całym łańcuchu dostaw krytycznych informacji o przesyłce;</w:t>
      </w:r>
    </w:p>
    <w:p>
      <w:pPr>
        <w:pStyle w:val="NormalHanging12a"/>
      </w:pPr>
      <w:r>
        <w:t>19.</w:t>
      </w:r>
      <w:r>
        <w:tab/>
      </w:r>
      <w:r>
        <w:t>zobowiązuje swoją przewodniczącą do przekazania niniejszej rezolucji Radzie i Komisji.</w:t>
      </w:r>
    </w:p>
    <w:p>
      <w:pPr>
        <w:pStyle w:val="NormalHanging12a"/>
        <w:sectPr>
          <w:footnotePr>
            <w:numRestart w:val="eachSect"/>
          </w:footnotePr>
          <w:type w:val="continuous"/>
          <w:pgSz w:w="11906" w:h="16838"/>
          <w:pgMar w:top="1134" w:right="1417" w:bottom="1417" w:left="1417" w:header="1134" w:footer="567" w:gutter="0"/>
          <w:cols w:num="1" w:space="720"/>
          <w:titlePg/>
          <w:docGrid w:linePitch="360"/>
        </w:sectPr>
      </w:pPr>
      <w:r>
        <w:br w:type="page"/>
      </w:r>
    </w:p>
    <w:p>
      <w:pPr>
        <w:pStyle w:val="PageHeading"/>
      </w:pPr>
      <w:bookmarkStart w:id="1" w:name="_Toc256000003"/>
      <w:r>
        <w:t>UZASADNIENIE</w:t>
      </w:r>
      <w:bookmarkEnd w:id="1"/>
    </w:p>
    <w:p>
      <w:pPr>
        <w:pStyle w:val="Normal12a"/>
      </w:pPr>
      <w:r>
        <w:t>Unia Europejska (UE) znajduje się w wyjątkowej sytuacji jako jeden z najważniejszych globalnych podmiotów w dziedzinie rybołówstwa, zarówno ze względu na rozległą obecność połowów na oceanach, jak i pozycję głównego importera produktów rybołówstwa – pod banderą UE pływa około 73 000 statków, a wskaźnik przywozu do UE jest imponujący, jako że niemal 70 % spożywanej żywności pochodzenia morskiego pochodzi z zagranicy – i tym samym nie można lekceważyć wpływu, jaki UE wywiera na globalne praktyki połowowe. Jednocześnie ta pozycja dominująca sprawia, że UE ponosi znaczną odpowiedzialność za określenie i promowanie zrównoważonych praktyk w tym sektorze.</w:t>
      </w:r>
    </w:p>
    <w:p>
      <w:pPr>
        <w:pStyle w:val="Normal12a"/>
      </w:pPr>
      <w:r>
        <w:t>Jako umawiająca się strona Konwencji Narodów Zjednoczonych o prawie morza (UNCLOS) i sygnatariusz kilku innych ważnych umów międzynarodowych UE zawsze miała obowiązek ochrony zasobów morskich. W drodze tych postanowień podkreśla się odpowiedzialność wszystkich państw za zapewnienie zrównoważonej gospodarki morskiej i współpracę na rzecz tego wspólnego celu.</w:t>
      </w:r>
    </w:p>
    <w:p>
      <w:pPr>
        <w:pStyle w:val="Normal12a"/>
      </w:pPr>
      <w:r>
        <w:t>Nielegalne, nieraportowane i nieuregulowane połowy (połowy NNN) stanowią poważne zagrożenie dla ekosystemów morskich, dobrobytu społeczno-gospodarczego społeczności zależnych od rybołówstwa, globalnej reputacji sektora rybołówstwa oraz międzynarodowych działań na rzecz poprawy zarządzania oceanami.</w:t>
      </w:r>
    </w:p>
    <w:p>
      <w:pPr>
        <w:pStyle w:val="Normal12a"/>
      </w:pPr>
      <w:r>
        <w:t>Ogrom reperkusji gospodarczych jest oczywisty, gdy weźmie się pod uwagę ogromny poziom zatrudnienia generowany przez ten sektor w społecznościach nadbrzeżnych – ponad 124 000 bezpośrednich miejsc pracy – oraz znaczące dochody, jakie przynosi on do budżetu UE – 6,3 mld EUR rocznie. Wprowadzanie na rynek produktów pochodzących z połowów NNN zagraża temu wkładowi gospodarczemu. Nielegalne działania nie tylko pozbawiają państwa dochodów, ale także wymagają zwiększonych wydatków na monitorowanie, inspekcje i środki kontroli na potrzeby zwalczania połowów NNN.</w:t>
      </w:r>
    </w:p>
    <w:p>
      <w:pPr>
        <w:pStyle w:val="Normal12a"/>
      </w:pPr>
      <w:r>
        <w:t>Biorąc pod uwagę centralną rolę, jaką Unia Europejska odgrywa na światowym rynku żywności pochodzenia morskiego, UE znajduje się w wyjątkowej sytuacji, w której może kształtować międzynarodowe praktyki zrównoważonego rybołówstwa i przewodzić takim praktykom. Zaangażowanie UE w zrównoważony rozwój w sektorze rybołówstwa to nie tylko kwestia gospodarcza czy środowiskowa – to również kwestia bezpieczeństwa żywnościowego. Ponieważ większość żywności pochodzenia morskiego jest przywożona, zapewnienie, aby żywność tę pozyskiwano w sposób zrównoważony i legalny, stanowi kwestię o kluczowym znaczeniu w kontekście zdrowia i dobrostanu obywateli.</w:t>
      </w:r>
    </w:p>
    <w:p>
      <w:pPr>
        <w:pStyle w:val="Normal12a"/>
      </w:pPr>
      <w:r>
        <w:t xml:space="preserve">Chociaż UE dysponuje solidnymi ramami regulacyjnymi – o czym świadczy między innymi przydział 580 mln EUR z Europejskiego Funduszu Morskiego, Rybackiego i Akwakultury na wsparcie działań w zakresie monitorowania i kontroli – nadal istnieją wyzwania. W sprawozdaniu z 2022 r. </w:t>
      </w:r>
      <w:r>
        <w:t>Europejski Trybunał Obrachunkowy</w:t>
      </w:r>
      <w:r>
        <w:t xml:space="preserve"> zasugerował, że państwa członkowskie przeprowadzają niejednolite kontrole i stosują niejednolite sankcje, co wskazuje na niedoskonałości systemu, które trzeba szybko wyeliminować.</w:t>
      </w:r>
    </w:p>
    <w:p>
      <w:pPr>
        <w:pStyle w:val="Normal12a"/>
      </w:pPr>
      <w:r>
        <w:t>UE powinna w przyszłości działać na wielu płaszczyznach. Obiecującym krokiem we właściwym kierunku jest na przykład digitalizacja świadectw połowowych NNN z wykorzystaniem systemu informatycznego CATCH. Celem tego systemu jest ograniczenie nieuczciwego przywozu i zapewnienie ściślejszego przestrzegania regulacji UE.</w:t>
      </w:r>
    </w:p>
    <w:p>
      <w:pPr>
        <w:pStyle w:val="Normal12a"/>
      </w:pPr>
      <w:r>
        <w:t>Co więcej, kluczowe znaczenie ma dążenie do zacieśniania współpracy z państwami trzecimi, wśród których znajduje się wiele znaczących producentów żywności pochodzenia morskiego. W ramach tych partnerstw zapewni się zgodność produktów przywożonych z rygorystycznymi normami UE oraz globalny wydźwięk stanowiska UE przeciwko połowom NNN.</w:t>
      </w:r>
    </w:p>
    <w:p>
      <w:pPr>
        <w:pStyle w:val="Normal12a"/>
      </w:pPr>
      <w:r>
        <w:t>Szczególne skuteczny okazał się unijny system kartek – obecnie czterem państwom trzecim nadano czerwoną kartkę, a ośmiu – żółtą kartkę. Jednego z głównych producentów żywności pochodzenia morskiego, tj. Chińską Republikę Ludową (Chiny), nigdy jednak nie objęto procedurą przewidzianą w przepisach dotyczących połowów NNN, mimo że istnieją znaczne dowody świadczące o znaczącym i coraz większym udziale Chin w połowach NNN.</w:t>
      </w:r>
    </w:p>
    <w:p>
      <w:pPr>
        <w:pStyle w:val="Normal12a"/>
      </w:pPr>
      <w:r>
        <w:t>Ponieważ podmioty prowadzące połowy NNN nieustannie szukają luk w istniejących ramach, UE musi utrzymać dynamiczne i proaktywne podejście do ochrony swojego zaangażowania w zrównoważone rybołówstwo i globalne bezpieczeństwo żywnościowe.</w:t>
      </w:r>
    </w:p>
    <w:p>
      <w:pPr>
        <w:pStyle w:val="Normal12a"/>
      </w:pPr>
      <w:r>
        <w:t>UE ma obowiązek przewodzić walce z połowami NNN. W ten sposób może zapewnić nie tylko przyszłość swoich ekosystemów morskich i zapewnianych przez nie źródeł utrzymania, ale także umocnić swoją pozycję globalnego orędownika zrównoważonych i odpowiedzialnych praktyk połowowych. Aby tak się stało, ważne jest, aby UE i państwa członkowskich nadal wdrażały oraz propagowały na całym świecie szereg środków:</w:t>
      </w:r>
    </w:p>
    <w:p>
      <w:pPr>
        <w:pStyle w:val="NormalHangingJustified"/>
      </w:pPr>
      <w:r>
        <w:t>•</w:t>
      </w:r>
      <w:r>
        <w:tab/>
      </w:r>
      <w:r>
        <w:t>propagowanie zerowej tolerancji dla nielegalnych, nieraportowanych i nieuregulowanych połowów przez zapewnienie równego traktowania wszystkich państw niezależnie od ich wielkości oraz przez wspieranie zrównoważonego rybołówstwa, zwalczanie przełowienia i zagwarantowanie bezpieczeństwa żywnościowego;</w:t>
      </w:r>
    </w:p>
    <w:p>
      <w:pPr>
        <w:pStyle w:val="NormalHangingJustified"/>
      </w:pPr>
      <w:r>
        <w:t>•</w:t>
      </w:r>
      <w:r>
        <w:tab/>
      </w:r>
      <w:r>
        <w:t>wdrożenie zharmonizowanych kontroli przywozu wśród państw członkowskich, aby zapobiec wprowadzaniu produktów pochodzących z połowów NNN na rynek UE;</w:t>
      </w:r>
    </w:p>
    <w:p>
      <w:pPr>
        <w:pStyle w:val="NormalHangingJustified"/>
      </w:pPr>
      <w:r>
        <w:t>•</w:t>
      </w:r>
      <w:r>
        <w:tab/>
      </w:r>
      <w:r>
        <w:t>wezwanie Komisji, aby zapewniła pełną operacyjność systemu informatycznego CATCH oraz pełne zapoznanie się przez organy krajowe państw członkowskich ze sposobem korzystania z tego systemu w ciągu dwóch lat od wdrożenia zmienionego rozporządzenia w sprawie kontroli rybołówstwa;</w:t>
      </w:r>
    </w:p>
    <w:p>
      <w:pPr>
        <w:pStyle w:val="NormalHangingJustified"/>
      </w:pPr>
      <w:r>
        <w:t>•</w:t>
      </w:r>
      <w:r>
        <w:tab/>
      </w:r>
      <w:r>
        <w:t>zapewnienie wystarczających zasobów ludzkich w celu promowania szybszego i skuteczniejszego wdrażania systemu informatycznego CATCH w państwach członkowskich;</w:t>
      </w:r>
    </w:p>
    <w:p>
      <w:pPr>
        <w:pStyle w:val="NormalHangingJustified"/>
      </w:pPr>
      <w:r>
        <w:t>•</w:t>
      </w:r>
      <w:r>
        <w:tab/>
      </w:r>
      <w:r>
        <w:t>zwiększenie liczby pracowników DG MARE zajmujących się zarządzaniem oceanami i kwestią połowów NNN;</w:t>
      </w:r>
    </w:p>
    <w:p>
      <w:pPr>
        <w:pStyle w:val="NormalHangingJustified"/>
      </w:pPr>
      <w:r>
        <w:t>•</w:t>
      </w:r>
      <w:r>
        <w:tab/>
      </w:r>
      <w:r>
        <w:t>wzmocnienie systemów kontroli i niezbędnych środków przyjmowanych przez państwa członkowskie w celu zapobiegania przywozowi produktów pochodzących z nielegalnych połowów;</w:t>
      </w:r>
    </w:p>
    <w:p>
      <w:pPr>
        <w:pStyle w:val="NormalHangingJustified"/>
      </w:pPr>
      <w:r>
        <w:t>•</w:t>
      </w:r>
      <w:r>
        <w:tab/>
      </w:r>
      <w:r>
        <w:t>wezwanie państw członkowskich do stosowania odstraszających sankcji wobec nielegalnych połowów;</w:t>
      </w:r>
    </w:p>
    <w:p>
      <w:pPr>
        <w:pStyle w:val="NormalHangingJustified"/>
      </w:pPr>
      <w:r>
        <w:t>•</w:t>
      </w:r>
      <w:r>
        <w:tab/>
      </w:r>
      <w:r>
        <w:t>wezwanie Komisji i państw członkowskich, aby nie przyznawały preferencyjnego dostępu do rynku krajom powiązanym z praktykami połowowymi NNN i poważnymi naruszeniami praw pracowniczych;</w:t>
      </w:r>
    </w:p>
    <w:p>
      <w:pPr>
        <w:pStyle w:val="NormalHangingJustified"/>
      </w:pPr>
      <w:r>
        <w:t>•</w:t>
      </w:r>
      <w:r>
        <w:tab/>
      </w:r>
      <w:r>
        <w:t>zachęcenie państw członkowskich do poprawy rutynowej i terminowej wymiany informacji, w tym na temat odrzuconych przesyłek, tak aby organy mogły skuteczniej egzekwować przepisy; należy podkreślić, że pomocna w tym zakresie może być umowa o środkach stosowanych przez państwo portu;</w:t>
      </w:r>
    </w:p>
    <w:p>
      <w:pPr>
        <w:pStyle w:val="NormalHangingJustified"/>
      </w:pPr>
      <w:r>
        <w:t>•</w:t>
      </w:r>
      <w:r>
        <w:tab/>
      </w:r>
      <w:r>
        <w:t>podkreślenie, że systemy dokumentacji połowowej opracowane i uzgodnione przez regionalne organizacje ds. zarządzania rybołówstwem (RFMO), w ramach których to systemów wymaga się rejestrowania i przekazywania krytycznych informacji o wysyłce w całym łańcuchu dostaw, są sprawdzonymi narzędziami poprawiającymi identyfikowalność i pomagającymi w walce z połowami NNN.</w:t>
      </w:r>
    </w:p>
    <w:p>
      <w:pPr>
        <w:pStyle w:val="Normal12a"/>
      </w:pPr>
    </w:p>
    <w:sectPr>
      <w:footnotePr>
        <w:numRestart w:val="eachSect"/>
      </w:footnotePr>
      <w:type w:val="continuous"/>
      <w:pgSz w:w="11906" w:h="16838"/>
      <w:pgMar w:top="1134" w:right="1417" w:bottom="1417" w:left="1417" w:header="1134" w:footer="567" w:gutter="0"/>
      <w:cols w:num="1"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753.497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PR\1286110PL.docx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PL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PR\1286110PL.docx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753.497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PR\1286110PL.docx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753.497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PL</w:t>
    </w:r>
    <w:r>
      <w:tab/>
    </w:r>
    <w:r>
      <w:rPr>
        <w:rStyle w:val="EPFooter2Motto"/>
      </w:rPr>
      <w:t>Zjednoczona w różnorodności</w:t>
    </w:r>
    <w:r>
      <w:tab/>
    </w:r>
    <w:r>
      <w:t>PL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0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color w:val="0000FF"/>
            <w:u w:val="single" w:color="0000FF"/>
          </w:rPr>
          <w:t>Rozporządzenie Rady (WE) Nr 1005/2008 z dnia 29 września 2008 r. ustanawiające wspólnotowy system zapobiegania nielegalnym, nieraportowanym i nieuregulowanym połowom oraz ich powstrzymywania i eliminowania, zmieniające rozporządzenia (EWG) nr 2847/93, (WE) nr 1936/2001 i (WE) nr 601/2004 oraz uchylające rozporządzenia (WE) nr 1093/94 i (WE) nr 1447/1999 (Dz.U. L 286 z 29.10.2008, s. 1).</w:t>
        </w:r>
      </w:hyperlink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numbering" Target="numbering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08/1005/oj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10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1286110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20231016-160805-007568-822912</vt:lpwstr>
  </property>
  <property fmtid="{D5CDD505-2E9C-101B-9397-08002B2CF9AE}" pid="7" name="FooterPath">
    <vt:lpwstr>PR\1286110PL.doc</vt:lpwstr>
  </property>
  <property fmtid="{D5CDD505-2E9C-101B-9397-08002B2CF9AE}" pid="8" name="PE Number">
    <vt:lpwstr>753.497</vt:lpwstr>
  </property>
  <property fmtid="{D5CDD505-2E9C-101B-9397-08002B2CF9AE}" pid="9" name="UID">
    <vt:lpwstr>eu.europa.europarl-DIN1-2023-0000120919_01.03-pl-01.00_text-xml</vt:lpwstr>
  </property>
</Properties>
</file>