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Parlamentul European</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2390"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Comisia pentru pescuit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2023/2027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02/10/2023</w:t>
      </w:r>
      <w:r>
        <w:rPr>
          <w:rStyle w:val="HideTWBInt"/>
        </w:rPr>
        <w:t>}</w:t>
      </w:r>
      <w:r>
        <w:t>2.10.2023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PROIECT DE RAPORT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referitor la impactul pescuitului ilegal asupra securității alimentare – rolul Uniunii Europene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(2023/2027(INI))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Comisia pentru pescuit</w:t>
      </w:r>
      <w:r>
        <w:rPr>
          <w:rStyle w:val="HideTWBExt"/>
        </w:rPr>
        <w:t>&lt;/</w:t>
      </w:r>
      <w:r>
        <w:rPr>
          <w:rStyle w:val="HideTWBExt"/>
        </w:rPr>
        <w:t>Commission</w:t>
      </w:r>
      <w:r>
        <w:rPr>
          <w:rStyle w:val="HideTWBExt"/>
        </w:rPr>
        <w:t>&gt;</w:t>
      </w:r>
    </w:p>
    <w:p>
      <w:pPr>
        <w:pStyle w:val="CoverNormal24a"/>
      </w:pPr>
      <w:r>
        <w:t>Raportor</w:t>
      </w:r>
      <w:r>
        <w:t xml:space="preserve">: </w:t>
      </w:r>
      <w:r>
        <w:rPr>
          <w:rStyle w:val="HideTWBExt"/>
        </w:rPr>
        <w:t>&lt;</w:t>
      </w:r>
      <w:r>
        <w:rPr>
          <w:rStyle w:val="HideTWBExt"/>
        </w:rPr>
        <w:t>Depute</w:t>
      </w:r>
      <w:r>
        <w:rPr>
          <w:rStyle w:val="HideTWBExt"/>
        </w:rPr>
        <w:t>&gt;</w:t>
      </w:r>
      <w:r>
        <w:t>Nuno Melo</w:t>
      </w:r>
      <w:r>
        <w:rPr>
          <w:rStyle w:val="HideTWBExt"/>
        </w:rPr>
        <w:t>&lt;/</w:t>
      </w:r>
      <w:r>
        <w:rPr>
          <w:rStyle w:val="HideTWBExt"/>
        </w:rPr>
        <w:t>Depute</w:t>
      </w:r>
      <w:r>
        <w:rPr>
          <w:rStyle w:val="HideTWBExt"/>
        </w:rPr>
        <w:t>&gt;</w:t>
      </w:r>
    </w:p>
    <w:p>
      <w:r>
        <w:br w:type="page"/>
      </w:r>
      <w:r>
        <w:t>PR_INI</w:t>
      </w:r>
    </w:p>
    <w:p>
      <w:pPr>
        <w:pStyle w:val="TOCHeading"/>
      </w:pPr>
      <w:r>
        <w:t>CUPRINS</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PROPUNERE DE REZOLUȚIE A PARLAMENTULUI EUROPEAN</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EXPUNERE DE MOTIVE</w:t>
      </w:r>
      <w:r>
        <w:tab/>
      </w:r>
      <w:r>
        <w:fldChar w:fldCharType="begin"/>
      </w:r>
      <w:r>
        <w:instrText xml:space="preserve"> PAGEREF _Toc256000003 \h </w:instrText>
      </w:r>
      <w:r>
        <w:fldChar w:fldCharType="separate"/>
      </w:r>
      <w:r>
        <w:t>7</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PROPUNERE DE REZOLUȚIE A PARLAMENTULUI EUROPEAN</w:t>
      </w:r>
      <w:bookmarkEnd w:id="0"/>
    </w:p>
    <w:p>
      <w:pPr>
        <w:pStyle w:val="NormalBold"/>
      </w:pPr>
      <w:r>
        <w:t>referitoare la impactul pescuitului ilegal asupra securității alimentare – rolul Uniunii Europene</w:t>
      </w:r>
    </w:p>
    <w:p>
      <w:pPr>
        <w:pStyle w:val="NormalBold"/>
      </w:pPr>
      <w:r>
        <w:t>(2023/2027(INI))</w:t>
      </w:r>
    </w:p>
    <w:p>
      <w:pPr>
        <w:pStyle w:val="EPComma"/>
      </w:pPr>
      <w:r>
        <w:rPr>
          <w:rStyle w:val="Italic"/>
        </w:rPr>
        <w:t>Parlamentul European</w:t>
      </w:r>
      <w:r>
        <w:t>,</w:t>
      </w:r>
    </w:p>
    <w:p>
      <w:pPr>
        <w:pStyle w:val="NormalHanging12a"/>
      </w:pPr>
      <w:r>
        <w:t>–</w:t>
      </w:r>
      <w:r>
        <w:tab/>
      </w:r>
      <w:r>
        <w:t>având în vedere studiul din 2022 al Comisiei intitulat „Study on the legislative frameworks and enforcement systems of Member States regarding obligations and sanctions to nationals for infringements to the rules arising from the IUU Regulation” (Studiu privind cadrele legislative și sistemele de punere în aplicare ale statelor membre în ceea ce privește obligațiile și sancțiunile impuse resortisanților pentru încălcarea normelor care decurg din Regulamentul INN),</w:t>
      </w:r>
    </w:p>
    <w:p>
      <w:pPr>
        <w:pStyle w:val="NormalHanging12a"/>
      </w:pPr>
      <w:r>
        <w:t>–</w:t>
      </w:r>
      <w:r>
        <w:tab/>
      </w:r>
      <w:r>
        <w:t xml:space="preserve">având în vedere Raportul special 20/2022 al </w:t>
      </w:r>
      <w:r>
        <w:t>Curții Europene de Conturi</w:t>
      </w:r>
      <w:r>
        <w:t xml:space="preserve"> din 26 septembrie 2022 intitulat „Acțiunile întreprinse de UE pentru a combate pescuitul ilegal - Există sisteme de control, dar acestea sunt fragilizate de aplicarea neuniformă a controalelor și a sancțiunilor de către statele membre”, care acoperă politica UE de combatere a pescuitului ilegal, nedeclarat și nereglementat (INN),</w:t>
      </w:r>
    </w:p>
    <w:p>
      <w:pPr>
        <w:pStyle w:val="NormalHanging12a"/>
      </w:pPr>
      <w:r>
        <w:t>–</w:t>
      </w:r>
      <w:r>
        <w:tab/>
      </w:r>
      <w:r>
        <w:t>având în vedere Convenția ONU din 1982 asupra dreptului mării,</w:t>
      </w:r>
    </w:p>
    <w:p>
      <w:pPr>
        <w:pStyle w:val="NormalHanging12a"/>
      </w:pPr>
      <w:r>
        <w:t>–</w:t>
      </w:r>
      <w:r>
        <w:tab/>
      </w:r>
      <w:r>
        <w:t>având în vedere Acordul din 1995 al Organizației Națiunilor Unite pentru Alimentație și Agricultură (FAO) privind promovarea respectării măsurilor internaționale de conservare și gestionare de către navele de pescuit în marea liberă,</w:t>
      </w:r>
    </w:p>
    <w:p>
      <w:pPr>
        <w:pStyle w:val="NormalHanging12a"/>
      </w:pPr>
      <w:r>
        <w:t>–</w:t>
      </w:r>
      <w:r>
        <w:tab/>
      </w:r>
      <w:r>
        <w:t>având în vedere Acordul ONU din 1995 privind stocurile de pește,</w:t>
      </w:r>
    </w:p>
    <w:p>
      <w:pPr>
        <w:pStyle w:val="NormalHanging12a"/>
      </w:pPr>
      <w:r>
        <w:t>–</w:t>
      </w:r>
      <w:r>
        <w:tab/>
      </w:r>
      <w:r>
        <w:t>având în vedere Codul de conduită al FAO din 1995 pentru un pescuit responsabil,</w:t>
      </w:r>
    </w:p>
    <w:p>
      <w:pPr>
        <w:pStyle w:val="NormalHanging12a"/>
      </w:pPr>
      <w:r>
        <w:t>–</w:t>
      </w:r>
      <w:r>
        <w:tab/>
      </w:r>
      <w:r>
        <w:t>având în vedere Planul internațional de acțiune al FAO din 2001 pentru prevenirea, descurajarea și eliminarea pescuitului ilegal, nedeclarat și nereglementat,</w:t>
      </w:r>
    </w:p>
    <w:p>
      <w:pPr>
        <w:pStyle w:val="NormalHanging12a"/>
      </w:pPr>
      <w:r>
        <w:t>–</w:t>
      </w:r>
      <w:r>
        <w:tab/>
      </w:r>
      <w:r>
        <w:t>având în vedere Acordul FAO din 2009 privind măsurile de competența statului portului pentru prevenirea, descurajarea și eliminarea pescuitului ilegal, nedeclarat și nereglementat,</w:t>
      </w:r>
    </w:p>
    <w:p>
      <w:pPr>
        <w:pStyle w:val="NormalHanging12a"/>
      </w:pPr>
      <w:r>
        <w:t>–</w:t>
      </w:r>
      <w:r>
        <w:tab/>
      </w:r>
      <w:r>
        <w:t>având în vedere Orientările voluntare ale FAO din 2014 privind acțiunile statului de pavilion,</w:t>
      </w:r>
    </w:p>
    <w:p>
      <w:pPr>
        <w:pStyle w:val="NormalHanging12a"/>
      </w:pPr>
      <w:r>
        <w:t>–</w:t>
      </w:r>
      <w:r>
        <w:tab/>
      </w:r>
      <w:r>
        <w:t>având în vedere raportul Coaliției UE privind pescuitul INN din decembrie 2021 intitulat „Trasabilitatea produselor pescărești de mare: Alinierea sistemelor ORGP de documentare a capturilor pentru combaterea pescuitului INN”,</w:t>
      </w:r>
    </w:p>
    <w:p>
      <w:pPr>
        <w:pStyle w:val="NormalHanging12a"/>
      </w:pPr>
      <w:r>
        <w:t>–</w:t>
      </w:r>
      <w:r>
        <w:tab/>
      </w:r>
      <w:r>
        <w:t>având în vedere avizul comun al Consiliului consultativ pentru piețe și al Consiliului consultativ pentru flota de lungă distanță din 21 aprilie 2023 privind necesitatea unor controale armonizate ale importurilor între statele membre pentru a preveni intrarea pe piața Uniunii Europene a produselor provenite din pescuitul ilegal, nedeclarat și nereglementat (INN),</w:t>
      </w:r>
    </w:p>
    <w:p>
      <w:pPr>
        <w:pStyle w:val="NormalHanging12a"/>
      </w:pPr>
      <w:r>
        <w:t>–</w:t>
      </w:r>
      <w:r>
        <w:tab/>
      </w:r>
      <w:r>
        <w:t>având în vedere documentul de orientare al FAO din 2023 intitulat „Promovarea trasabilității de la un capăt la altul – Acțiuni critice de urmărire și elemente-cheie în materie de date de-a lungul lanțurilor valorice ale pescuitului de captură și acvaculturii”,</w:t>
      </w:r>
    </w:p>
    <w:p>
      <w:pPr>
        <w:pStyle w:val="NormalHanging12a"/>
      </w:pPr>
      <w:r>
        <w:t>–</w:t>
      </w:r>
      <w:r>
        <w:tab/>
      </w:r>
      <w:r>
        <w:t>având în vedere orientările tehnice ale FAO din 2023 intitulate „Punerea în aplicare a Planului internațional de acțiune pentru prevenirea, descurajarea și eliminarea pescuitului ilegal, nedeclarat și nereglementat – 1. Metodologii și indicatori pentru estimarea amplorii și a impactului pescuitului ilegal, nedeclarat și nereglementat: 1.1 Principii și abordări”,</w:t>
      </w:r>
    </w:p>
    <w:p>
      <w:pPr>
        <w:pStyle w:val="NormalHanging12a"/>
      </w:pPr>
      <w:r>
        <w:t>–</w:t>
      </w:r>
      <w:r>
        <w:tab/>
      </w:r>
      <w:r>
        <w:t>având în vedere articolul 54 din Regulamentul său de procedură,</w:t>
      </w:r>
    </w:p>
    <w:p>
      <w:pPr>
        <w:pStyle w:val="NormalHanging12a"/>
      </w:pPr>
      <w:r>
        <w:t>–</w:t>
      </w:r>
      <w:r>
        <w:tab/>
      </w:r>
      <w:r>
        <w:t>având în vedere raportul Comisiei pentru pescuit (A9-0000/2023),</w:t>
      </w:r>
    </w:p>
    <w:p>
      <w:pPr>
        <w:pStyle w:val="NormalHanging12a"/>
      </w:pPr>
      <w:r>
        <w:t>A.</w:t>
      </w:r>
      <w:r>
        <w:tab/>
      </w:r>
      <w:r>
        <w:t>întrucât UE este un actor mondial major în domeniul pescuitului, atât datorită flotei sale de pescuit (aproximativ 73 000 de nave), cât și datorită poziției sale de cel mai mare importator mondial de produse pescărești (aproape 70 % din produsele pescărești marine consumate în UE sunt importate, reprezentând 34 % din valoarea totală a comerțului mondial) și, prin urmare, joacă un rol central în combaterea pescuitului INN la nivel mondial;</w:t>
      </w:r>
    </w:p>
    <w:p>
      <w:pPr>
        <w:pStyle w:val="NormalHanging12a"/>
      </w:pPr>
      <w:r>
        <w:t>B.</w:t>
      </w:r>
      <w:r>
        <w:tab/>
      </w:r>
      <w:r>
        <w:t>întrucât sectorul pescuitului din UE angajează direct 124 000 de pescari și generează venituri în valoare de 6,3 miliarde EUR în fiecare an;</w:t>
      </w:r>
    </w:p>
    <w:p>
      <w:pPr>
        <w:pStyle w:val="NormalHanging12a"/>
      </w:pPr>
      <w:r>
        <w:t>C.</w:t>
      </w:r>
      <w:r>
        <w:tab/>
      </w:r>
      <w:r>
        <w:t>întrucât UE s-a angajat să atingă obiectivul de dezvoltare durabilă 14.4, și anume de a pune capăt pescuitului INN până în 2020;</w:t>
      </w:r>
    </w:p>
    <w:p>
      <w:pPr>
        <w:pStyle w:val="NormalHanging12a"/>
      </w:pPr>
      <w:r>
        <w:t>D.</w:t>
      </w:r>
      <w:r>
        <w:tab/>
      </w:r>
      <w:r>
        <w:t>întrucât articolul 12 din Regulamentul privind pescuitul INN</w:t>
      </w:r>
      <w:r>
        <w:rPr>
          <w:rStyle w:val="FootnoteReference"/>
        </w:rPr>
        <w:footnoteReference w:id="0"/>
      </w:r>
      <w:r>
        <w:t xml:space="preserve"> interzice importul de produse pescărești obținute din pescuitul INN;</w:t>
      </w:r>
    </w:p>
    <w:p>
      <w:pPr>
        <w:pStyle w:val="NormalHanging12a"/>
      </w:pPr>
      <w:r>
        <w:t>E.</w:t>
      </w:r>
      <w:r>
        <w:tab/>
      </w:r>
      <w:r>
        <w:t>întrucât patru țări terțe au în prezent cartonaș roșu, iar opt au cartonaș galben; întrucât, cu toate acestea, un producător important de produse pescărești de mare, Republica Populară Chineză, nu a făcut niciodată obiectul unei proceduri în temeiul Regulamentului INN, în ciuda dovezilor considerabile privind implicarea sa semnificativă și din ce în ce mai mare în pescuitul INN;</w:t>
      </w:r>
    </w:p>
    <w:p>
      <w:pPr>
        <w:pStyle w:val="NormalHanging12a"/>
      </w:pPr>
      <w:r>
        <w:t>F.</w:t>
      </w:r>
      <w:r>
        <w:tab/>
      </w:r>
      <w:r>
        <w:t>întrucât UE dispune de un cadru legislativ solid în domeniul pescuitului, inclusiv de măsuri de îmbunătățire a capacităților de monitorizare, inspecție, control și supraveghere utilizate pentru combaterea pescuitului INN;</w:t>
      </w:r>
    </w:p>
    <w:p>
      <w:pPr>
        <w:pStyle w:val="NormalHanging12a"/>
      </w:pPr>
      <w:r>
        <w:t>G.</w:t>
      </w:r>
      <w:r>
        <w:tab/>
      </w:r>
      <w:r>
        <w:t>întrucât Fondul european pentru pescuit și afaceri maritime a oferit sprijin pentru activitățile de monitorizare, control și implementare, în acest scop fiind alocat un buget total de 580 de milioane EUR;</w:t>
      </w:r>
    </w:p>
    <w:p>
      <w:pPr>
        <w:pStyle w:val="NormalHanging12a"/>
      </w:pPr>
      <w:r>
        <w:t>H.</w:t>
      </w:r>
      <w:r>
        <w:tab/>
      </w:r>
      <w:r>
        <w:t xml:space="preserve">întrucât Raportul special 20/2022 al </w:t>
      </w:r>
      <w:r>
        <w:t>Curții Europene de Conturi</w:t>
      </w:r>
      <w:r>
        <w:t xml:space="preserve"> conclude că sistemele de control sunt fragilizate de aplicarea neuniformă a controalelor și a sancțiunilor de către statele membre;</w:t>
      </w:r>
    </w:p>
    <w:p>
      <w:pPr>
        <w:pStyle w:val="NormalHanging12a"/>
      </w:pPr>
      <w:r>
        <w:t>I.</w:t>
      </w:r>
      <w:r>
        <w:tab/>
      </w:r>
      <w:r>
        <w:t>întrucât digitalizarea certificatelor de captură INN prin intermediul sistemului informatic CATCH va reduce posibilitățile de importuri frauduloase;</w:t>
      </w:r>
    </w:p>
    <w:p>
      <w:pPr>
        <w:pStyle w:val="NormalHanging12a"/>
      </w:pPr>
      <w:r>
        <w:t>J.</w:t>
      </w:r>
      <w:r>
        <w:tab/>
      </w:r>
      <w:r>
        <w:t>întrucât produsele obținute din pescuitul ilegal reprezintă un risc pentru securitatea alimentară a cetățenilor Uniunii Europene,</w:t>
      </w:r>
    </w:p>
    <w:p>
      <w:pPr>
        <w:pStyle w:val="NormalHanging12a"/>
      </w:pPr>
      <w:r>
        <w:t>1.</w:t>
      </w:r>
      <w:r>
        <w:tab/>
      </w:r>
      <w:r>
        <w:t>reafirmă necesitatea ca UE și statele sale membre să continue să adopte o abordare de toleranță zero față de pescuitul INN, aplicând această abordare în mod egal tuturor țărilor, indiferent de dimensiune, și să promoveze pescuitul sustenabil în vederea combaterii pescuitului excesiv și a asigurării securității alimentare;</w:t>
      </w:r>
    </w:p>
    <w:p>
      <w:pPr>
        <w:pStyle w:val="NormalHanging12a"/>
      </w:pPr>
      <w:r>
        <w:t>2.</w:t>
      </w:r>
      <w:r>
        <w:tab/>
      </w:r>
      <w:r>
        <w:t>solicită aplicarea orientărilor UE pentru a stabili cele mai bune modalități de îmbunătățire a punerii în aplicare a Regulamentului INN al UE în statele membre care nu respectă cerințele regulamentului și cea mai bună modalitate de a verifica informațiile furnizate în rapoartele bienale;</w:t>
      </w:r>
    </w:p>
    <w:p>
      <w:pPr>
        <w:pStyle w:val="NormalHanging12a"/>
      </w:pPr>
      <w:r>
        <w:t>3.</w:t>
      </w:r>
      <w:r>
        <w:tab/>
      </w:r>
      <w:r>
        <w:t>încurajează statele membre să aloce capacități și resurse suficiente pentru a asigura punerea în aplicare eficace a controalelor la import;</w:t>
      </w:r>
    </w:p>
    <w:p>
      <w:pPr>
        <w:pStyle w:val="NormalHanging12a"/>
      </w:pPr>
      <w:r>
        <w:t>4.</w:t>
      </w:r>
      <w:r>
        <w:tab/>
      </w:r>
      <w:r>
        <w:t>subliniază că Comisia trebuie să ofere sprijin adecvat autorităților naționale responsabile cu controlul importurilor de produse de mare, remarcând că acest sprijin poate include, după caz, elaborarea unei liste a măsurilor de gestionare și conservare aplicabile în țările din afara UE și schimbul de informații detaliate privind deficiențele identificate în contextul punerii în aplicare a Regulamentului INN al UE în ceea ce privește țările din afara UE;</w:t>
      </w:r>
    </w:p>
    <w:p>
      <w:pPr>
        <w:pStyle w:val="NormalHanging12a"/>
      </w:pPr>
      <w:r>
        <w:t>5.</w:t>
      </w:r>
      <w:r>
        <w:tab/>
      </w:r>
      <w:r>
        <w:t>subliniază că Comisia trebuie să ofere, împreună cu Agenția Europeană pentru Controlul Pescuitului și în strânsă coordonare cu statele membre, sprijin suplimentar autorităților naționale în ceea ce privește cele mai bune modalități de punere în aplicare a Regulamentului INN, iar acest sprijin ar trebui să ia forma unor orientări, schimburi de bune practici, acțiuni de formare și alte acțiuni similare;</w:t>
      </w:r>
    </w:p>
    <w:p>
      <w:pPr>
        <w:pStyle w:val="NormalHanging12a"/>
      </w:pPr>
      <w:r>
        <w:t>6.</w:t>
      </w:r>
      <w:r>
        <w:tab/>
      </w:r>
      <w:r>
        <w:t>încurajează Comisia să depună în continuare eforturi pentru aplicarea și implementarea consecventă a procedurilor de control al importurilor în întreaga UE, inclusiv legate de controlul certificatelor de captură, abordările bazate pe riscuri și verificări;</w:t>
      </w:r>
    </w:p>
    <w:p>
      <w:pPr>
        <w:pStyle w:val="NormalHanging12a"/>
      </w:pPr>
      <w:r>
        <w:t>7.</w:t>
      </w:r>
      <w:r>
        <w:tab/>
      </w:r>
      <w:r>
        <w:t>reamintește Comisiei necesitatea de a armoniza controalele la import în toate statele membre pentru a preveni intrarea pe piața UE a produselor pescărești provenite din pescuitul INN;</w:t>
      </w:r>
    </w:p>
    <w:p>
      <w:pPr>
        <w:pStyle w:val="NormalHanging12a"/>
      </w:pPr>
      <w:r>
        <w:t>8.</w:t>
      </w:r>
      <w:r>
        <w:tab/>
      </w:r>
      <w:r>
        <w:t>încurajează Comisia să acționeze rapid pentru a se asigura că sistemul informatic CATCH este pe deplin operațional și că autoritățile naționale ale statelor membre sunt pe deplin familiarizate cu utilizarea acestuia în termen de doi ani de la data aplicării articolului 4 din Regulamentul revizuit privind controlul pescuitului;</w:t>
      </w:r>
    </w:p>
    <w:p>
      <w:pPr>
        <w:pStyle w:val="NormalHanging12a"/>
      </w:pPr>
      <w:r>
        <w:t>9.</w:t>
      </w:r>
      <w:r>
        <w:tab/>
      </w:r>
      <w:r>
        <w:t>solicită Comisiei să prevadă resurse umane suficiente pentru a asigura o implementare mai rapidă și mai eficace a sistemului informatic menționat anterior în statele membre;</w:t>
      </w:r>
    </w:p>
    <w:p>
      <w:pPr>
        <w:pStyle w:val="NormalHanging12a"/>
      </w:pPr>
      <w:r>
        <w:t>10.</w:t>
      </w:r>
      <w:r>
        <w:tab/>
      </w:r>
      <w:r>
        <w:t>salută instituirea noului sistem informatic CATCH prin Regulamentul revizuit privind controlul pescuitului;</w:t>
      </w:r>
    </w:p>
    <w:p>
      <w:pPr>
        <w:pStyle w:val="NormalHanging12a"/>
      </w:pPr>
      <w:r>
        <w:t>11.</w:t>
      </w:r>
      <w:r>
        <w:tab/>
      </w:r>
      <w:r>
        <w:t>încurajează includerea rapidă a unor criterii de risc mai cuprinzătoare și a unor verificări încrucișate ale datelor în următoarele versiuni ale sistemului informatic CATCH, astfel cum a recomandat Consiliul consultativ pentru flota de lungă distanță; consideră că, pentru a asigura armonizarea la cel mai înalt nivel, Comisia trebuie să se asigure că evaluarea riscurilor aplicată în CATCH este cel puțin la fel de riguroasă ca și cea aplicată în statele membre care dispun deja de un sistem electronic de verificare a certificatelor de captură; consideră că, în perioada de intervenție, Comisia trebuie să se asigure că există interoperabilitate între CATCH și sistemele informatice naționale, fără a crește sarcina asupra operatorilor economici;</w:t>
      </w:r>
    </w:p>
    <w:p>
      <w:pPr>
        <w:pStyle w:val="NormalHanging12a"/>
      </w:pPr>
      <w:r>
        <w:t>12.</w:t>
      </w:r>
      <w:r>
        <w:tab/>
      </w:r>
      <w:r>
        <w:t>îndeamnă Comisia să mărească numărul angajaților din cadrul Direcției sale Generale Afaceri Maritime și Pescuit care lucrează în domeniul guvernanței oceanelor și al pescuitului INN;</w:t>
      </w:r>
    </w:p>
    <w:p>
      <w:pPr>
        <w:pStyle w:val="NormalHanging12a"/>
      </w:pPr>
      <w:r>
        <w:t>13.</w:t>
      </w:r>
      <w:r>
        <w:tab/>
      </w:r>
      <w:r>
        <w:t>încurajează statele membre să se asigure că sunt puse în aplicare procedurile necesare pentru a pregăti adoptarea legală a sistemului informatic CATCH și pentru a se garanta că sistemul este gata de utilizare cât mai curând posibil;</w:t>
      </w:r>
    </w:p>
    <w:p>
      <w:pPr>
        <w:pStyle w:val="NormalHanging12a"/>
      </w:pPr>
      <w:r>
        <w:t>14.</w:t>
      </w:r>
      <w:r>
        <w:tab/>
      </w:r>
      <w:r>
        <w:t>îndeamnă statele membre să își consolideze sistemele de control pentru a preveni importul de produse pescărești ilegale și să ia măsurile necesare în acest domeniu;</w:t>
      </w:r>
    </w:p>
    <w:p>
      <w:pPr>
        <w:pStyle w:val="NormalHanging12a"/>
      </w:pPr>
      <w:r>
        <w:t>15.</w:t>
      </w:r>
      <w:r>
        <w:tab/>
      </w:r>
      <w:r>
        <w:t>îndeamnă statele membre să aplice împotriva pescuitului ilegal sancțiuni cu efect de descurajare;</w:t>
      </w:r>
    </w:p>
    <w:p>
      <w:pPr>
        <w:pStyle w:val="NormalHanging12a"/>
      </w:pPr>
      <w:r>
        <w:t>16.</w:t>
      </w:r>
      <w:r>
        <w:tab/>
      </w:r>
      <w:r>
        <w:t>invită Comisia și statele membre să nu acorde acces preferențial pe piață țărilor în care au loc practici de pescuit INN și încălcări grave ale dreptului muncii; consideră că UE ar trebui să depună eforturi pentru a stabili condiții de concurență cu adevărat echitabile între producătorii de produse pescărești marine din UE și cei din în țările terțe; consideră că, în mod specific, instrumentul privind contingentele tarifare autonome ar trebui utilizat exclusiv în cazurile în care aprovizionarea cu produse marine pentru piețele UE este insuficientă și că acesta nu ar trebui utilizat pentru a importa produse provenite din pescuitul INN sau pentru a exercita presiuni asupra prețurilor la bunurile produse în UE;</w:t>
      </w:r>
    </w:p>
    <w:p>
      <w:pPr>
        <w:pStyle w:val="NormalHanging12a"/>
      </w:pPr>
      <w:r>
        <w:t>17.</w:t>
      </w:r>
      <w:r>
        <w:tab/>
      </w:r>
      <w:r>
        <w:t>încurajează statele membre să îmbunătățească schimbul de informații de rutină și în timp util, inclusiv cu privire la loturile respinse, ceea ce poate permite autorităților să aplice mai bine legislația și să asigure respectarea ei; subliniază că Acordul FAO privind măsurile de competența statului portului poate oferi asistență în acest sens;</w:t>
      </w:r>
    </w:p>
    <w:p>
      <w:pPr>
        <w:pStyle w:val="NormalHanging12a"/>
      </w:pPr>
      <w:r>
        <w:t>18.</w:t>
      </w:r>
      <w:r>
        <w:tab/>
      </w:r>
      <w:r>
        <w:t>subliniază că sistemele multilaterale de documentare a capturilor care sunt concepute și convenite de părțile contractante ale organizațiilor regionale de gestionare a pescuitului și de părțile necontractante cooperante și care necesită înregistrarea și transferul de informații critice cu privire la un lot de-a lungul întregului lanț de aprovizionare s-au dovedit a fi instrumente eficace pentru îmbunătățirea trasabilității și contribuie la combaterea pescuitului INN;</w:t>
      </w:r>
    </w:p>
    <w:p>
      <w:pPr>
        <w:pStyle w:val="NormalHanging12a"/>
      </w:pPr>
      <w:r>
        <w:t>19.</w:t>
      </w:r>
      <w:r>
        <w:tab/>
      </w:r>
      <w:r>
        <w:t>încredințează Președintei sarcina de a transmite prezenta rezoluție Consiliului și Comisiei.</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EXPUNERE DE MOTIVE</w:t>
      </w:r>
      <w:bookmarkEnd w:id="1"/>
    </w:p>
    <w:p>
      <w:pPr>
        <w:pStyle w:val="Normal12a"/>
      </w:pPr>
      <w:r>
        <w:t>Uniunea Europeană (UE) se află într-o situație unică, fiind unul dintre cei mai importanți actori mondiali în domeniul pescuitului, atât datorită prezenței extinse a activităților sale de pescuit în oceane, cât și datorită poziției sale de importator principal de produse pescărești, cu aproximativ 73 000 de nave sub pavilionul său și cu o rată impresionantă a importurilor, în care aproape 70 % din produsele de mare consumate provin din străinătate. Din aceste motive, influența UE asupra practicilor de pescuit la nivel mondial nu poate fi subestimată. Această poziție dominantă înseamnă că UE are, de asemenea, o responsabilitate semnificativă în definirea și promovarea practicilor durabile în acest sector.</w:t>
      </w:r>
    </w:p>
    <w:p>
      <w:pPr>
        <w:pStyle w:val="Normal12a"/>
      </w:pPr>
      <w:r>
        <w:t>În calitate de parte contractantă la Convenția Națiunilor Unite asupra dreptului mării (UNCLOS) și de semnatară a mai multor altor acorduri internaționale importante, UE a avut întotdeauna datoria de a proteja resursele marine. Aceste dispoziții subliniază responsabilitatea tuturor statelor de a asigura gestionarea sustenabilă a mediului marin și de a colabora în vederea atingerii acestui obiectiv comun.</w:t>
      </w:r>
    </w:p>
    <w:p>
      <w:pPr>
        <w:pStyle w:val="Normal12a"/>
      </w:pPr>
      <w:r>
        <w:t>Pescuitul ilegal, nedeclarat și nereglementat (INN) reprezintă o amenințare semnificativă la adresa ecosistemelor marine, a bunăstării socioeconomice a comunităților dependente de pescuit, a reputației globale a sectorului pescuitului și a eforturilor internaționale de îmbunătățire a guvernanței oceanelor.</w:t>
      </w:r>
    </w:p>
    <w:p>
      <w:pPr>
        <w:pStyle w:val="Normal12a"/>
      </w:pPr>
      <w:r>
        <w:t>Dimensiunea enormă a repercusiunilor economice este evidentă atunci când se ia în considerare numărul mare de locuri de muncă generate de acest sector în comunitățile costiere – peste 124 000 de locuri de muncă directe – și veniturile remarcabile pe care le generează pentru bugetul UE – 6,3 miliarde de euro anual. Introducerea pe piață a produselor provenite din pescuitul INN pune în pericol această contribuție economică. Operațiunile ilegale de pescuit nu numai că privează statele de venituri, dar necesită și creșterea cheltuielilor pentru măsurile de monitorizare, inspecție și control pentru combaterea pescuitului INN.</w:t>
      </w:r>
    </w:p>
    <w:p>
      <w:pPr>
        <w:pStyle w:val="Normal12a"/>
      </w:pPr>
      <w:r>
        <w:t>Având în vedere rolul său central pe piața mondială a produselor pescărești marine, Uniunea Europeană se află într-o poziție unică pentru a modela practici și a conduce eforturile internaționale în materie de pescuit sustenabil. Angajamentul UE față de sustenabilitate în sectorul pescuitului nu este doar o preocupare economică sau de mediu, este și o chestiune de securitate alimentară. Întrucât majoritatea produselor pescărești marine sunt importate, asigurarea faptului că aceste importuri sunt obținute în mod sustenabil și legal este vitală pentru sănătatea și bunăstarea cetățenilor săi.</w:t>
      </w:r>
    </w:p>
    <w:p>
      <w:pPr>
        <w:pStyle w:val="Normal12a"/>
      </w:pPr>
      <w:r>
        <w:t xml:space="preserve">Deși UE dispune de cadre de reglementare solide, cum ar fi alocarea a 580 de milioane EUR din Fondul european pentru pescuit și afaceri maritime pentru a sprijini activitățile de monitorizare și control, există în continuare provocări. În raportul său din 2022, </w:t>
      </w:r>
      <w:r>
        <w:t>Curtea de Conturi</w:t>
      </w:r>
      <w:r>
        <w:t xml:space="preserve"> a susținut că în statele membre controalele și sancțiunile nu sunt consecvente și a revelat deficiențe ale sistemului care trebuie abordate urgent.</w:t>
      </w:r>
    </w:p>
    <w:p>
      <w:pPr>
        <w:pStyle w:val="Normal12a"/>
      </w:pPr>
      <w:r>
        <w:t>Pentru UE, calea de urmat este multidimensională. Digitalizarea certificatelor de captură INN prin intermediul sistemului informatic CATCH, de exemplu, reprezintă un pas promițător în direcția cea bună. Acest sistem urmărește să reducă importurile frauduloase și să asigure o respectare mai strictă a reglementărilor UE.</w:t>
      </w:r>
    </w:p>
    <w:p>
      <w:pPr>
        <w:pStyle w:val="Normal12a"/>
      </w:pPr>
      <w:r>
        <w:t>În plus, este esențială promovarea unor colaborări mai strânse cu țări terțe, dintre care multe sunt producători importanți de produse pescărești marine. Aceste parteneriate vor garanta că produsele importate respectă standardele stricte ale UE și că poziția UE împotriva pescuitului INN are ecou la nivel mondial.</w:t>
      </w:r>
    </w:p>
    <w:p>
      <w:pPr>
        <w:pStyle w:val="Normal12a"/>
      </w:pPr>
      <w:r>
        <w:t>În special sistemul de carduri al UE s-a dovedit util, patru țări terțe deținând în prezent cartonaș roșu și opt țări, cartonaș galben. Cu toate acestea, Republica Populară Chineză (RPC), producător important de produse pescărești marine, nu a făcut niciodată obiectul reglementărilor INN, în pofida dovezilor considerabile privind implicarea semnificativă și din ce în ce mai mare a RPC în pescuitul INN.</w:t>
      </w:r>
    </w:p>
    <w:p>
      <w:pPr>
        <w:pStyle w:val="Normal12a"/>
      </w:pPr>
      <w:r>
        <w:t>Întrucât operatorii INN caută în permanență lacune în cadrele existente, este esențial ca UE să mențină o abordare dinamică și proactivă pentru a-și respecta angajamentul față de pescuitul sustenabil și securitatea alimentară la nivel mondial.</w:t>
      </w:r>
    </w:p>
    <w:p>
      <w:pPr>
        <w:pStyle w:val="Normal12a"/>
      </w:pPr>
      <w:r>
        <w:t>UE are responsabilitatea de a conduce lupta împotriva pescuitului INN. Procedând astfel, UE poate nu numai să asigure viitorul ecosistemelor sale marine și mijloacele de subzistență pe care le sprijină, ci și să își consolideze poziția de susținător la nivel mondial al practicilor de pescuit sustenabile și responsabile. Pentru ca acest lucru să se întâmple, este esențial ca UE și statele membre să continue să pună în aplicare și, în special, să promoveze mai multe măsuri la nivel mondial:</w:t>
      </w:r>
    </w:p>
    <w:p>
      <w:pPr>
        <w:pStyle w:val="NormalHangingJustified"/>
      </w:pPr>
      <w:r>
        <w:t>•</w:t>
      </w:r>
      <w:r>
        <w:tab/>
      </w:r>
      <w:r>
        <w:t>promovarea toleranței zero față de pescuitul ilegal, nedeclarat și nereglementat, asigurarea unui tratament egal pentru toate țările, indiferent de dimensiune, și promovarea pescuitului sustenabil, combaterea pescuitului excesiv și garantarea securității alimentare;</w:t>
      </w:r>
    </w:p>
    <w:p>
      <w:pPr>
        <w:pStyle w:val="NormalHangingJustified"/>
      </w:pPr>
      <w:r>
        <w:t>•</w:t>
      </w:r>
      <w:r>
        <w:tab/>
      </w:r>
      <w:r>
        <w:t>punerea în aplicare a unor controale armonizate ale importurilor între statele membre pentru a preveni intrarea pe piața UE a produselor provenite din pescuitul INN;</w:t>
      </w:r>
    </w:p>
    <w:p>
      <w:pPr>
        <w:pStyle w:val="NormalHangingJustified"/>
      </w:pPr>
      <w:r>
        <w:t>•</w:t>
      </w:r>
      <w:r>
        <w:tab/>
      </w:r>
      <w:r>
        <w:t>îndeamnă Comisia să se asigure că sistemul informatic CATCH este pe deplin operațional și că autoritățile naționale ale statelor membre sunt bine familiarizate cu utilizarea acestuia, la doi ani de la punerea în aplicare a Regulamentului revizuit privind controlul pescuitului;</w:t>
      </w:r>
    </w:p>
    <w:p>
      <w:pPr>
        <w:pStyle w:val="NormalHangingJustified"/>
      </w:pPr>
      <w:r>
        <w:t>•</w:t>
      </w:r>
      <w:r>
        <w:tab/>
      </w:r>
      <w:r>
        <w:t>asigurarea de resurse umane suficiente pentru a promova implementarea mai rapidă și mai eficientă a sistemului informatic CATCH în statele membre;</w:t>
      </w:r>
    </w:p>
    <w:p>
      <w:pPr>
        <w:pStyle w:val="NormalHangingJustified"/>
      </w:pPr>
      <w:r>
        <w:t>•</w:t>
      </w:r>
      <w:r>
        <w:tab/>
      </w:r>
      <w:r>
        <w:t>creșterea numărului de angajați ai DG MARE care lucrează în domeniul guvernanței oceanelor și pescuitului INN;</w:t>
      </w:r>
    </w:p>
    <w:p>
      <w:pPr>
        <w:pStyle w:val="NormalHangingJustified"/>
      </w:pPr>
      <w:r>
        <w:t>•</w:t>
      </w:r>
      <w:r>
        <w:tab/>
      </w:r>
      <w:r>
        <w:t>consolidarea sistemelor de control și a măsurilor necesare adoptate de statele membre pentru a preveni importul de produse provenite din pescuitul ilegal;</w:t>
      </w:r>
    </w:p>
    <w:p>
      <w:pPr>
        <w:pStyle w:val="NormalHangingJustified"/>
      </w:pPr>
      <w:r>
        <w:t>•</w:t>
      </w:r>
      <w:r>
        <w:tab/>
      </w:r>
      <w:r>
        <w:t>îndeamnă statele membre să aplice sancțiuni cu efect de descurajare împotriva pescuitului ilegal;</w:t>
      </w:r>
    </w:p>
    <w:p>
      <w:pPr>
        <w:pStyle w:val="NormalHangingJustified"/>
      </w:pPr>
      <w:r>
        <w:t>•</w:t>
      </w:r>
      <w:r>
        <w:tab/>
      </w:r>
      <w:r>
        <w:t>avertizează Comisia și statele membre să nu acorde acces preferențial pe piață țărilor în care au loc practici de pescuit INN și încălcări grave ale legislației muncii;</w:t>
      </w:r>
    </w:p>
    <w:p>
      <w:pPr>
        <w:pStyle w:val="NormalHangingJustified"/>
      </w:pPr>
      <w:r>
        <w:t>•</w:t>
      </w:r>
      <w:r>
        <w:tab/>
      </w:r>
      <w:r>
        <w:t>încurajează statele membre să îmbunătățească schimbul de informații de rutină și în timp util, inclusiv privind loturile respinse, permițând autorităților să aplice legislația într-un mod mai eficace; subliniază că Acordul privind măsurile de competența statului portului poate oferi asistență în acest domeniu.</w:t>
      </w:r>
    </w:p>
    <w:p>
      <w:pPr>
        <w:pStyle w:val="NormalHangingJustified"/>
      </w:pPr>
      <w:r>
        <w:t>•</w:t>
      </w:r>
      <w:r>
        <w:tab/>
      </w:r>
      <w:r>
        <w:t>subliniază că sistemele de certificare a capturilor (CDS), concepute și convenite de organizațiile regionale de gestionare a pescuitului (ORGP), care necesită înregistrarea și transferul informațiilor critice privind transporturile de-a lungul întregului lanț de aprovizionare, sunt instrumente dovedite de îmbunătățire a trasabilității și de sprijinire a combaterii pescuitului INN.</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PR\1286110RO.docx</w:t>
    </w:r>
    <w:r>
      <w:rPr>
        <w:rStyle w:val="HideTWBExt"/>
      </w:rPr>
      <w:t>&lt;/</w:t>
    </w:r>
    <w:r>
      <w:rPr>
        <w:rStyle w:val="HideTWBExt"/>
      </w:rPr>
      <w:t>PathFdR</w:t>
    </w:r>
    <w:r>
      <w:rPr>
        <w:rStyle w:val="HideTWBExt"/>
      </w:rPr>
      <w:t>&gt;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PR\1286110RO.docx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PR\1286110RO.docx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 (JO L 286, 29.10.2008,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8/1005/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1286110</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20231016-113309-007374-963549</vt:lpwstr>
  </property>
  <property fmtid="{D5CDD505-2E9C-101B-9397-08002B2CF9AE}" pid="7" name="FooterPath">
    <vt:lpwstr>PR\1286110RO.doc</vt:lpwstr>
  </property>
  <property fmtid="{D5CDD505-2E9C-101B-9397-08002B2CF9AE}" pid="8" name="PE Number">
    <vt:lpwstr>753.497</vt:lpwstr>
  </property>
  <property fmtid="{D5CDD505-2E9C-101B-9397-08002B2CF9AE}" pid="9" name="UID">
    <vt:lpwstr>eu.europa.europarl-DIN1-2023-0000120919_01.03-ro-01.00_text-xml</vt:lpwstr>
  </property>
</Properties>
</file>