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007E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605E64" w:rsidRDefault="00E94146" w:rsidP="00C85D0F">
            <w:pPr>
              <w:pStyle w:val="EPName"/>
            </w:pPr>
            <w:r>
              <w:t>Parlament Ewropew</w:t>
            </w:r>
          </w:p>
          <w:p w:rsidR="00C05DD8" w:rsidRPr="00605E64" w:rsidRDefault="00E94146" w:rsidP="00605E64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605E64" w:rsidRDefault="00E94146" w:rsidP="00C85D0F">
            <w:pPr>
              <w:pStyle w:val="EPLogo"/>
            </w:pPr>
            <w:r w:rsidRPr="00605E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605E64" w:rsidRDefault="009612AA" w:rsidP="009612AA">
      <w:pPr>
        <w:pStyle w:val="LineTop"/>
      </w:pPr>
    </w:p>
    <w:p w:rsidR="009612AA" w:rsidRPr="00605E64" w:rsidRDefault="00E94146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605E64" w:rsidRDefault="009612AA" w:rsidP="009612AA">
      <w:pPr>
        <w:pStyle w:val="LineBottom"/>
      </w:pPr>
    </w:p>
    <w:p w:rsidR="00363B94" w:rsidRPr="00605E64" w:rsidRDefault="00E94146">
      <w:pPr>
        <w:pStyle w:val="CoverReference"/>
      </w:pPr>
      <w:r>
        <w:rPr>
          <w:rStyle w:val="HideTWBExt"/>
          <w:b w:val="0"/>
        </w:rPr>
        <w:t>&lt;RefProc&gt;</w:t>
      </w:r>
      <w:r>
        <w:t>2023/0147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605E64" w:rsidRDefault="00E94146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{04/10/2023}</w:t>
      </w:r>
      <w:r>
        <w:t>4.10.2023</w:t>
      </w:r>
      <w:r>
        <w:rPr>
          <w:rStyle w:val="HideTWBExt"/>
        </w:rPr>
        <w:t>&lt;/Date&gt;</w:t>
      </w:r>
    </w:p>
    <w:p w:rsidR="00363B94" w:rsidRPr="00605E64" w:rsidRDefault="00E94146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605E64" w:rsidRDefault="00E94146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</w:t>
      </w:r>
      <w:r>
        <w:rPr>
          <w:rStyle w:val="HideTWBExt"/>
          <w:b w:val="0"/>
        </w:rPr>
        <w:t>&lt;/TitreType&gt;</w:t>
      </w:r>
    </w:p>
    <w:p w:rsidR="00605E64" w:rsidRPr="00605E64" w:rsidRDefault="00E94146" w:rsidP="00605E64">
      <w:pPr>
        <w:pStyle w:val="CoverNormal"/>
      </w:pPr>
      <w:r>
        <w:rPr>
          <w:rStyle w:val="HideTWBExt"/>
        </w:rPr>
        <w:t>&lt;Titre&gt;</w:t>
      </w:r>
      <w:r>
        <w:t xml:space="preserve">dwar il-proposta għal deċiżjoni tal-Kunsill dwar il-konklużjoni, f’isem l-Unjoni, tal-Protokoll dwar l-implimentazzjoni tal-Ftehim ta’ Sħubija dwar is-Sajd bejn il-Komunità Ewropea minn naħa waħda, u r-Repubblika ta’ Kiribati, min-naħa </w:t>
      </w:r>
      <w:r>
        <w:t>l-oħra (2023-2028)</w:t>
      </w:r>
      <w:r>
        <w:rPr>
          <w:rStyle w:val="HideTWBExt"/>
        </w:rPr>
        <w:t>&lt;/Titre&gt;</w:t>
      </w:r>
    </w:p>
    <w:p w:rsidR="00605E64" w:rsidRPr="00605E64" w:rsidRDefault="00E94146" w:rsidP="00605E64">
      <w:pPr>
        <w:pStyle w:val="CoverNormal24a"/>
      </w:pPr>
      <w:r>
        <w:rPr>
          <w:rStyle w:val="HideTWBExt"/>
        </w:rPr>
        <w:t>&lt;DocRef&gt;</w:t>
      </w:r>
      <w:r>
        <w:t>(COM(2023)0251 – C9</w:t>
      </w:r>
      <w:r>
        <w:noBreakHyphen/>
        <w:t>xxxx/2023 – 2023/0147(NLE))</w:t>
      </w:r>
      <w:r>
        <w:rPr>
          <w:rStyle w:val="HideTWBExt"/>
        </w:rPr>
        <w:t>&lt;/DocRef&gt;</w:t>
      </w:r>
    </w:p>
    <w:p w:rsidR="00363B94" w:rsidRPr="00605E64" w:rsidRDefault="00E94146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&lt;/Commission&gt;</w:t>
      </w:r>
    </w:p>
    <w:p w:rsidR="00BC74AF" w:rsidRPr="00781CE4" w:rsidRDefault="00E94146" w:rsidP="00BC74AF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João Pimenta Lopes</w:t>
      </w:r>
      <w:r>
        <w:rPr>
          <w:rStyle w:val="HideTWBExt"/>
        </w:rPr>
        <w:t>&lt;/Depute&gt;</w:t>
      </w:r>
    </w:p>
    <w:p w:rsidR="00B42885" w:rsidRPr="00605E64" w:rsidRDefault="00B42885" w:rsidP="00B42885">
      <w:pPr>
        <w:pStyle w:val="CoverNormal"/>
      </w:pPr>
    </w:p>
    <w:p w:rsidR="00605E64" w:rsidRPr="00605E64" w:rsidRDefault="00E94146" w:rsidP="00016E55">
      <w:r>
        <w:br w:type="page"/>
      </w:r>
      <w:r w:rsidR="00BC74AF">
        <w:lastRenderedPageBreak/>
        <w:fldChar w:fldCharType="begin"/>
      </w:r>
      <w:r>
        <w:instrText xml:space="preserve"> TITLE  \* MERGEFORMAT </w:instrText>
      </w:r>
      <w:r w:rsidR="00BC74AF">
        <w:fldChar w:fldCharType="separate"/>
      </w:r>
      <w:r>
        <w:t>PR_NLE-AP_Agreement</w:t>
      </w:r>
      <w:r w:rsidR="00BC74AF">
        <w:fldChar w:fldCharType="end"/>
      </w:r>
    </w:p>
    <w:p w:rsidR="00605E64" w:rsidRPr="00605E64" w:rsidRDefault="00605E64" w:rsidP="00016E55"/>
    <w:p w:rsidR="00605E64" w:rsidRPr="00605E64" w:rsidRDefault="00605E64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007E6">
        <w:tc>
          <w:tcPr>
            <w:tcW w:w="5811" w:type="dxa"/>
          </w:tcPr>
          <w:p w:rsidR="00605E64" w:rsidRPr="00605E64" w:rsidRDefault="00E94146" w:rsidP="00016E55">
            <w:pPr>
              <w:pStyle w:val="Lgendetitre"/>
            </w:pPr>
            <w:r>
              <w:t xml:space="preserve">Tifsira </w:t>
            </w:r>
            <w:r>
              <w:t>tas-simboli użati</w:t>
            </w:r>
          </w:p>
        </w:tc>
      </w:tr>
      <w:tr w:rsidR="00A007E6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05E64" w:rsidRPr="00605E64" w:rsidRDefault="00E94146" w:rsidP="00486FA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605E64" w:rsidRPr="00605E64" w:rsidRDefault="00E94146" w:rsidP="00486FA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605E64" w:rsidRPr="00605E64" w:rsidRDefault="00E94146" w:rsidP="00486FA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605E64" w:rsidRPr="00605E64" w:rsidRDefault="00E94146" w:rsidP="00486FA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605E64" w:rsidRPr="00605E64" w:rsidRDefault="00E94146" w:rsidP="00486FA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605E64" w:rsidRPr="00605E64" w:rsidRDefault="00605E64" w:rsidP="00486FAE">
            <w:pPr>
              <w:pStyle w:val="Lgendestandard"/>
            </w:pPr>
          </w:p>
          <w:p w:rsidR="00605E64" w:rsidRPr="00605E64" w:rsidRDefault="00E94146" w:rsidP="00486FAE">
            <w:pPr>
              <w:pStyle w:val="Lgendestandard"/>
            </w:pPr>
            <w:r>
              <w:t>(It-tip ta’ proċedura jiddependi mill-bażi ġuridika proposta mill-abbozz ta’ att.)</w:t>
            </w:r>
          </w:p>
          <w:p w:rsidR="00605E64" w:rsidRPr="00605E64" w:rsidRDefault="00605E64" w:rsidP="00486FAE">
            <w:pPr>
              <w:pStyle w:val="Lgendestandard"/>
            </w:pPr>
          </w:p>
        </w:tc>
      </w:tr>
    </w:tbl>
    <w:p w:rsidR="00605E64" w:rsidRPr="00605E64" w:rsidRDefault="00605E64" w:rsidP="00016E55"/>
    <w:p w:rsidR="00363B94" w:rsidRPr="00605E64" w:rsidRDefault="00363B94" w:rsidP="00613F2E">
      <w:pPr>
        <w:widowControl/>
        <w:tabs>
          <w:tab w:val="center" w:pos="4677"/>
        </w:tabs>
      </w:pPr>
    </w:p>
    <w:p w:rsidR="00363B94" w:rsidRPr="00605E64" w:rsidRDefault="00E94146">
      <w:pPr>
        <w:pStyle w:val="TOCHeading"/>
      </w:pPr>
      <w:r>
        <w:br w:type="page"/>
      </w:r>
      <w:r>
        <w:lastRenderedPageBreak/>
        <w:t>WERREJ</w:t>
      </w:r>
    </w:p>
    <w:p w:rsidR="00363B94" w:rsidRPr="00605E64" w:rsidRDefault="00E94146">
      <w:pPr>
        <w:pStyle w:val="TOCPage"/>
      </w:pPr>
      <w:r>
        <w:t>Paġna</w:t>
      </w:r>
    </w:p>
    <w:p w:rsidR="00E94146" w:rsidRDefault="00E9414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605E64">
        <w:fldChar w:fldCharType="begin"/>
      </w:r>
      <w:r w:rsidRPr="00605E64">
        <w:instrText xml:space="preserve"> TOC \t "PageHeading</w:instrText>
      </w:r>
      <w:r w:rsidR="00605E64" w:rsidRPr="00605E64">
        <w:instrText>;</w:instrText>
      </w:r>
      <w:r w:rsidRPr="00605E64">
        <w:instrText xml:space="preserve">1" </w:instrText>
      </w:r>
      <w:r w:rsidRPr="00605E64"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_Toc148433133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4146" w:rsidRDefault="00E9414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_Toc148433134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1650" w:rsidRPr="00605E64" w:rsidRDefault="00E94146" w:rsidP="00F04010">
      <w:r w:rsidRPr="00605E64">
        <w:fldChar w:fldCharType="end"/>
      </w:r>
    </w:p>
    <w:p w:rsidR="00363B94" w:rsidRPr="00605E64" w:rsidRDefault="00E94146" w:rsidP="00E94146">
      <w:pPr>
        <w:pStyle w:val="PageHeading"/>
      </w:pPr>
      <w:r>
        <w:br w:type="page"/>
      </w:r>
      <w:bookmarkStart w:id="0" w:name="_Toc148433133"/>
      <w:r>
        <w:lastRenderedPageBreak/>
        <w:t>ABBOZZ TA’ RIŻOLUZZJON</w:t>
      </w:r>
      <w:bookmarkStart w:id="1" w:name="_GoBack"/>
      <w:bookmarkEnd w:id="1"/>
      <w:r>
        <w:t>I LEĠIŻLATTIVA TAL-PARLAMENT EWROPEW</w:t>
      </w:r>
      <w:bookmarkEnd w:id="0"/>
    </w:p>
    <w:p w:rsidR="00605E64" w:rsidRPr="00605E64" w:rsidRDefault="00E94146" w:rsidP="00605E64">
      <w:pPr>
        <w:pStyle w:val="NormalBold"/>
      </w:pPr>
      <w:r>
        <w:t>d</w:t>
      </w:r>
      <w:r>
        <w:t>war il-</w:t>
      </w:r>
      <w:r>
        <w:t>proposta għal deċiżjoni tal-Kunsill dwar il-konklużjoni, f’isem l-Unjoni, tal-Protokoll dwar l-implimentazzjoni tal-Ftehim ta’ Sħubija dwar is-Sajd bejn il-Komunità Ewropea minn naħa waħda, u r-Repubblika ta’ Kiribati, min-naħa l-oħra (2023-2028) (COM(2023</w:t>
      </w:r>
      <w:r>
        <w:t>)0251 – C9</w:t>
      </w:r>
      <w:r>
        <w:noBreakHyphen/>
        <w:t>xxxx/2023 – 2023/0147(NLE))</w:t>
      </w:r>
    </w:p>
    <w:p w:rsidR="00605E64" w:rsidRPr="00605E64" w:rsidRDefault="00605E64" w:rsidP="00605E64">
      <w:pPr>
        <w:pStyle w:val="NormalBold"/>
      </w:pPr>
    </w:p>
    <w:p w:rsidR="00363B94" w:rsidRPr="00605E64" w:rsidRDefault="00E94146" w:rsidP="00605E64">
      <w:pPr>
        <w:pStyle w:val="NormalBold"/>
      </w:pPr>
      <w:r>
        <w:t>(Approvazzjoni)</w:t>
      </w:r>
    </w:p>
    <w:p w:rsidR="00363B94" w:rsidRPr="00605E64" w:rsidRDefault="00E94146">
      <w:pPr>
        <w:pStyle w:val="EPComma"/>
      </w:pPr>
      <w:r>
        <w:rPr>
          <w:i/>
        </w:rPr>
        <w:t>Il-Parlament Ewropew</w:t>
      </w:r>
      <w:r>
        <w:t>,</w:t>
      </w:r>
    </w:p>
    <w:p w:rsidR="00605E64" w:rsidRPr="00605E64" w:rsidRDefault="00E94146" w:rsidP="00605E64">
      <w:pPr>
        <w:pStyle w:val="NormalHanging12a"/>
      </w:pPr>
      <w:r>
        <w:t>–</w:t>
      </w:r>
      <w:r>
        <w:tab/>
        <w:t>wara li kkunsidra l-proposta għal deċiżjoni tal-Kunsill (COM(2023)0251),</w:t>
      </w:r>
    </w:p>
    <w:p w:rsidR="00605E64" w:rsidRPr="00605E64" w:rsidRDefault="00E94146" w:rsidP="00605E64">
      <w:pPr>
        <w:pStyle w:val="NormalHanging12a"/>
      </w:pPr>
      <w:r>
        <w:t>–</w:t>
      </w:r>
      <w:r>
        <w:tab/>
        <w:t xml:space="preserve">wara li kkunsidra l-abbozz ta’ dwar l-implimentazzjoni tal-Ftehim ta’ Sħubija dwar is-Sajd bejn </w:t>
      </w:r>
      <w:r>
        <w:t>il-Komunità Ewropea, minn naħa waħda, u r-Repubblika ta’ Kiribati, min-naħa l-oħra (2023-2028) (9890/2023),</w:t>
      </w:r>
    </w:p>
    <w:p w:rsidR="00605E64" w:rsidRPr="00605E64" w:rsidRDefault="00E94146" w:rsidP="00605E64">
      <w:pPr>
        <w:pStyle w:val="NormalHanging12a"/>
      </w:pPr>
      <w:r>
        <w:t>–</w:t>
      </w:r>
      <w:r>
        <w:tab/>
        <w:t>wara li kkunsidra t-talba għal approvazzjoni ppreżentata mill-Kunsill skont l-Artikolu 43(2) u l-Artikolu 218(6), it-tieni subparagrafu, punt (a)(</w:t>
      </w:r>
      <w:r>
        <w:t>v), u l-paragrafu (7) tat-Trattat dwar il-Funzjonament tal-Unjoni Ewropea (C9-xxxx/2023),</w:t>
      </w:r>
    </w:p>
    <w:p w:rsidR="00605E64" w:rsidRPr="00605E64" w:rsidRDefault="00E94146" w:rsidP="00605E64">
      <w:pPr>
        <w:pStyle w:val="NormalHanging12a"/>
      </w:pPr>
      <w:r>
        <w:t>–</w:t>
      </w:r>
      <w:r>
        <w:tab/>
        <w:t>wara li kkunsidra l-Artikolu 105(1) u (4) u l-Artikolu 114(7) tar-Regoli ta’ Proċedura tiegħu,</w:t>
      </w:r>
    </w:p>
    <w:p w:rsidR="00605E64" w:rsidRPr="00605E64" w:rsidRDefault="00E94146" w:rsidP="00605E64">
      <w:pPr>
        <w:pStyle w:val="NormalHanging12a"/>
      </w:pPr>
      <w:r>
        <w:t>–</w:t>
      </w:r>
      <w:r>
        <w:tab/>
        <w:t>wara li kkunsidra l-opinjoni tal-Kumitat għall-Baġits,</w:t>
      </w:r>
    </w:p>
    <w:p w:rsidR="00605E64" w:rsidRPr="00605E64" w:rsidRDefault="00E94146" w:rsidP="00605E64">
      <w:pPr>
        <w:pStyle w:val="NormalHanging12a"/>
      </w:pPr>
      <w:r>
        <w:t>––</w:t>
      </w:r>
      <w:r>
        <w:tab/>
        <w:t>wara li k</w:t>
      </w:r>
      <w:r>
        <w:t>kunsidra r-rakkomandazzjoni tal-Kumitat għas-Sajd (A9-xxxx/2023),</w:t>
      </w:r>
    </w:p>
    <w:p w:rsidR="00605E64" w:rsidRPr="00605E64" w:rsidRDefault="00E94146" w:rsidP="00605E64">
      <w:pPr>
        <w:pStyle w:val="NormalHanging12a"/>
      </w:pPr>
      <w:r>
        <w:t xml:space="preserve">1. </w:t>
      </w:r>
      <w:r>
        <w:tab/>
        <w:t>Jagħti l-approvazzjoni tiegħu għall-konklużjoni tal-Protokoll;</w:t>
      </w:r>
    </w:p>
    <w:p w:rsidR="00605E64" w:rsidRPr="00605E64" w:rsidRDefault="00E94146" w:rsidP="00605E64">
      <w:pPr>
        <w:pStyle w:val="NormalHanging12a"/>
      </w:pPr>
      <w:r>
        <w:t xml:space="preserve">2. </w:t>
      </w:r>
      <w:r>
        <w:tab/>
        <w:t>Jagħti istruzzjonijiet lill-President tiegħu sabiex jgħaddi l-pożizzjoni tiegħu lill-Kunsill u lill-Kummissjoni, kif uk</w:t>
      </w:r>
      <w:r>
        <w:t>oll lill-gvernijiet u lill-parlamenti tal-Istati Membri u tar-Repubblika ta’ Kiribati.</w:t>
      </w:r>
    </w:p>
    <w:p w:rsidR="00605E64" w:rsidRPr="00605E64" w:rsidRDefault="00605E64" w:rsidP="00605E64"/>
    <w:p w:rsidR="00605E64" w:rsidRPr="00605E64" w:rsidRDefault="00E94146" w:rsidP="00605E64">
      <w:pPr>
        <w:widowControl/>
      </w:pPr>
      <w:r>
        <w:br w:type="page"/>
      </w:r>
    </w:p>
    <w:p w:rsidR="00605E64" w:rsidRPr="00605E64" w:rsidRDefault="00E94146" w:rsidP="00605E64">
      <w:pPr>
        <w:pStyle w:val="PageHeading"/>
      </w:pPr>
      <w:bookmarkStart w:id="2" w:name="_Toc148016336"/>
      <w:bookmarkStart w:id="3" w:name="_Toc148433134"/>
      <w:r>
        <w:lastRenderedPageBreak/>
        <w:t>NOTA SPJEGATTIVA</w:t>
      </w:r>
      <w:bookmarkEnd w:id="2"/>
      <w:bookmarkEnd w:id="3"/>
    </w:p>
    <w:p w:rsidR="00605E64" w:rsidRPr="00605E64" w:rsidRDefault="00E94146" w:rsidP="00605E64">
      <w:pPr>
        <w:autoSpaceDE w:val="0"/>
        <w:autoSpaceDN w:val="0"/>
        <w:adjustRightInd w:val="0"/>
        <w:spacing w:before="360" w:after="120"/>
        <w:rPr>
          <w:b/>
          <w:color w:val="000000"/>
        </w:rPr>
      </w:pPr>
      <w:r>
        <w:rPr>
          <w:b/>
          <w:color w:val="000000"/>
        </w:rPr>
        <w:t>Introduzzjoni</w:t>
      </w:r>
    </w:p>
    <w:p w:rsidR="00605E64" w:rsidRPr="00605E64" w:rsidRDefault="00E94146" w:rsidP="00605E64">
      <w:pPr>
        <w:spacing w:after="120"/>
      </w:pPr>
      <w:r>
        <w:t>L-Unjoni Ewropea (UE) iffirmat diversi ftehimiet ta’ sħubija fis-settur tas-sajd u protokolli ma’ pajjiżi terzi. Permezz tal-FPAs, l-UE</w:t>
      </w:r>
      <w:r>
        <w:t xml:space="preserve"> tagħti appoġġ finanzjarju u tekniku bi skambju għal drittijiet tas-sajd għal eċċess ta’ stokkijiet fiż-żona ekonomika esklussiva (iż-ŻEE) tal-pajjiż, f’ambjent regolat legalment.</w:t>
      </w:r>
      <w:r>
        <w:rPr>
          <w:rFonts w:ascii="Arial" w:hAnsi="Arial"/>
          <w:color w:val="000000"/>
        </w:rPr>
        <w:t xml:space="preserve"> </w:t>
      </w:r>
      <w:r>
        <w:t>Dawn il-ftehimiet jiffukaw ukoll fuq il-konservazzjoni tar-riżorsi u s-soste</w:t>
      </w:r>
      <w:r>
        <w:t>nibbiltà ambjentali, filwaqt li jiżguraw li l-bastimenti kollha tal-Istati Membri tal-UE jkunu soġġetti għall-istess regoli ta’ kontroll u trasparenza, u jikkontribwixxu finanzjarjament għall-appoġġ tal-politika tas-sajd sostenibbli tal-pajjiż sieħeb stess</w:t>
      </w:r>
      <w:r>
        <w:t>. Fl-istess waqt, ġiet inkluża klawżola dwar ir-rispett għad-drittijiet tal-bniedem fil-protokolli kollha tal-ftehimiet tas-sajd.</w:t>
      </w:r>
    </w:p>
    <w:p w:rsidR="00605E64" w:rsidRPr="00605E64" w:rsidRDefault="00E94146" w:rsidP="00605E64">
      <w:pPr>
        <w:spacing w:after="120"/>
      </w:pPr>
      <w:r>
        <w:t>Il-Ftehim ta’ Sħubija dwar is-Sajd (“FPA”) bejn il-Komunità Ewropea, minn naħa waħda, u r-Repubblika ta’ Kiribati, min-naħa l-</w:t>
      </w:r>
      <w:r>
        <w:t>oħra, ġie ffirmat fit-28 ta’ April 2008, u daħal fis-seħħ fit-30 ta’ April 2008 għal durata ta’ 6 snin. L-ewwel Protokoll dwar l-implimentazzjoni tal-FPA skada fil-15 ta’ Settembru 2012. It-tieni Protokoll skada fil-15 ta’ Settembru 2015.</w:t>
      </w:r>
    </w:p>
    <w:p w:rsidR="00605E64" w:rsidRPr="00605E64" w:rsidRDefault="00E94146" w:rsidP="00605E64">
      <w:pPr>
        <w:spacing w:after="120"/>
      </w:pPr>
      <w:r>
        <w:t>Fis-26 ta’ Jannar</w:t>
      </w:r>
      <w:r>
        <w:t xml:space="preserve"> 2015, il-Kunsill awtorizza lill-Kummissjoni tiftaħ in-negozjati għal Protokoll ġdid bejn l-Unjoni Ewropea u r-Repubblika ta’ Kiribati. In-negozjati bdew fl-2015 iżda ġew interrotti mill-proċess ta’ għoti tal-karta safra b’rabta mal-IUU u l-pandemija. </w:t>
      </w:r>
    </w:p>
    <w:p w:rsidR="00605E64" w:rsidRPr="00605E64" w:rsidRDefault="00E94146" w:rsidP="00605E64">
      <w:pPr>
        <w:spacing w:after="120"/>
      </w:pPr>
      <w:r>
        <w:t>Fit</w:t>
      </w:r>
      <w:r>
        <w:t>-18 ta’ Diċembru 2022, in-negozjaturi ffirmaw il-Protokoll il-ġdid, wara dawk in-negozjati. Il-Protokoll il-ġdid se jdum fis-seħħ għal perjodu ta’ ħames snin mid-data tal-applikazzjoni provviżorja tiegħu, jiġifieri mid-data li fiha jkun iffirmat miż-żewġ p</w:t>
      </w:r>
      <w:r>
        <w:t>artijiet.</w:t>
      </w:r>
    </w:p>
    <w:p w:rsidR="00605E64" w:rsidRPr="00605E64" w:rsidRDefault="00605E64" w:rsidP="00605E64">
      <w:pPr>
        <w:spacing w:after="120"/>
      </w:pPr>
    </w:p>
    <w:p w:rsidR="00605E64" w:rsidRPr="00605E64" w:rsidRDefault="00E94146" w:rsidP="00605E64">
      <w:pPr>
        <w:spacing w:after="120"/>
        <w:rPr>
          <w:b/>
        </w:rPr>
      </w:pPr>
      <w:r>
        <w:rPr>
          <w:b/>
        </w:rPr>
        <w:t>Kontenut tal-Protokoll</w:t>
      </w:r>
    </w:p>
    <w:p w:rsidR="00605E64" w:rsidRPr="00605E64" w:rsidRDefault="00E94146" w:rsidP="00605E64">
      <w:pPr>
        <w:spacing w:after="120"/>
      </w:pPr>
      <w:r>
        <w:t>Il-proposta għandha l-għan li tottjenti l-awtorizzazzjoni tal-Kunsill dwar il-konklużjoni tal-Protokoll il-ġdid dwar l-implimentazzjoni tal-Ftehim ta’ Sħubija dwar is-Sajd bejn il-Komunità Ewropea minn naħa waħda, u r-Repu</w:t>
      </w:r>
      <w:r>
        <w:t xml:space="preserve">bblika ta’ Kiribati, min-naħa l-oħra (2023-2028). </w:t>
      </w:r>
    </w:p>
    <w:p w:rsidR="00605E64" w:rsidRPr="00605E64" w:rsidRDefault="00E94146" w:rsidP="00605E64">
      <w:pPr>
        <w:spacing w:after="120"/>
        <w:rPr>
          <w:i/>
          <w:u w:val="single"/>
        </w:rPr>
      </w:pPr>
      <w:r>
        <w:rPr>
          <w:i/>
          <w:u w:val="single"/>
        </w:rPr>
        <w:t>Opportunitajiet tas-sajd</w:t>
      </w:r>
    </w:p>
    <w:p w:rsidR="00605E64" w:rsidRPr="00605E64" w:rsidRDefault="00E94146" w:rsidP="00605E64">
      <w:pPr>
        <w:spacing w:after="120"/>
      </w:pPr>
      <w:r>
        <w:t>Il-Protokoll il-ġdid għandu l-għan li jagħti opportunitajiet tas-sajd lill-bastimenti tal-Istati Membri tal-UE fl-ilmijiet ta’ Kiribati f’konformità mal-pariri xjentifiċi u mar-rak</w:t>
      </w:r>
      <w:r>
        <w:t>komandazzjonijiet tal-Kummissjoni għas-Sajd fil-Punent tal-Paċifiku u l-Paċifiku Ċentrali.</w:t>
      </w:r>
    </w:p>
    <w:p w:rsidR="00605E64" w:rsidRPr="00605E64" w:rsidRDefault="00E94146" w:rsidP="00605E64">
      <w:pPr>
        <w:spacing w:after="120"/>
      </w:pPr>
      <w:r>
        <w:t>Il-Protokoll il-ġdid jippermetti lill-bastimenti tal-Istati Membri tal-UE jistadu għall-ispeċijiet tat-tonn fl-ilmijiet ta’ Kiribati u joffri opportunitajiet tas-saj</w:t>
      </w:r>
      <w:r>
        <w:t xml:space="preserve">d lil erba’ bastimenti tas-sajd għat-tonn bit-tartarun tal-borża, b’aċċess għall-ilmijiet ta’ Kiribati għal 160 jum fis-sena. Fuq talba jistgħu jsiru disponibbli jiem addizzjonali fis-sena għall-bastimenti tal-Unjoni. </w:t>
      </w:r>
    </w:p>
    <w:p w:rsidR="00605E64" w:rsidRPr="00605E64" w:rsidRDefault="00605E64" w:rsidP="00605E64">
      <w:pPr>
        <w:spacing w:after="120"/>
        <w:rPr>
          <w:i/>
          <w:u w:val="single"/>
        </w:rPr>
      </w:pPr>
    </w:p>
    <w:p w:rsidR="00605E64" w:rsidRPr="00605E64" w:rsidRDefault="00E94146" w:rsidP="00605E64">
      <w:pPr>
        <w:spacing w:after="120"/>
        <w:rPr>
          <w:i/>
          <w:u w:val="single"/>
        </w:rPr>
      </w:pPr>
      <w:r>
        <w:rPr>
          <w:i/>
          <w:u w:val="single"/>
        </w:rPr>
        <w:t>Kontribuzzjoni finanzjarja</w:t>
      </w:r>
    </w:p>
    <w:p w:rsidR="00605E64" w:rsidRPr="00605E64" w:rsidRDefault="00605E64" w:rsidP="00605E64">
      <w:pPr>
        <w:spacing w:after="120"/>
      </w:pPr>
    </w:p>
    <w:p w:rsidR="00605E64" w:rsidRPr="00605E64" w:rsidRDefault="00E94146" w:rsidP="00605E64">
      <w:pPr>
        <w:spacing w:after="120"/>
      </w:pPr>
      <w:r>
        <w:t>Il-kontribuzzjoni finanzjarja annwali tal-Unjoni Ewropea hija ta’ EUR 760 000, distribwita kif ġej:</w:t>
      </w:r>
    </w:p>
    <w:p w:rsidR="00605E64" w:rsidRPr="00605E64" w:rsidRDefault="00E94146" w:rsidP="00605E64">
      <w:pPr>
        <w:spacing w:after="120"/>
      </w:pPr>
      <w:r>
        <w:t>— ammont annwali stabbilit għal EUR 360 000 għad-durata tal-Protokoll il-ġdid dwar l-</w:t>
      </w:r>
      <w:r>
        <w:lastRenderedPageBreak/>
        <w:t>aċċess għar-riżorsi tas-sajd għall-kategoriji previsti fil-Protokoll;</w:t>
      </w:r>
    </w:p>
    <w:p w:rsidR="00605E64" w:rsidRPr="00605E64" w:rsidRDefault="00E94146" w:rsidP="00605E64">
      <w:pPr>
        <w:spacing w:after="120"/>
      </w:pPr>
      <w:r>
        <w:t>—</w:t>
      </w:r>
      <w:r>
        <w:t xml:space="preserve"> appoġġ ta’ ammont ta’ EUR 400 000 fis-sena għall-iżvilupp tal-politika settorjali tas-sajd ta’ Kiribati, għad-durata tal-Protokoll il-ġdid.</w:t>
      </w:r>
    </w:p>
    <w:p w:rsidR="00605E64" w:rsidRPr="00605E64" w:rsidRDefault="00E94146" w:rsidP="00605E64">
      <w:pPr>
        <w:spacing w:after="120"/>
      </w:pPr>
      <w:r>
        <w:t>Il-Kummissjoni se tingħata s-setgħa biex tapprova, f’isem l-UE, emendi għall-Protokoll adottati mill-Kumitat Konġun</w:t>
      </w:r>
      <w:r>
        <w:t>t stabbilit mill-Ftehim ta’ Sħubija.</w:t>
      </w:r>
    </w:p>
    <w:p w:rsidR="00605E64" w:rsidRPr="00605E64" w:rsidRDefault="00605E64" w:rsidP="00605E64">
      <w:pPr>
        <w:spacing w:after="120"/>
      </w:pPr>
    </w:p>
    <w:p w:rsidR="00605E64" w:rsidRPr="00605E64" w:rsidRDefault="00E94146" w:rsidP="00605E64">
      <w:pPr>
        <w:spacing w:after="120"/>
        <w:rPr>
          <w:b/>
        </w:rPr>
      </w:pPr>
      <w:r>
        <w:rPr>
          <w:b/>
        </w:rPr>
        <w:t>Il-kontribut tas-sajd għall-ekonomija ta’ Kiribati</w:t>
      </w:r>
    </w:p>
    <w:p w:rsidR="00605E64" w:rsidRPr="00605E64" w:rsidRDefault="00E94146" w:rsidP="00605E64">
      <w:pPr>
        <w:spacing w:after="120"/>
      </w:pPr>
      <w:r>
        <w:t>Il-flotot tas-sajd ta’ Kiribati jinkludu bastimenti fuq skala żgħira u industrijali li jtajru l-bandiera ta’ Kiribati. Il-flotta fuq skala żgħira timmira r-riżorsi tas</w:t>
      </w:r>
      <w:r>
        <w:t>-sajd għall-iskollijiet u għat-tonn disponibbli qrib il-kosta, b’qabdiet ta’ tonn stmati għal kważi 13 000 tunnellata fis-sena destinati għas-suq intern tal-UE.</w:t>
      </w:r>
    </w:p>
    <w:p w:rsidR="00605E64" w:rsidRPr="00605E64" w:rsidRDefault="00E94146" w:rsidP="00605E64">
      <w:pPr>
        <w:spacing w:after="120"/>
      </w:pPr>
      <w:r>
        <w:t>Il-bastimenti industrijali kollha li jtajru l-bandiera ta’ Kiribati huma proprjetà ta’ konsorzj</w:t>
      </w:r>
      <w:r>
        <w:t xml:space="preserve">i li jinvolvu interessi lokali u barranin, prinċipalment mill-Asja. L-inċentiv ewlieni għall-investituri huwa li l-bastimenti li jtajru l-bandiera ta’ Kiribati jkollhom aċċess preferenzjali għall-ilmijiet ta’ Stati kostali oħra skont it-termini tal-Ftehim </w:t>
      </w:r>
      <w:r>
        <w:t>tal-Istati Federali tal-Mikroneżja. Skont l-awtoritajiet ta’ Kiribati, mhux il-konsorzji kollha jirriżultaw fil-benefiċċji mistennija għall-pajjiż, u l-awtoritajiet kompetenti jinsabu fil-proċess li jirrevedu l-politika ta’ reġistrazzjoni nazzjonali.</w:t>
      </w:r>
    </w:p>
    <w:p w:rsidR="00605E64" w:rsidRPr="00605E64" w:rsidRDefault="00E94146" w:rsidP="00605E64">
      <w:pPr>
        <w:spacing w:after="120"/>
      </w:pPr>
      <w:r>
        <w:t>Kirib</w:t>
      </w:r>
      <w:r>
        <w:t>ati jiddependi ħafna fuq it-tariffi tal-liċenzji tas-sajd f’ilmijiet imbiegħda u r-rimessi minn ċittadini ta’ Kiribati impjegati barra mill-pajjiż, prinċipalment bħala baħħara. Is-settur tas-sajd jikkontribwixxi madwar 10 % għall-PDG f’termini reali.</w:t>
      </w:r>
    </w:p>
    <w:p w:rsidR="00605E64" w:rsidRPr="00605E64" w:rsidRDefault="00E94146" w:rsidP="00605E64">
      <w:pPr>
        <w:spacing w:after="120"/>
      </w:pPr>
      <w:r>
        <w:t>Kirib</w:t>
      </w:r>
      <w:r>
        <w:t>ati, bħal membri oħra tal-Aġenzija tal-Forum tas-Sajd tal-Gżejjer tal-Paċifiċi, jirċievi wkoll dħul minn trattat multilaterali ffirmat mal-Istati Uniti. Għandu ftehimiet bilaterali dwar is-sajd mal-Unjoni Ewropea, il-Ġappun, it-Tajwan u r-Repubblika tal-Ko</w:t>
      </w:r>
      <w:r>
        <w:t>rea, kif ukoll ftehimiet speċifiċi ma’ kumpaniji privati b’bastimenti li joperaw fl-Amerika Latina (l-Ekwador u El Salvador).</w:t>
      </w:r>
    </w:p>
    <w:p w:rsidR="00605E64" w:rsidRPr="00605E64" w:rsidRDefault="00E94146" w:rsidP="00605E64">
      <w:pPr>
        <w:spacing w:after="120"/>
      </w:pPr>
      <w:r>
        <w:t>Id-dħul mil-liċenzji tas-sajd tradizzjonalment jammonta għal 23 — 30 % tad-dħul tal-gvern ta’ Kiribati (FMI, 2011). Id-dħul minn d</w:t>
      </w:r>
      <w:r>
        <w:t>awn il-liċenzji jvarja ħafna, normalment bħala riżultat tal-avvenimenti ta’ El Niño. Hemm rabta qawwija bejn żieda fl-abbundanza/fid-disponibbiltà tal-istokk u l-kundizzjonijiet ambjentali fir-reġjun tal-Lvant (Langley et al., 2008).</w:t>
      </w:r>
    </w:p>
    <w:p w:rsidR="00605E64" w:rsidRPr="00605E64" w:rsidRDefault="00605E64" w:rsidP="00605E64">
      <w:pPr>
        <w:spacing w:after="120"/>
      </w:pPr>
    </w:p>
    <w:p w:rsidR="00605E64" w:rsidRPr="00605E64" w:rsidRDefault="00E94146" w:rsidP="00605E64">
      <w:pPr>
        <w:spacing w:after="120"/>
        <w:rPr>
          <w:b/>
        </w:rPr>
      </w:pPr>
      <w:r>
        <w:rPr>
          <w:b/>
        </w:rPr>
        <w:t>Konklużjoni u rakkoma</w:t>
      </w:r>
      <w:r>
        <w:rPr>
          <w:b/>
        </w:rPr>
        <w:t>ndazzjonijiet</w:t>
      </w:r>
    </w:p>
    <w:p w:rsidR="00605E64" w:rsidRPr="00605E64" w:rsidRDefault="00E94146" w:rsidP="00605E64">
      <w:pPr>
        <w:spacing w:after="120"/>
      </w:pPr>
      <w:r>
        <w:t>Fl-2014, il-Kummissjoni wettqet evalwazzjoni ex post tal-Protokoll attwali tal-Ftehim ta’ Sħubija fis-Settur tas-Sajd mal-Kiribati, flimkien ma’ evalwazzjoni ex ante tat-tiġdid potenzjali tal-Protokoll</w:t>
      </w:r>
      <w:r>
        <w:rPr>
          <w:rStyle w:val="FootnoteReference"/>
        </w:rPr>
        <w:footnoteReference w:id="1"/>
      </w:r>
      <w:r>
        <w:t>.</w:t>
      </w:r>
    </w:p>
    <w:p w:rsidR="00605E64" w:rsidRPr="00605E64" w:rsidRDefault="00E94146" w:rsidP="00605E64">
      <w:pPr>
        <w:spacing w:after="120"/>
      </w:pPr>
      <w:r>
        <w:t>L-evalwazzjoni ex post tal-Protokoll g</w:t>
      </w:r>
      <w:r>
        <w:t xml:space="preserve">ħall-perjodu 2012-2015 twettqet qabel in-negozjati tal-Protokoll il-ġdid. L-evalwazzjoni wasslet għall-konklużjoni li jkun ta’ benefiċċju li jiġi </w:t>
      </w:r>
      <w:r>
        <w:lastRenderedPageBreak/>
        <w:t>konkluż Protokoll ġdid ma’ Kiribati. B’mod partikolari, l-evalwazzjoni ex ante tikkonkludi li l-kontinwazzjoni</w:t>
      </w:r>
      <w:r>
        <w:t xml:space="preserve"> tal-FPA hija fl-interess taż-żewġ partijiet, b’valur miżjud ċar tal-involviment tal-UE biex tiġi appoġġata l-istrateġija tagħha ffokata fuq il-promozzjoni ta’ prattiki tas-sajd responsabbli u fuq il-ġlieda kontra s-sajd illegali, mhux irrappurtat u mhux i</w:t>
      </w:r>
      <w:r>
        <w:t>rregolat (IUU) fir-Reġjun Paċifiku.</w:t>
      </w:r>
    </w:p>
    <w:p w:rsidR="00605E64" w:rsidRPr="00605E64" w:rsidRDefault="00E94146" w:rsidP="00605E64">
      <w:pPr>
        <w:spacing w:after="120"/>
      </w:pPr>
      <w:r>
        <w:t>Wara l-analiżi mill-Qorti tal-Awdituri dwar l-FPAs, ir-Rapporteur jixtieq jirrileva l-osservazzjonijiet tal-Qorti u jenfasizza l-importanza ta’ informazzjoni affidabbli dwar id-data tar-riżorsi u l-qabdiet tal-ħut sabiex</w:t>
      </w:r>
      <w:r>
        <w:t xml:space="preserve"> jiġu rispettati l-prinċipji u l-objettivi li jkopru l-politika komuni tas-sajd u l-FPAs u sabiex jinsiltu konklużjonijiet sodi fir-rigward tal-evalwazzjoni tal-FPAs.</w:t>
      </w:r>
    </w:p>
    <w:p w:rsidR="00605E64" w:rsidRPr="00605E64" w:rsidRDefault="00E94146" w:rsidP="00605E64">
      <w:pPr>
        <w:spacing w:after="120"/>
      </w:pPr>
      <w:r>
        <w:t>Ir-Rapporteur jenfasizza wkoll li l-Parlament jeħtieġlu, f’kull stadju, jiġi infurmat bis</w:t>
      </w:r>
      <w:r>
        <w:t>-sħiħ u minnufih dwar il-proċeduri relatati mal-Protokoll.</w:t>
      </w:r>
    </w:p>
    <w:p w:rsidR="00605E64" w:rsidRPr="00605E64" w:rsidRDefault="00605E64" w:rsidP="00605E64">
      <w:pPr>
        <w:spacing w:after="120"/>
      </w:pPr>
    </w:p>
    <w:p w:rsidR="00605E64" w:rsidRPr="00605E64" w:rsidRDefault="00E94146" w:rsidP="00605E64">
      <w:pPr>
        <w:spacing w:after="120"/>
        <w:rPr>
          <w:b/>
        </w:rPr>
      </w:pPr>
      <w:r>
        <w:rPr>
          <w:b/>
        </w:rPr>
        <w:t>Kunsiderazzjoni Ġenerali</w:t>
      </w:r>
    </w:p>
    <w:p w:rsidR="00605E64" w:rsidRPr="00605E64" w:rsidRDefault="00605E64" w:rsidP="00605E64">
      <w:pPr>
        <w:spacing w:after="120"/>
        <w:rPr>
          <w:b/>
        </w:rPr>
      </w:pPr>
    </w:p>
    <w:p w:rsidR="00605E64" w:rsidRPr="00605E64" w:rsidRDefault="00E94146" w:rsidP="00605E64">
      <w:r>
        <w:t>Ir-rapporteur jemmen li l-Ftehimiet ta’ Sħubija dwar is-Sajd huma importanti kemm għall-pajjiżi terzi li magħhom jiġu konklużi kif ukoll għall-flotta tal-Istati Membri ta</w:t>
      </w:r>
      <w:r>
        <w:t>l-UE li tgawdi minn opportunitajiet tas-sajd.</w:t>
      </w:r>
    </w:p>
    <w:p w:rsidR="00605E64" w:rsidRPr="00605E64" w:rsidRDefault="00605E64" w:rsidP="00605E64"/>
    <w:p w:rsidR="00605E64" w:rsidRPr="00605E64" w:rsidRDefault="00E94146" w:rsidP="00605E64">
      <w:r>
        <w:t>Huwa jaħseb li l-biċċa l-kbira tal-FPAs għandhom livelli differenti ta’ kisbiet: minn naħa waħda, l-għoti ta’ opportunitajiet sinifikanti tas-sajd għall-bastimenti mill-Istati Membri tal-UE, filwaqt li min-naħ</w:t>
      </w:r>
      <w:r>
        <w:t xml:space="preserve">a l-oħra, ir-riżultati miksuba fir-rigward tal-iżvilupp tas-settur tas-sajd lokali ġeneralment mhumiex biżżejjed. </w:t>
      </w:r>
    </w:p>
    <w:p w:rsidR="00605E64" w:rsidRPr="00605E64" w:rsidRDefault="00605E64" w:rsidP="00605E64"/>
    <w:p w:rsidR="00605E64" w:rsidRPr="00605E64" w:rsidRDefault="00E94146" w:rsidP="00605E64">
      <w:r>
        <w:t>Għalhekk huwa tal-fehma li l-appoġġ settorjali għandu jissaħħaħ u jiġi ssupplimentat u marbut mal-għajnuna għall-iżvilupp, bl-għan li jikkon</w:t>
      </w:r>
      <w:r>
        <w:t xml:space="preserve">tribwixxi għat-tisħiħ tas-setturi tas-sajd lokali u l-eżerċizzju sħiħ tas-sovranità tal-pajjiż fuq ir-riżorsi tiegħu. </w:t>
      </w:r>
    </w:p>
    <w:p w:rsidR="00605E64" w:rsidRPr="00605E64" w:rsidRDefault="00605E64" w:rsidP="00605E64"/>
    <w:p w:rsidR="00605E64" w:rsidRPr="00605E64" w:rsidRDefault="00E94146" w:rsidP="00605E64">
      <w:pPr>
        <w:pStyle w:val="NormalHanging12a"/>
        <w:ind w:left="0" w:firstLine="0"/>
      </w:pPr>
      <w:r>
        <w:t xml:space="preserve">Barra minn hekk, huwa jemmen li l-FPAs għandhom jikkontribwixxu għall-ħolqien lokali ta’ impjiegi diretti u indiretti, kemm fuq </w:t>
      </w:r>
      <w:r>
        <w:t>bastimenti li joperaw skont il-ftehimiet kif ukoll f’attivitajiet relatati mas-sajd, upstream u downstream. Huma għandhom jgħinu wkoll lill-pajjiżi terzi li magħhom ġew konklużi ftehimiet biex jiżviluppaw il-kapaċità tagħhom stess li jistudjaw u jiksbu dat</w:t>
      </w:r>
      <w:r>
        <w:t>a dwar il-konservazzjoni tar-riżorsi tas-sajd, dwar il-qabdiet kollha u dwar l-impatt tal-FPAs fuq l-ekosistemi tagħhom.</w:t>
      </w:r>
    </w:p>
    <w:p w:rsidR="00363B94" w:rsidRPr="00605E64" w:rsidRDefault="00363B94" w:rsidP="00605E64">
      <w:pPr>
        <w:pStyle w:val="NormalHanging12a"/>
      </w:pPr>
    </w:p>
    <w:sectPr w:rsidR="00363B94" w:rsidRPr="00605E64" w:rsidSect="00605E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94146">
      <w:r>
        <w:separator/>
      </w:r>
    </w:p>
  </w:endnote>
  <w:endnote w:type="continuationSeparator" w:id="0">
    <w:p w:rsidR="00000000" w:rsidRDefault="00E94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E64" w:rsidRPr="00605E64" w:rsidRDefault="00E94146" w:rsidP="00605E64">
    <w:pPr>
      <w:pStyle w:val="EPFooter"/>
    </w:pPr>
    <w:r w:rsidRPr="00605E64">
      <w:t>PE</w:t>
    </w:r>
    <w:r w:rsidRPr="00605E64">
      <w:rPr>
        <w:rStyle w:val="HideTWBExt"/>
      </w:rPr>
      <w:t>&lt;NoPE&gt;</w:t>
    </w:r>
    <w:r w:rsidRPr="00605E64">
      <w:t>753.774</w:t>
    </w:r>
    <w:r w:rsidRPr="00605E64">
      <w:rPr>
        <w:rStyle w:val="HideTWBExt"/>
      </w:rPr>
      <w:t>&lt;/NoPE&gt;&lt;Version&gt;</w:t>
    </w:r>
    <w:r w:rsidRPr="00605E64">
      <w:t>v01-00</w:t>
    </w:r>
    <w:r w:rsidRPr="00605E64">
      <w:rPr>
        <w:rStyle w:val="HideTWBExt"/>
      </w:rPr>
      <w:t>&lt;/Version&gt;</w:t>
    </w:r>
    <w:r w:rsidRPr="00605E64">
      <w:tab/>
    </w:r>
    <w:r w:rsidRPr="00605E64">
      <w:fldChar w:fldCharType="begin"/>
    </w:r>
    <w:r w:rsidRPr="00605E64">
      <w:instrText xml:space="preserve"> PAGE  \* MERGEFORMAT </w:instrText>
    </w:r>
    <w:r w:rsidRPr="00605E64">
      <w:fldChar w:fldCharType="separate"/>
    </w:r>
    <w:r>
      <w:rPr>
        <w:noProof/>
      </w:rPr>
      <w:t>2</w:t>
    </w:r>
    <w:r w:rsidRPr="00605E64">
      <w:fldChar w:fldCharType="end"/>
    </w:r>
    <w:r w:rsidRPr="00605E64">
      <w:t>/</w:t>
    </w:r>
    <w:r w:rsidR="00BC74AF">
      <w:fldChar w:fldCharType="begin"/>
    </w:r>
    <w:r>
      <w:instrText xml:space="preserve"> NUMPAGES  \* MERGEFORMAT </w:instrText>
    </w:r>
    <w:r w:rsidR="00BC74AF">
      <w:fldChar w:fldCharType="separate"/>
    </w:r>
    <w:r>
      <w:rPr>
        <w:noProof/>
      </w:rPr>
      <w:t>7</w:t>
    </w:r>
    <w:r w:rsidR="00BC74AF">
      <w:rPr>
        <w:noProof/>
      </w:rPr>
      <w:fldChar w:fldCharType="end"/>
    </w:r>
    <w:r w:rsidRPr="00605E64">
      <w:tab/>
    </w:r>
    <w:r w:rsidRPr="00605E64">
      <w:rPr>
        <w:rStyle w:val="HideTWBExt"/>
      </w:rPr>
      <w:t>&lt;PathFdR&gt;</w:t>
    </w:r>
    <w:r w:rsidRPr="00605E64">
      <w:t>PR\1287311MT.docx</w:t>
    </w:r>
    <w:r w:rsidRPr="00605E64">
      <w:rPr>
        <w:rStyle w:val="HideTWBExt"/>
      </w:rPr>
      <w:t>&lt;/PathFdR&gt;</w:t>
    </w:r>
  </w:p>
  <w:p w:rsidR="0085501C" w:rsidRPr="00605E64" w:rsidRDefault="00E94146" w:rsidP="00605E64">
    <w:pPr>
      <w:pStyle w:val="EPFooter2"/>
    </w:pPr>
    <w:r w:rsidRPr="00605E6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E64" w:rsidRPr="00605E64" w:rsidRDefault="00E94146" w:rsidP="00605E64">
    <w:pPr>
      <w:pStyle w:val="EPFooter"/>
    </w:pPr>
    <w:r w:rsidRPr="00605E64">
      <w:rPr>
        <w:rStyle w:val="HideTWBExt"/>
      </w:rPr>
      <w:t>&lt;PathFdR&gt;</w:t>
    </w:r>
    <w:r w:rsidRPr="00605E64">
      <w:t>PR\1287311MT.docx</w:t>
    </w:r>
    <w:r w:rsidRPr="00605E64">
      <w:rPr>
        <w:rStyle w:val="HideTWBExt"/>
      </w:rPr>
      <w:t>&lt;/PathFdR&gt;</w:t>
    </w:r>
    <w:r w:rsidRPr="00605E64">
      <w:tab/>
    </w:r>
    <w:r w:rsidRPr="00605E64">
      <w:fldChar w:fldCharType="begin"/>
    </w:r>
    <w:r w:rsidRPr="00605E64">
      <w:instrText xml:space="preserve"> PAGE  \* MERGEFORMAT </w:instrText>
    </w:r>
    <w:r w:rsidRPr="00605E64">
      <w:fldChar w:fldCharType="separate"/>
    </w:r>
    <w:r>
      <w:rPr>
        <w:noProof/>
      </w:rPr>
      <w:t>3</w:t>
    </w:r>
    <w:r w:rsidRPr="00605E64">
      <w:fldChar w:fldCharType="end"/>
    </w:r>
    <w:r w:rsidRPr="00605E64">
      <w:t>/</w:t>
    </w:r>
    <w:r w:rsidR="00BC74AF">
      <w:fldChar w:fldCharType="begin"/>
    </w:r>
    <w:r>
      <w:instrText xml:space="preserve"> NUMPAGES  \* MERGEFORMAT </w:instrText>
    </w:r>
    <w:r w:rsidR="00BC74AF">
      <w:fldChar w:fldCharType="separate"/>
    </w:r>
    <w:r>
      <w:rPr>
        <w:noProof/>
      </w:rPr>
      <w:t>7</w:t>
    </w:r>
    <w:r w:rsidR="00BC74AF">
      <w:rPr>
        <w:noProof/>
      </w:rPr>
      <w:fldChar w:fldCharType="end"/>
    </w:r>
    <w:r w:rsidRPr="00605E64">
      <w:tab/>
      <w:t>PE</w:t>
    </w:r>
    <w:r w:rsidRPr="00605E64">
      <w:rPr>
        <w:rStyle w:val="HideTWBExt"/>
      </w:rPr>
      <w:t>&lt;NoPE&gt;</w:t>
    </w:r>
    <w:r w:rsidRPr="00605E64">
      <w:t>753.774</w:t>
    </w:r>
    <w:r w:rsidRPr="00605E64">
      <w:rPr>
        <w:rStyle w:val="HideTWBExt"/>
      </w:rPr>
      <w:t>&lt;/NoPE&gt;&lt;Version&gt;</w:t>
    </w:r>
    <w:r w:rsidRPr="00605E64">
      <w:t>v01-00</w:t>
    </w:r>
    <w:r w:rsidRPr="00605E64">
      <w:rPr>
        <w:rStyle w:val="HideTWBExt"/>
      </w:rPr>
      <w:t>&lt;/Version&gt;</w:t>
    </w:r>
  </w:p>
  <w:p w:rsidR="0085501C" w:rsidRPr="00605E64" w:rsidRDefault="00E94146" w:rsidP="00605E64">
    <w:pPr>
      <w:pStyle w:val="EPFooter2"/>
    </w:pPr>
    <w:r w:rsidRPr="00605E64">
      <w:tab/>
    </w:r>
    <w:r w:rsidRPr="00605E6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E64" w:rsidRPr="00605E64" w:rsidRDefault="00E94146" w:rsidP="00605E64">
    <w:pPr>
      <w:pStyle w:val="EPFooter"/>
    </w:pPr>
    <w:r w:rsidRPr="00605E64">
      <w:rPr>
        <w:rStyle w:val="HideTWBExt"/>
      </w:rPr>
      <w:t>&lt;PathFdR&gt;</w:t>
    </w:r>
    <w:r w:rsidRPr="00605E64">
      <w:t>PR\1287311MT.docx</w:t>
    </w:r>
    <w:r w:rsidRPr="00605E64">
      <w:rPr>
        <w:rStyle w:val="HideTWBExt"/>
      </w:rPr>
      <w:t>&lt;/PathFdR&gt;</w:t>
    </w:r>
    <w:r w:rsidRPr="00605E64">
      <w:tab/>
    </w:r>
    <w:r w:rsidRPr="00605E64">
      <w:tab/>
      <w:t>PE</w:t>
    </w:r>
    <w:r w:rsidRPr="00605E64">
      <w:rPr>
        <w:rStyle w:val="HideTWBExt"/>
      </w:rPr>
      <w:t>&lt;NoPE&gt;</w:t>
    </w:r>
    <w:r w:rsidRPr="00605E64">
      <w:t>753.774</w:t>
    </w:r>
    <w:r w:rsidRPr="00605E64">
      <w:rPr>
        <w:rStyle w:val="HideTWBExt"/>
      </w:rPr>
      <w:t>&lt;/NoPE&gt;&lt;Version&gt;</w:t>
    </w:r>
    <w:r w:rsidRPr="00605E64">
      <w:t>v01-00</w:t>
    </w:r>
    <w:r w:rsidRPr="00605E64">
      <w:rPr>
        <w:rStyle w:val="HideTWBExt"/>
      </w:rPr>
      <w:t>&lt;/Version&gt;</w:t>
    </w:r>
  </w:p>
  <w:p w:rsidR="0085501C" w:rsidRPr="00605E64" w:rsidRDefault="00E94146" w:rsidP="00605E64">
    <w:pPr>
      <w:pStyle w:val="EPFooter2"/>
    </w:pPr>
    <w:r w:rsidRPr="00605E64">
      <w:t>MT</w:t>
    </w:r>
    <w:r w:rsidRPr="00605E64">
      <w:tab/>
    </w:r>
    <w:r w:rsidRPr="00605E64">
      <w:rPr>
        <w:b w:val="0"/>
        <w:i/>
        <w:color w:val="C0C0C0"/>
        <w:sz w:val="22"/>
      </w:rPr>
      <w:t>Magħquda fid-diversità</w:t>
    </w:r>
    <w:r w:rsidRPr="00605E6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9F5" w:rsidRPr="00605E64" w:rsidRDefault="00E94146">
      <w:r w:rsidRPr="00605E64">
        <w:separator/>
      </w:r>
    </w:p>
  </w:footnote>
  <w:footnote w:type="continuationSeparator" w:id="0">
    <w:p w:rsidR="005C49F5" w:rsidRPr="00605E64" w:rsidRDefault="00E94146">
      <w:r w:rsidRPr="00605E64">
        <w:continuationSeparator/>
      </w:r>
    </w:p>
  </w:footnote>
  <w:footnote w:id="1">
    <w:p w:rsidR="00605E64" w:rsidRPr="00605E64" w:rsidRDefault="00E94146" w:rsidP="00605E64">
      <w:pPr>
        <w:pStyle w:val="FootnoteText"/>
      </w:pPr>
      <w:r>
        <w:rPr>
          <w:rStyle w:val="FootnoteReference"/>
        </w:rPr>
        <w:footnoteRef/>
      </w:r>
      <w:r>
        <w:t xml:space="preserve">L-Affarijiet Marittimi u s-Sajd: Evalwazzjoni ex post tal-Protokoll attwali tal-Ftehim ta’ Sħubija fis-Settur tas-Sajd bejn l-Unjoni Ewropea u </w:t>
      </w:r>
      <w:r>
        <w:t xml:space="preserve">r-Repubblika ta’ Kiribati, u evalwazzjoni ex ante, inkluż analiżi tal-impatt tal-Protokoll futur dwar is-sostenibbiltà. </w:t>
      </w:r>
      <w:hyperlink r:id="rId1" w:history="1">
        <w:r>
          <w:rPr>
            <w:rStyle w:val="Hyperlink"/>
          </w:rPr>
          <w:t>https://webgate.ec.testa.eu/p</w:t>
        </w:r>
        <w:r>
          <w:rPr>
            <w:rStyle w:val="Hyperlink"/>
          </w:rPr>
          <w:t xml:space="preserve">ublications/studie </w:t>
        </w:r>
      </w:hyperlink>
      <w:hyperlink r:id="rId2" w:history="1">
        <w:r>
          <w:rPr>
            <w:rStyle w:val="Hyperlink"/>
          </w:rPr>
          <w:t xml:space="preserve">s </w:t>
        </w:r>
      </w:hyperlink>
      <w:hyperlink r:id="rId3" w:history="1">
        <w:r>
          <w:rPr>
            <w:rStyle w:val="Hyperlink"/>
          </w:rPr>
          <w:t>db/Consultation.actio</w:t>
        </w:r>
        <w:r>
          <w:rPr>
            <w:rStyle w:val="Hyperlink"/>
          </w:rPr>
          <w:t>n?studyProjectId=5911</w:t>
        </w:r>
      </w:hyperlink>
    </w:p>
    <w:p w:rsidR="00605E64" w:rsidRPr="00605E64" w:rsidRDefault="00605E64" w:rsidP="00605E6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4AF" w:rsidRDefault="00BC74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4AF" w:rsidRDefault="00BC74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4AF" w:rsidRDefault="00BC74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PECH"/>
    <w:docVar w:name="LastEditedSection" w:val=" 1"/>
    <w:docVar w:name="strDocTypeID" w:val="PR_NLE-AP_Agreement"/>
    <w:docVar w:name="strSubDir" w:val="1287"/>
    <w:docVar w:name="TXTLANGUE" w:val="MT"/>
    <w:docVar w:name="TXTLANGUEMIN" w:val="mt"/>
    <w:docVar w:name="TXTNRNLE" w:val="2023/0147"/>
    <w:docVar w:name="TXTNRPE" w:val="753.774"/>
    <w:docVar w:name="TXTPEorAP" w:val="PE"/>
    <w:docVar w:name="TXTROUTE" w:val="PR\1287311MT.docx"/>
    <w:docVar w:name="TXTVERSION" w:val="01-00"/>
  </w:docVars>
  <w:rsids>
    <w:rsidRoot w:val="005C49F5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86FAE"/>
    <w:rsid w:val="004C083C"/>
    <w:rsid w:val="004E1650"/>
    <w:rsid w:val="0053367A"/>
    <w:rsid w:val="00544D48"/>
    <w:rsid w:val="005877C0"/>
    <w:rsid w:val="005A6B14"/>
    <w:rsid w:val="005C49F5"/>
    <w:rsid w:val="005D0B97"/>
    <w:rsid w:val="005F5D6C"/>
    <w:rsid w:val="00605E64"/>
    <w:rsid w:val="006132CE"/>
    <w:rsid w:val="00613F2E"/>
    <w:rsid w:val="006A1A75"/>
    <w:rsid w:val="006A2CF5"/>
    <w:rsid w:val="006F1B6F"/>
    <w:rsid w:val="00781CE4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007E6"/>
    <w:rsid w:val="00A415B7"/>
    <w:rsid w:val="00AD5D0C"/>
    <w:rsid w:val="00B31D18"/>
    <w:rsid w:val="00B42885"/>
    <w:rsid w:val="00B50C20"/>
    <w:rsid w:val="00B6769C"/>
    <w:rsid w:val="00BB22CC"/>
    <w:rsid w:val="00BB41C8"/>
    <w:rsid w:val="00BC74AF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9414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67BCB"/>
  <w15:chartTrackingRefBased/>
  <w15:docId w15:val="{628714F0-E520-4F4D-8EB6-EC34247C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605E6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5E6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5E64"/>
    <w:rPr>
      <w:sz w:val="18"/>
    </w:rPr>
  </w:style>
  <w:style w:type="paragraph" w:styleId="FootnoteText">
    <w:name w:val="footnote text"/>
    <w:basedOn w:val="Normal"/>
    <w:link w:val="FootnoteTextChar"/>
    <w:rsid w:val="00605E6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05E64"/>
  </w:style>
  <w:style w:type="character" w:styleId="FootnoteReference">
    <w:name w:val="footnote reference"/>
    <w:basedOn w:val="DefaultParagraphFont"/>
    <w:rsid w:val="00605E64"/>
    <w:rPr>
      <w:vertAlign w:val="superscript"/>
    </w:rPr>
  </w:style>
  <w:style w:type="character" w:styleId="Hyperlink">
    <w:name w:val="Hyperlink"/>
    <w:basedOn w:val="DefaultParagraphFont"/>
    <w:rsid w:val="00605E64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BC74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C74A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ebgate.ec.testa.eu/publications/studiesdb/Consultation.action?studyProjectId=5911" TargetMode="External"/><Relationship Id="rId2" Type="http://schemas.openxmlformats.org/officeDocument/2006/relationships/hyperlink" Target="https://webgate.ec.testa.eu/publications/studiesdb/Consultation.action?studyProjectId=5911" TargetMode="External"/><Relationship Id="rId1" Type="http://schemas.openxmlformats.org/officeDocument/2006/relationships/hyperlink" Target="https://webgate.ec.testa.eu/publications/studiesdb/Consultation.action?studyProjectId=591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agro\AppData\Local\Temp\PR_NLE-AP_Agre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59901-B93A-47B2-8315-BA95372CA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PR_NLE-AP_Agreement.dotx</Template>
  <TotalTime>1</TotalTime>
  <Pages>7</Pages>
  <Words>1244</Words>
  <Characters>9413</Characters>
  <Application>Microsoft Office Word</Application>
  <DocSecurity>0</DocSecurity>
  <Lines>188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MAGRO Josefa Maria</dc:creator>
  <cp:lastModifiedBy>MAGRO Josefa Maria</cp:lastModifiedBy>
  <cp:revision>2</cp:revision>
  <cp:lastPrinted>2002-12-11T09:25:00Z</cp:lastPrinted>
  <dcterms:created xsi:type="dcterms:W3CDTF">2023-10-17T09:06:00Z</dcterms:created>
  <dcterms:modified xsi:type="dcterms:W3CDTF">2023-10-17T09:06:00Z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1287311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19:28:04)</vt:lpwstr>
  </property>
  <property fmtid="{D5CDD505-2E9C-101B-9397-08002B2CF9AE}" pid="6" name="&lt;ModelTra&gt;">
    <vt:lpwstr>\\eiciBRUpr1\pdocep$\DocEP\TRANSFIL\MT\PR_NLE-AP_Agreement.MT(25/05/2023 16:04:13)</vt:lpwstr>
  </property>
  <property fmtid="{D5CDD505-2E9C-101B-9397-08002B2CF9AE}" pid="7" name="&lt;Type&gt;">
    <vt:lpwstr>PR</vt:lpwstr>
  </property>
  <property fmtid="{D5CDD505-2E9C-101B-9397-08002B2CF9AE}" pid="8" name="Bookout">
    <vt:lpwstr>OK - 2023/10/17 11:05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PR\1287311MT.docx</vt:lpwstr>
  </property>
  <property fmtid="{D5CDD505-2E9C-101B-9397-08002B2CF9AE}" pid="11" name="LastEdited with">
    <vt:lpwstr>9.16.1 Build [20230915]</vt:lpwstr>
  </property>
  <property fmtid="{D5CDD505-2E9C-101B-9397-08002B2CF9AE}" pid="12" name="PE number">
    <vt:lpwstr>753.774</vt:lpwstr>
  </property>
  <property fmtid="{D5CDD505-2E9C-101B-9397-08002B2CF9AE}" pid="13" name="SDLStudio">
    <vt:lpwstr/>
  </property>
</Properties>
</file>