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E7E5C" w:rsidRPr="00E90FAA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E90FAA" w:rsidRDefault="005C4126" w:rsidP="00C85D0F">
            <w:pPr>
              <w:pStyle w:val="EPName"/>
            </w:pPr>
            <w:bookmarkStart w:id="0" w:name="_GoBack"/>
            <w:bookmarkEnd w:id="0"/>
            <w:r w:rsidRPr="00E90FAA">
              <w:t>Parlament Europejski</w:t>
            </w:r>
          </w:p>
          <w:p w:rsidR="00C05DD8" w:rsidRPr="00E90FAA" w:rsidRDefault="005C4126" w:rsidP="00317A5E">
            <w:pPr>
              <w:pStyle w:val="EPTerm"/>
            </w:pPr>
            <w:r w:rsidRPr="00E90FA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E90FAA" w:rsidRDefault="005C4126" w:rsidP="00C85D0F">
            <w:pPr>
              <w:pStyle w:val="EPLogo"/>
            </w:pPr>
            <w:r w:rsidRPr="00E90FAA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E90FAA" w:rsidRDefault="009612AA" w:rsidP="009612AA">
      <w:pPr>
        <w:pStyle w:val="LineTop"/>
      </w:pPr>
    </w:p>
    <w:p w:rsidR="009612AA" w:rsidRPr="00E90FAA" w:rsidRDefault="005C4126" w:rsidP="009612AA">
      <w:pPr>
        <w:pStyle w:val="EPBody"/>
      </w:pPr>
      <w:r w:rsidRPr="00E90FAA">
        <w:rPr>
          <w:rStyle w:val="HideTWBExt"/>
        </w:rPr>
        <w:t>&lt;</w:t>
      </w:r>
      <w:r w:rsidRPr="00E90FAA">
        <w:rPr>
          <w:rStyle w:val="HideTWBExt"/>
          <w:i w:val="0"/>
        </w:rPr>
        <w:t>Commission</w:t>
      </w:r>
      <w:r w:rsidRPr="00E90FAA">
        <w:rPr>
          <w:rStyle w:val="HideTWBExt"/>
        </w:rPr>
        <w:t>&gt;</w:t>
      </w:r>
      <w:r w:rsidRPr="00E90FAA">
        <w:rPr>
          <w:rStyle w:val="HideTWBInt"/>
          <w:color w:val="auto"/>
        </w:rPr>
        <w:t>{PECH}</w:t>
      </w:r>
      <w:r w:rsidRPr="00E90FAA">
        <w:t>Komisja Rybołówstwa</w:t>
      </w:r>
      <w:r w:rsidRPr="00E90FAA">
        <w:rPr>
          <w:rStyle w:val="HideTWBExt"/>
        </w:rPr>
        <w:t>&lt;/</w:t>
      </w:r>
      <w:r w:rsidRPr="00E90FAA">
        <w:rPr>
          <w:rStyle w:val="HideTWBExt"/>
          <w:i w:val="0"/>
        </w:rPr>
        <w:t>Commission</w:t>
      </w:r>
      <w:r w:rsidRPr="00E90FAA">
        <w:rPr>
          <w:rStyle w:val="HideTWBExt"/>
        </w:rPr>
        <w:t>&gt;</w:t>
      </w:r>
    </w:p>
    <w:p w:rsidR="009612AA" w:rsidRPr="00E90FAA" w:rsidRDefault="009612AA" w:rsidP="009612AA">
      <w:pPr>
        <w:pStyle w:val="LineBottom"/>
      </w:pPr>
    </w:p>
    <w:p w:rsidR="00363B94" w:rsidRPr="00E90FAA" w:rsidRDefault="005C4126">
      <w:pPr>
        <w:pStyle w:val="CoverReference"/>
      </w:pPr>
      <w:r w:rsidRPr="00E90FAA">
        <w:rPr>
          <w:rStyle w:val="HideTWBExt"/>
          <w:b w:val="0"/>
        </w:rPr>
        <w:t>&lt;RefProc&gt;</w:t>
      </w:r>
      <w:r w:rsidRPr="00E90FAA">
        <w:t>2023/0147</w:t>
      </w:r>
      <w:r w:rsidRPr="00E90FAA">
        <w:rPr>
          <w:rStyle w:val="HideTWBExt"/>
          <w:b w:val="0"/>
        </w:rPr>
        <w:t>&lt;/RefProc&gt;&lt;RefTypeProc&gt;</w:t>
      </w:r>
      <w:r w:rsidRPr="00E90FAA">
        <w:t>(NLE)</w:t>
      </w:r>
      <w:r w:rsidRPr="00E90FAA">
        <w:rPr>
          <w:rStyle w:val="HideTWBExt"/>
          <w:b w:val="0"/>
        </w:rPr>
        <w:t>&lt;/RefTypeProc&gt;</w:t>
      </w:r>
    </w:p>
    <w:p w:rsidR="00363B94" w:rsidRPr="00E90FAA" w:rsidRDefault="005C4126">
      <w:pPr>
        <w:pStyle w:val="CoverDate"/>
      </w:pPr>
      <w:r w:rsidRPr="00E90FAA">
        <w:rPr>
          <w:rStyle w:val="HideTWBExt"/>
        </w:rPr>
        <w:t>&lt;Date&gt;</w:t>
      </w:r>
      <w:r w:rsidRPr="00E90FAA">
        <w:rPr>
          <w:rStyle w:val="HideTWBInt"/>
          <w:color w:val="auto"/>
        </w:rPr>
        <w:t>{04/10/2023}</w:t>
      </w:r>
      <w:r w:rsidRPr="00E90FAA">
        <w:t>4.10.2023</w:t>
      </w:r>
      <w:r w:rsidRPr="00E90FAA">
        <w:rPr>
          <w:rStyle w:val="HideTWBExt"/>
        </w:rPr>
        <w:t>&lt;/Date&gt;</w:t>
      </w:r>
    </w:p>
    <w:p w:rsidR="00363B94" w:rsidRPr="00E90FAA" w:rsidRDefault="005C4126">
      <w:pPr>
        <w:pStyle w:val="CoverDocType"/>
      </w:pPr>
      <w:r w:rsidRPr="00E90FAA">
        <w:rPr>
          <w:rStyle w:val="HideTWBExt"/>
          <w:b w:val="0"/>
        </w:rPr>
        <w:t>&lt;RefProcLect&gt;</w:t>
      </w:r>
      <w:r w:rsidRPr="00E90FAA">
        <w:t>***</w:t>
      </w:r>
      <w:r w:rsidRPr="00E90FAA">
        <w:rPr>
          <w:rStyle w:val="HideTWBExt"/>
          <w:b w:val="0"/>
        </w:rPr>
        <w:t>&lt;/RefProcLect&gt;</w:t>
      </w:r>
    </w:p>
    <w:p w:rsidR="00363B94" w:rsidRPr="00E90FAA" w:rsidRDefault="005C4126">
      <w:pPr>
        <w:pStyle w:val="CoverDocType24a"/>
      </w:pPr>
      <w:r w:rsidRPr="00E90FAA">
        <w:rPr>
          <w:rStyle w:val="HideTWBExt"/>
          <w:b w:val="0"/>
        </w:rPr>
        <w:t>&lt;TitreType&gt;</w:t>
      </w:r>
      <w:r w:rsidRPr="00E90FAA">
        <w:t>PROJEKT ZALECENIA</w:t>
      </w:r>
      <w:r w:rsidRPr="00E90FAA">
        <w:rPr>
          <w:rStyle w:val="HideTWBExt"/>
          <w:b w:val="0"/>
        </w:rPr>
        <w:t>&lt;/TitreType&gt;</w:t>
      </w:r>
    </w:p>
    <w:p w:rsidR="00363B94" w:rsidRPr="00E90FAA" w:rsidRDefault="005C4126">
      <w:pPr>
        <w:pStyle w:val="CoverNormal"/>
      </w:pPr>
      <w:r w:rsidRPr="00E90FAA">
        <w:rPr>
          <w:rStyle w:val="HideTWBExt"/>
        </w:rPr>
        <w:t>&lt;Titre&gt;</w:t>
      </w:r>
      <w:r w:rsidRPr="00E90FAA">
        <w:t xml:space="preserve"> w sprawie wniosku dotyczącego decyzji Rady w sprawie zawarcia w imieniu Unii Protokołu wykonawczego do Umowy o partnerstwie w sprawie połowów między Wspólnotą Europejską, z jednej strony, a Republiką Kiribati, z drugiej strony (2023–2028)</w:t>
      </w:r>
      <w:r w:rsidRPr="00E90FAA">
        <w:rPr>
          <w:rStyle w:val="HideTWBExt"/>
        </w:rPr>
        <w:t>&lt;/Titre&gt;</w:t>
      </w:r>
    </w:p>
    <w:p w:rsidR="00363B94" w:rsidRPr="00E90FAA" w:rsidRDefault="005C4126">
      <w:pPr>
        <w:pStyle w:val="CoverNormal24a"/>
      </w:pPr>
      <w:r w:rsidRPr="00E90FAA">
        <w:rPr>
          <w:rStyle w:val="HideTWBExt"/>
        </w:rPr>
        <w:t>&lt;</w:t>
      </w:r>
      <w:r w:rsidRPr="00E90FAA">
        <w:rPr>
          <w:rStyle w:val="HideTWBExt"/>
        </w:rPr>
        <w:t>DocRef&gt;</w:t>
      </w:r>
      <w:r w:rsidRPr="00E90FAA">
        <w:t>(COM(2023)0251 – C9</w:t>
      </w:r>
      <w:r w:rsidRPr="00E90FAA">
        <w:noBreakHyphen/>
        <w:t>xxxx/2023 – 2023/0147(NLE))</w:t>
      </w:r>
      <w:r w:rsidRPr="00E90FAA">
        <w:rPr>
          <w:rStyle w:val="HideTWBExt"/>
        </w:rPr>
        <w:t>&lt;/DocRef&gt;</w:t>
      </w:r>
    </w:p>
    <w:p w:rsidR="00363B94" w:rsidRPr="00E90FAA" w:rsidRDefault="005C4126">
      <w:pPr>
        <w:pStyle w:val="CoverNormal24a"/>
      </w:pPr>
      <w:r w:rsidRPr="00E90FAA">
        <w:rPr>
          <w:rStyle w:val="HideTWBExt"/>
        </w:rPr>
        <w:t>&lt;Commission&gt;</w:t>
      </w:r>
      <w:r w:rsidRPr="00E90FAA">
        <w:rPr>
          <w:rStyle w:val="HideTWBInt"/>
          <w:color w:val="auto"/>
        </w:rPr>
        <w:t>{PECH}</w:t>
      </w:r>
      <w:r w:rsidRPr="00E90FAA">
        <w:t>Komisja Rybołówstwa</w:t>
      </w:r>
      <w:r w:rsidRPr="00E90FAA">
        <w:rPr>
          <w:rStyle w:val="HideTWBExt"/>
        </w:rPr>
        <w:t>&lt;/Commission&gt;</w:t>
      </w:r>
    </w:p>
    <w:p w:rsidR="00363B94" w:rsidRPr="00E90FAA" w:rsidRDefault="005C4126">
      <w:pPr>
        <w:pStyle w:val="CoverNormal24a"/>
      </w:pPr>
      <w:r w:rsidRPr="00E90FAA">
        <w:t xml:space="preserve">Sprawozdawca: </w:t>
      </w:r>
      <w:r w:rsidRPr="00E90FAA">
        <w:rPr>
          <w:rStyle w:val="HideTWBExt"/>
        </w:rPr>
        <w:t>&lt;Depute&gt;</w:t>
      </w:r>
      <w:r w:rsidRPr="00E90FAA">
        <w:t>João Pimenta Lopes</w:t>
      </w:r>
      <w:r w:rsidRPr="00E90FAA">
        <w:rPr>
          <w:rStyle w:val="HideTWBExt"/>
        </w:rPr>
        <w:t>&lt;/Depute&gt;</w:t>
      </w:r>
    </w:p>
    <w:p w:rsidR="00B42885" w:rsidRPr="00E90FAA" w:rsidRDefault="00B42885" w:rsidP="00B42885">
      <w:pPr>
        <w:pStyle w:val="CoverNormal"/>
      </w:pPr>
    </w:p>
    <w:p w:rsidR="00317A5E" w:rsidRPr="00E90FAA" w:rsidRDefault="005C4126" w:rsidP="00016E55">
      <w:r w:rsidRPr="00E90FAA">
        <w:br w:type="page"/>
      </w:r>
      <w:r w:rsidRPr="00E90FAA">
        <w:lastRenderedPageBreak/>
        <w:fldChar w:fldCharType="begin"/>
      </w:r>
      <w:r w:rsidRPr="00E90FAA">
        <w:instrText xml:space="preserve"> TITLE  \* MERGEFORMAT </w:instrText>
      </w:r>
      <w:r w:rsidRPr="00E90FAA">
        <w:fldChar w:fldCharType="separate"/>
      </w:r>
      <w:r>
        <w:t>PR_NLE-AP_Agreement</w:t>
      </w:r>
      <w:r w:rsidRPr="00E90FAA">
        <w:fldChar w:fldCharType="end"/>
      </w:r>
    </w:p>
    <w:p w:rsidR="00317A5E" w:rsidRPr="00E90FAA" w:rsidRDefault="00317A5E" w:rsidP="00016E55"/>
    <w:p w:rsidR="00317A5E" w:rsidRPr="00E90FAA" w:rsidRDefault="00317A5E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E7E5C" w:rsidRPr="00E90FAA">
        <w:tc>
          <w:tcPr>
            <w:tcW w:w="5811" w:type="dxa"/>
          </w:tcPr>
          <w:p w:rsidR="00317A5E" w:rsidRPr="00E90FAA" w:rsidRDefault="005C4126" w:rsidP="00016E55">
            <w:pPr>
              <w:pStyle w:val="Lgendetitre"/>
            </w:pPr>
            <w:r w:rsidRPr="00E90FAA">
              <w:t>Objaśnienie używanych znaków</w:t>
            </w:r>
          </w:p>
        </w:tc>
      </w:tr>
      <w:tr w:rsidR="00AE7E5C" w:rsidRPr="00E90FAA" w:rsidTr="007948A1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:rsidR="00317A5E" w:rsidRPr="00E90FAA" w:rsidRDefault="005C4126" w:rsidP="00B122F1">
            <w:pPr>
              <w:pStyle w:val="Lgendesigne"/>
            </w:pPr>
            <w:r w:rsidRPr="00E90FAA">
              <w:tab/>
              <w:t>*</w:t>
            </w:r>
            <w:r w:rsidRPr="00E90FAA">
              <w:tab/>
            </w:r>
            <w:r w:rsidRPr="00E90FAA">
              <w:t>Procedura konsultacji</w:t>
            </w:r>
          </w:p>
          <w:p w:rsidR="00317A5E" w:rsidRPr="00E90FAA" w:rsidRDefault="005C4126" w:rsidP="00B122F1">
            <w:pPr>
              <w:pStyle w:val="Lgendesigne"/>
            </w:pPr>
            <w:r w:rsidRPr="00E90FAA">
              <w:tab/>
              <w:t>***</w:t>
            </w:r>
            <w:r w:rsidRPr="00E90FAA">
              <w:tab/>
              <w:t>Procedura zgody</w:t>
            </w:r>
          </w:p>
          <w:p w:rsidR="00317A5E" w:rsidRPr="00E90FAA" w:rsidRDefault="005C4126" w:rsidP="00B122F1">
            <w:pPr>
              <w:pStyle w:val="Lgendesigne"/>
            </w:pPr>
            <w:r w:rsidRPr="00E90FAA">
              <w:tab/>
              <w:t>***I</w:t>
            </w:r>
            <w:r w:rsidRPr="00E90FAA">
              <w:tab/>
              <w:t>Zwykła procedura ustawodawcza (pierwsze czytanie)</w:t>
            </w:r>
          </w:p>
          <w:p w:rsidR="00317A5E" w:rsidRPr="00E90FAA" w:rsidRDefault="005C4126" w:rsidP="00B122F1">
            <w:pPr>
              <w:pStyle w:val="Lgendesigne"/>
            </w:pPr>
            <w:r w:rsidRPr="00E90FAA">
              <w:tab/>
              <w:t>***II</w:t>
            </w:r>
            <w:r w:rsidRPr="00E90FAA">
              <w:tab/>
              <w:t>Zwykła procedura ustawodawcza (drugie czytanie)</w:t>
            </w:r>
          </w:p>
          <w:p w:rsidR="00317A5E" w:rsidRPr="00E90FAA" w:rsidRDefault="005C4126" w:rsidP="00B122F1">
            <w:pPr>
              <w:pStyle w:val="Lgendesigne"/>
            </w:pPr>
            <w:r w:rsidRPr="00E90FAA">
              <w:tab/>
              <w:t>***III</w:t>
            </w:r>
            <w:r w:rsidRPr="00E90FAA">
              <w:tab/>
              <w:t>Zwykła procedura ustawodawcza (trzecie czytanie)</w:t>
            </w:r>
          </w:p>
          <w:p w:rsidR="00317A5E" w:rsidRPr="00E90FAA" w:rsidRDefault="00317A5E" w:rsidP="00B122F1">
            <w:pPr>
              <w:pStyle w:val="Lgendestandard"/>
            </w:pPr>
          </w:p>
          <w:p w:rsidR="00317A5E" w:rsidRPr="00E90FAA" w:rsidRDefault="005C4126" w:rsidP="00B122F1">
            <w:pPr>
              <w:pStyle w:val="Lgendestandard"/>
            </w:pPr>
            <w:r w:rsidRPr="00E90FAA">
              <w:t xml:space="preserve">(Wskazana procedura opiera się na podstawie </w:t>
            </w:r>
            <w:r w:rsidRPr="00E90FAA">
              <w:t>prawnej zaproponowanej w projekcie aktu.)</w:t>
            </w:r>
          </w:p>
          <w:p w:rsidR="00317A5E" w:rsidRPr="00E90FAA" w:rsidRDefault="00317A5E" w:rsidP="00B122F1">
            <w:pPr>
              <w:pStyle w:val="Lgendestandard"/>
            </w:pPr>
          </w:p>
        </w:tc>
      </w:tr>
    </w:tbl>
    <w:p w:rsidR="00317A5E" w:rsidRPr="00E90FAA" w:rsidRDefault="00317A5E" w:rsidP="00016E55"/>
    <w:p w:rsidR="00363B94" w:rsidRPr="00E90FAA" w:rsidRDefault="00363B94" w:rsidP="00613F2E">
      <w:pPr>
        <w:widowControl/>
        <w:tabs>
          <w:tab w:val="center" w:pos="4677"/>
        </w:tabs>
      </w:pPr>
    </w:p>
    <w:p w:rsidR="00363B94" w:rsidRPr="00E90FAA" w:rsidRDefault="005C4126">
      <w:pPr>
        <w:pStyle w:val="TOCHeading"/>
      </w:pPr>
      <w:r w:rsidRPr="00E90FAA">
        <w:br w:type="page"/>
      </w:r>
      <w:r w:rsidRPr="00E90FAA">
        <w:lastRenderedPageBreak/>
        <w:t>SPIS TREŚCI</w:t>
      </w:r>
    </w:p>
    <w:p w:rsidR="00363B94" w:rsidRPr="00E90FAA" w:rsidRDefault="005C4126">
      <w:pPr>
        <w:pStyle w:val="TOCPage"/>
      </w:pPr>
      <w:r w:rsidRPr="00E90FAA">
        <w:t>Strona</w:t>
      </w:r>
    </w:p>
    <w:p w:rsidR="005C4126" w:rsidRDefault="005C412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r w:rsidRPr="00E90FAA">
        <w:fldChar w:fldCharType="begin"/>
      </w:r>
      <w:r w:rsidRPr="00E90FAA">
        <w:instrText xml:space="preserve"> TOC \t "PageHeading</w:instrText>
      </w:r>
      <w:r w:rsidR="004E5D1F">
        <w:instrText>;</w:instrText>
      </w:r>
      <w:r w:rsidRPr="00E90FAA">
        <w:instrText xml:space="preserve">1" </w:instrText>
      </w:r>
      <w:r w:rsidRPr="00E90FAA">
        <w:fldChar w:fldCharType="separate"/>
      </w:r>
      <w:r>
        <w:rPr>
          <w:noProof/>
        </w:rPr>
        <w:t>PROJEKT REZOLUCJI USTAWODAWCZEJ PARLAMENTU EUROPEJSKIEGO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_Toc148531234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4126" w:rsidRDefault="005C412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_Toc148531235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1650" w:rsidRPr="00E90FAA" w:rsidRDefault="005C4126" w:rsidP="00F04010">
      <w:r w:rsidRPr="00E90FAA">
        <w:fldChar w:fldCharType="end"/>
      </w:r>
    </w:p>
    <w:p w:rsidR="00363B94" w:rsidRPr="00E90FAA" w:rsidRDefault="005C4126" w:rsidP="0006167F">
      <w:pPr>
        <w:pStyle w:val="PageHeading"/>
      </w:pPr>
      <w:r w:rsidRPr="00E90FAA">
        <w:br w:type="page"/>
      </w:r>
      <w:bookmarkStart w:id="1" w:name="_Toc148531234"/>
      <w:r w:rsidRPr="00E90FAA">
        <w:lastRenderedPageBreak/>
        <w:t>PROJEKT REZOLUCJI USTAWODAWCZEJ PARLAMENTU EUROPEJSKIEGO</w:t>
      </w:r>
      <w:bookmarkEnd w:id="1"/>
    </w:p>
    <w:p w:rsidR="00363B94" w:rsidRPr="00E90FAA" w:rsidRDefault="005C4126">
      <w:pPr>
        <w:pStyle w:val="NormalBold"/>
      </w:pPr>
      <w:r w:rsidRPr="00E90FAA">
        <w:t>w sprawie wni</w:t>
      </w:r>
      <w:r w:rsidRPr="00E90FAA">
        <w:t>osku dotyczącego decyzji Rady w sprawie zawarcia w imieniu Unii Protokołu wykonawczego do Umowy o partnerstwie w sprawie połowów między Wspólnotą Europejską, z jednej strony, a Republiką Kiribati, z drugiej strony (2023–2028)</w:t>
      </w:r>
    </w:p>
    <w:p w:rsidR="00363B94" w:rsidRPr="00E90FAA" w:rsidRDefault="005C4126">
      <w:pPr>
        <w:pStyle w:val="NormalBold12a"/>
      </w:pPr>
      <w:r w:rsidRPr="00E90FAA">
        <w:t>(COM(2023)0251 – C9</w:t>
      </w:r>
      <w:r w:rsidRPr="00E90FAA">
        <w:noBreakHyphen/>
        <w:t xml:space="preserve">xxxx/2023 </w:t>
      </w:r>
      <w:r w:rsidRPr="00E90FAA">
        <w:t>– 2023/0147(NLE))</w:t>
      </w:r>
    </w:p>
    <w:p w:rsidR="00363B94" w:rsidRPr="00E90FAA" w:rsidRDefault="005C4126" w:rsidP="00893FBD">
      <w:pPr>
        <w:pStyle w:val="NormalBold"/>
      </w:pPr>
      <w:r w:rsidRPr="00E90FAA">
        <w:t>(Zgoda)</w:t>
      </w:r>
    </w:p>
    <w:p w:rsidR="00363B94" w:rsidRPr="00E90FAA" w:rsidRDefault="005C4126">
      <w:pPr>
        <w:pStyle w:val="EPComma"/>
      </w:pPr>
      <w:r w:rsidRPr="00E90FAA">
        <w:rPr>
          <w:i/>
        </w:rPr>
        <w:t>Parlament Europejski</w:t>
      </w:r>
      <w:r w:rsidRPr="00E90FAA">
        <w:t>,</w:t>
      </w:r>
    </w:p>
    <w:p w:rsidR="00E917E5" w:rsidRPr="00E90FAA" w:rsidRDefault="005C4126" w:rsidP="00E917E5">
      <w:pPr>
        <w:pStyle w:val="NormalHanging12a"/>
      </w:pPr>
      <w:r w:rsidRPr="00E90FAA">
        <w:t>–</w:t>
      </w:r>
      <w:r w:rsidRPr="00E90FAA">
        <w:tab/>
        <w:t>uwzględniając wniosek dotyczący decyzji Rady (COM(2023)0251),</w:t>
      </w:r>
    </w:p>
    <w:p w:rsidR="00E917E5" w:rsidRPr="00E90FAA" w:rsidRDefault="005C4126" w:rsidP="00E917E5">
      <w:pPr>
        <w:pStyle w:val="NormalHanging12a"/>
      </w:pPr>
      <w:r w:rsidRPr="00E90FAA">
        <w:t>–</w:t>
      </w:r>
      <w:r w:rsidRPr="00E90FAA">
        <w:tab/>
        <w:t xml:space="preserve">uwzględniając projekt Protokołu wykonawczego do Umowy o partnerstwie w sprawie połowów między Wspólnotą Europejską, z jednej strony, a </w:t>
      </w:r>
      <w:r w:rsidRPr="00E90FAA">
        <w:t>Republiką Kiribati, z drugiej strony (2023–2028) (9890/2023),</w:t>
      </w:r>
    </w:p>
    <w:p w:rsidR="00E917E5" w:rsidRPr="00E90FAA" w:rsidRDefault="005C4126" w:rsidP="00E917E5">
      <w:pPr>
        <w:pStyle w:val="NormalHanging12a"/>
      </w:pPr>
      <w:r w:rsidRPr="00E90FAA">
        <w:t>–</w:t>
      </w:r>
      <w:r w:rsidRPr="00E90FAA">
        <w:tab/>
        <w:t xml:space="preserve">uwzględniając wniosek o udzielenie zgody przedstawiony przez Radę na podstawie art. 43 ust. 2 oraz art. 218 ust. 6 akapit drugi lit. a) ppkt (v) i ust. 218 ust. 7 Traktatu o funkcjonowaniu </w:t>
      </w:r>
      <w:r w:rsidRPr="00E90FAA">
        <w:t>Unii Europejskiej (TFUE) (C9-xxxx/2023),</w:t>
      </w:r>
    </w:p>
    <w:p w:rsidR="00E917E5" w:rsidRPr="00E90FAA" w:rsidRDefault="005C4126" w:rsidP="00E917E5">
      <w:pPr>
        <w:pStyle w:val="NormalHanging12a"/>
      </w:pPr>
      <w:r w:rsidRPr="00E90FAA">
        <w:t>–</w:t>
      </w:r>
      <w:r w:rsidRPr="00E90FAA">
        <w:tab/>
        <w:t>uwzględniając art. 105 ust. 1 i 4 oraz art. 114 ust. 7 Regulaminu,</w:t>
      </w:r>
    </w:p>
    <w:p w:rsidR="00E917E5" w:rsidRPr="00E90FAA" w:rsidRDefault="005C4126" w:rsidP="00E917E5">
      <w:pPr>
        <w:pStyle w:val="NormalHanging12a"/>
      </w:pPr>
      <w:r w:rsidRPr="00E90FAA">
        <w:t>–</w:t>
      </w:r>
      <w:r w:rsidRPr="00E90FAA">
        <w:tab/>
        <w:t>uwzględniając opinię przedstawioną przez Komisję Budżetową,</w:t>
      </w:r>
    </w:p>
    <w:p w:rsidR="00E917E5" w:rsidRPr="00E90FAA" w:rsidRDefault="005C4126" w:rsidP="00E917E5">
      <w:pPr>
        <w:pStyle w:val="NormalHanging12a"/>
      </w:pPr>
      <w:r w:rsidRPr="00E90FAA">
        <w:t>–</w:t>
      </w:r>
      <w:r w:rsidRPr="00E90FAA">
        <w:tab/>
        <w:t>uwzględniając zalecenie Komisji Rybołówstwa (A9‑xxxx/2023),</w:t>
      </w:r>
    </w:p>
    <w:p w:rsidR="00E917E5" w:rsidRPr="00E90FAA" w:rsidRDefault="005C4126" w:rsidP="00E917E5">
      <w:pPr>
        <w:pStyle w:val="NormalHanging12a"/>
      </w:pPr>
      <w:r w:rsidRPr="00E90FAA">
        <w:t xml:space="preserve">1. </w:t>
      </w:r>
      <w:r w:rsidRPr="00E90FAA">
        <w:tab/>
        <w:t>wyraża zgodę na za</w:t>
      </w:r>
      <w:r w:rsidRPr="00E90FAA">
        <w:t>warcie protokołu;</w:t>
      </w:r>
    </w:p>
    <w:p w:rsidR="00E917E5" w:rsidRPr="00E90FAA" w:rsidRDefault="005C4126" w:rsidP="00E917E5">
      <w:pPr>
        <w:pStyle w:val="NormalHanging12a"/>
      </w:pPr>
      <w:r w:rsidRPr="00E90FAA">
        <w:t xml:space="preserve">2. </w:t>
      </w:r>
      <w:r w:rsidRPr="00E90FAA">
        <w:tab/>
        <w:t>zobowiązuje swoją przewodniczącą do przekazania stanowiska Parlamentu Radzie, Komisji, jak również rządom i parlamentom państw członkowskich oraz Republiki Kiribati.</w:t>
      </w:r>
    </w:p>
    <w:p w:rsidR="00363B94" w:rsidRPr="00E90FAA" w:rsidRDefault="00363B94" w:rsidP="00822206"/>
    <w:p w:rsidR="00250ADB" w:rsidRPr="00E90FAA" w:rsidRDefault="005C4126">
      <w:pPr>
        <w:widowControl/>
      </w:pPr>
      <w:r w:rsidRPr="00E90FAA">
        <w:br w:type="page"/>
      </w:r>
    </w:p>
    <w:p w:rsidR="00250ADB" w:rsidRPr="00E90FAA" w:rsidRDefault="005C4126" w:rsidP="00250ADB">
      <w:pPr>
        <w:pStyle w:val="PageHeading"/>
      </w:pPr>
      <w:bookmarkStart w:id="2" w:name="_Toc148531235"/>
      <w:r w:rsidRPr="00E90FAA">
        <w:lastRenderedPageBreak/>
        <w:t>UZASADNIENIE</w:t>
      </w:r>
      <w:bookmarkEnd w:id="2"/>
    </w:p>
    <w:p w:rsidR="00250ADB" w:rsidRPr="00E90FAA" w:rsidRDefault="005C4126" w:rsidP="00250ADB">
      <w:pPr>
        <w:autoSpaceDE w:val="0"/>
        <w:autoSpaceDN w:val="0"/>
        <w:adjustRightInd w:val="0"/>
        <w:spacing w:before="360" w:after="120"/>
        <w:rPr>
          <w:b/>
          <w:color w:val="000000"/>
        </w:rPr>
      </w:pPr>
      <w:r w:rsidRPr="00E90FAA">
        <w:rPr>
          <w:b/>
          <w:color w:val="000000"/>
        </w:rPr>
        <w:t>Wprowadzenie</w:t>
      </w:r>
    </w:p>
    <w:p w:rsidR="00250ADB" w:rsidRPr="00E90FAA" w:rsidRDefault="005C4126" w:rsidP="00250ADB">
      <w:pPr>
        <w:spacing w:after="120"/>
      </w:pPr>
      <w:r w:rsidRPr="00E90FAA">
        <w:t>Unia Europejska (UE) podpisała kilka um</w:t>
      </w:r>
      <w:r w:rsidRPr="00E90FAA">
        <w:t>ów o partnerstwie w sprawie połowów i protokołów z państwami spoza UE. W ramach umów o partnerstwie w sprawie połowów UE udziela wsparcia finansowego i technicznego w zamian za uprawnienia do połowów w odniesieniu do nadwyżek zasobów rybnych w wyłącznej st</w:t>
      </w:r>
      <w:r w:rsidRPr="00E90FAA">
        <w:t>refie ekonomicznej (w.s.e.) kraju, w prawnie regulowanym otoczeniu.</w:t>
      </w:r>
      <w:r w:rsidRPr="00E90FAA">
        <w:rPr>
          <w:rFonts w:ascii="Arial" w:hAnsi="Arial"/>
          <w:color w:val="000000"/>
        </w:rPr>
        <w:t xml:space="preserve"> </w:t>
      </w:r>
      <w:r w:rsidRPr="00E90FAA">
        <w:t>Umowy te koncentrują się również na ochronie zasobów i zrównoważeniu środowiskowym, zapewniając, aby wszystkie statki państw członkowskich UE podlegały tym samym zasadom kontroli i przejrz</w:t>
      </w:r>
      <w:r w:rsidRPr="00E90FAA">
        <w:t>ystości oraz przyczyniały się finansowo do wspierania polityki zrównoważonego rybołówstwa kraju partnerskiego. Jednocześnie we wszystkich protokołach do umów w sprawie połowów zawarto klauzulę dotyczącą przestrzegania praw człowieka.</w:t>
      </w:r>
    </w:p>
    <w:p w:rsidR="00250ADB" w:rsidRPr="00E90FAA" w:rsidRDefault="005C4126" w:rsidP="00250ADB">
      <w:pPr>
        <w:spacing w:after="120"/>
      </w:pPr>
      <w:r w:rsidRPr="00E90FAA">
        <w:t>Umowę o partnerstwie w</w:t>
      </w:r>
      <w:r w:rsidRPr="00E90FAA">
        <w:t> sprawie połowów między Wspólnotą Europejską, z jednej strony, a Republiką Kiribati, z drugiej strony, podpisano 28 kwietnia 2008 r. i weszła ona w życie 30 kwietnia 2008 r. na okres sześciu lat. Pierwszy protokół wykonawczy do umowy o partnerstwie w spraw</w:t>
      </w:r>
      <w:r w:rsidRPr="00E90FAA">
        <w:t>ie połowów wygasł 15 września 2012 r. Drugi protokół wygasł 15 września 2015 r.</w:t>
      </w:r>
    </w:p>
    <w:p w:rsidR="00250ADB" w:rsidRPr="00E90FAA" w:rsidRDefault="005C4126" w:rsidP="00250ADB">
      <w:pPr>
        <w:spacing w:after="120"/>
      </w:pPr>
      <w:r w:rsidRPr="00E90FAA">
        <w:t>26 stycznia 2015 r. Rada upoważniła Komisję Europejską do rozpoczęcia negocjacji dotyczących nowego protokołu między Unią Europejską a Republiką Kiribati. Negocjacje rozpoczęły</w:t>
      </w:r>
      <w:r w:rsidRPr="00E90FAA">
        <w:t xml:space="preserve"> się w 2015 r., ale zostały przerwane ze względu na procedurę żółtej kartki NNN i pandemię. </w:t>
      </w:r>
    </w:p>
    <w:p w:rsidR="00250ADB" w:rsidRPr="00E90FAA" w:rsidRDefault="005C4126" w:rsidP="00250ADB">
      <w:pPr>
        <w:spacing w:after="120"/>
      </w:pPr>
      <w:r w:rsidRPr="00E90FAA">
        <w:t>W wyniku tych negocjacji 18 grudnia 2022 r. negocjatorzy podpisali nowy protokół. Protokół ten obowiązuje przez okres pięciu lat od daty rozpoczęcia jego tymczasow</w:t>
      </w:r>
      <w:r w:rsidRPr="00E90FAA">
        <w:t>ego stosowania, tj. od daty podpisania przez obie strony.</w:t>
      </w:r>
    </w:p>
    <w:p w:rsidR="00250ADB" w:rsidRPr="00E90FAA" w:rsidRDefault="00250ADB" w:rsidP="00250ADB">
      <w:pPr>
        <w:spacing w:after="120"/>
      </w:pPr>
    </w:p>
    <w:p w:rsidR="00250ADB" w:rsidRPr="00E90FAA" w:rsidRDefault="005C4126" w:rsidP="00250ADB">
      <w:pPr>
        <w:spacing w:after="120"/>
        <w:rPr>
          <w:b/>
        </w:rPr>
      </w:pPr>
      <w:r w:rsidRPr="00E90FAA">
        <w:rPr>
          <w:b/>
        </w:rPr>
        <w:t>Treść protokołu</w:t>
      </w:r>
    </w:p>
    <w:p w:rsidR="00250ADB" w:rsidRPr="00E90FAA" w:rsidRDefault="005C4126" w:rsidP="00250ADB">
      <w:pPr>
        <w:spacing w:after="120"/>
      </w:pPr>
      <w:r w:rsidRPr="00E90FAA">
        <w:t>Celem wniosku jest uzyskanie od Rady upoważnienia do zawarcia nowego protokołu wykonawczego do Umowy o partnerstwie w sprawie połowów między Wspólnotą Europejską, z jednej strony, a</w:t>
      </w:r>
      <w:r w:rsidRPr="00E90FAA">
        <w:t xml:space="preserve"> Republiką Kiribati, z drugiej strony (2023–2028). </w:t>
      </w:r>
    </w:p>
    <w:p w:rsidR="00250ADB" w:rsidRPr="00E90FAA" w:rsidRDefault="005C4126" w:rsidP="00250ADB">
      <w:pPr>
        <w:spacing w:after="120"/>
        <w:rPr>
          <w:i/>
          <w:u w:val="single"/>
        </w:rPr>
      </w:pPr>
      <w:r w:rsidRPr="00E90FAA">
        <w:rPr>
          <w:i/>
          <w:u w:val="single"/>
        </w:rPr>
        <w:t>Uprawnienia do połowów</w:t>
      </w:r>
    </w:p>
    <w:p w:rsidR="00250ADB" w:rsidRPr="00E90FAA" w:rsidRDefault="005C4126" w:rsidP="00250ADB">
      <w:pPr>
        <w:spacing w:after="120"/>
      </w:pPr>
      <w:r w:rsidRPr="00E90FAA">
        <w:t>Celem nowego protokołu jest przyznanie statkom państw członkowskich UE uprawnień do połowów w obszarach połowowych Kiribati, zgodnie z opiniami naukowymi i zaleceniami Komisji ds. R</w:t>
      </w:r>
      <w:r w:rsidRPr="00E90FAA">
        <w:t>ybołówstwa na Zachodnim i Środkowym Pacyfiku.</w:t>
      </w:r>
    </w:p>
    <w:p w:rsidR="00250ADB" w:rsidRPr="00E90FAA" w:rsidRDefault="005C4126" w:rsidP="00250ADB">
      <w:pPr>
        <w:spacing w:after="120"/>
      </w:pPr>
      <w:r w:rsidRPr="00E90FAA">
        <w:t xml:space="preserve">Nowy protokół umożliwia statkom państw członkowskich UE połowy gatunków tuńczyka w wodach Kiribati i oferuje uprawnienia do połowów czterem sejnerom tuńczykowym z dostępem do wód Kiribati przez 160 dni w roku, </w:t>
      </w:r>
      <w:r w:rsidRPr="00E90FAA">
        <w:t xml:space="preserve">a dodatkowe dni w roku mogą być udostępniane statkom państw członkowskich UE na ich wniosek. </w:t>
      </w:r>
    </w:p>
    <w:p w:rsidR="00250ADB" w:rsidRPr="00E90FAA" w:rsidRDefault="00250ADB" w:rsidP="00250ADB">
      <w:pPr>
        <w:spacing w:after="120"/>
        <w:rPr>
          <w:i/>
          <w:u w:val="single"/>
        </w:rPr>
      </w:pPr>
    </w:p>
    <w:p w:rsidR="00250ADB" w:rsidRPr="00E90FAA" w:rsidRDefault="005C4126" w:rsidP="00250ADB">
      <w:pPr>
        <w:spacing w:after="120"/>
        <w:rPr>
          <w:i/>
          <w:u w:val="single"/>
        </w:rPr>
      </w:pPr>
      <w:r w:rsidRPr="00E90FAA">
        <w:rPr>
          <w:i/>
          <w:u w:val="single"/>
        </w:rPr>
        <w:t>Rekompensata finansowa</w:t>
      </w:r>
    </w:p>
    <w:p w:rsidR="00250ADB" w:rsidRPr="00E90FAA" w:rsidRDefault="00250ADB" w:rsidP="00250ADB">
      <w:pPr>
        <w:spacing w:after="120"/>
      </w:pPr>
    </w:p>
    <w:p w:rsidR="00250ADB" w:rsidRPr="00E90FAA" w:rsidRDefault="005C4126" w:rsidP="00250ADB">
      <w:pPr>
        <w:spacing w:after="120"/>
      </w:pPr>
      <w:r w:rsidRPr="00E90FAA">
        <w:t>Roczna rekompensata finansowa Unii wynosi 760 000 EUR i jest podzielona w następujący sposób:</w:t>
      </w:r>
    </w:p>
    <w:p w:rsidR="00250ADB" w:rsidRPr="00E90FAA" w:rsidRDefault="005C4126" w:rsidP="00250ADB">
      <w:pPr>
        <w:spacing w:after="120"/>
      </w:pPr>
      <w:r w:rsidRPr="00E90FAA">
        <w:lastRenderedPageBreak/>
        <w:t>– roczna kwota w wysokości 360 000 EUR w ok</w:t>
      </w:r>
      <w:r w:rsidRPr="00E90FAA">
        <w:t>resie obowiązywania nowego protokołu za dostęp do zasobów rybnych w odniesieniu do kategorii określonych w protokole;</w:t>
      </w:r>
    </w:p>
    <w:p w:rsidR="00250ADB" w:rsidRPr="00E90FAA" w:rsidRDefault="005C4126" w:rsidP="00250ADB">
      <w:pPr>
        <w:spacing w:after="120"/>
      </w:pPr>
      <w:r w:rsidRPr="00E90FAA">
        <w:t>– wsparcie na rozwój sektorowej polityki rybołówstwa Kiribati w wysokości 400 000 EUR rocznie w okresie obowiązywania nowego protokołu.</w:t>
      </w:r>
    </w:p>
    <w:p w:rsidR="00250ADB" w:rsidRPr="00E90FAA" w:rsidRDefault="005C4126" w:rsidP="00250ADB">
      <w:pPr>
        <w:spacing w:after="120"/>
      </w:pPr>
      <w:r w:rsidRPr="00E90FAA">
        <w:t>Komisja będzie uprawniona do zatwierdzania, w imieniu UE, zmian do protokołu przyjętych przez wspólny komitet ustanowiony na mocy umowy o partnerstwie.</w:t>
      </w:r>
    </w:p>
    <w:p w:rsidR="00250ADB" w:rsidRPr="00E90FAA" w:rsidRDefault="00250ADB" w:rsidP="00250ADB">
      <w:pPr>
        <w:spacing w:after="120"/>
      </w:pPr>
    </w:p>
    <w:p w:rsidR="00250ADB" w:rsidRPr="00E90FAA" w:rsidRDefault="005C4126" w:rsidP="00250ADB">
      <w:pPr>
        <w:spacing w:after="120"/>
        <w:rPr>
          <w:b/>
        </w:rPr>
      </w:pPr>
      <w:r w:rsidRPr="00E90FAA">
        <w:rPr>
          <w:b/>
        </w:rPr>
        <w:t>Wkład rybołówstwa w gospodarkę Kiribati</w:t>
      </w:r>
    </w:p>
    <w:p w:rsidR="00250ADB" w:rsidRPr="00E90FAA" w:rsidRDefault="005C4126" w:rsidP="00250ADB">
      <w:pPr>
        <w:spacing w:after="120"/>
      </w:pPr>
      <w:r w:rsidRPr="00E90FAA">
        <w:t xml:space="preserve">Floty rybackie Kiribati obejmują łodziowe i przemysłowe statki </w:t>
      </w:r>
      <w:r w:rsidRPr="00E90FAA">
        <w:t>pływające pod banderą Kiribati. Flota łodziowego rybołówstwa przybrzeżnego koncentruje się na zasobach raf i tuńczyka dostępnych w pobliżu wybrzeża. Szacuje się, że flota ta każdego roku poławia prawie 13 000 ton tuńczyka, które są przeznaczone na rynek we</w:t>
      </w:r>
      <w:r w:rsidRPr="00E90FAA">
        <w:t>wnętrzny.</w:t>
      </w:r>
    </w:p>
    <w:p w:rsidR="00250ADB" w:rsidRPr="00E90FAA" w:rsidRDefault="005C4126" w:rsidP="00250ADB">
      <w:pPr>
        <w:spacing w:after="120"/>
      </w:pPr>
      <w:r w:rsidRPr="00E90FAA">
        <w:t>Wszystkie statki przemysłowe pływające pod banderą Kiribati są własnością konsorcjów skupiających interesy lokalne i zagraniczne, głównie z Azji. Główną zachętą dla inwestorów jest to, że statki pływające pod banderą Kiribati mają preferencyjny d</w:t>
      </w:r>
      <w:r w:rsidRPr="00E90FAA">
        <w:t>ostęp do wód innych państw nadbrzeżnych w ramach Umowy między Sfederowanymi Stanami Mikronezji. Według władz Kiribati nie wszystkie konsorcja przynoszą krajowi oczekiwane korzyści, a właściwe organy dokonują obecnie przeglądu krajowej polityki rejestracji.</w:t>
      </w:r>
    </w:p>
    <w:p w:rsidR="00250ADB" w:rsidRPr="00E90FAA" w:rsidRDefault="005C4126" w:rsidP="00250ADB">
      <w:pPr>
        <w:spacing w:after="120"/>
      </w:pPr>
      <w:r w:rsidRPr="00E90FAA">
        <w:t>Kiribati jest w dużym stopniu uzależnione od opłat za licencje połowowe na odległych wodach oraz przekazów pieniężnych od obywateli Kiribati zatrudnionych za granicą, głównie jako marynarze. Udział sektora rybołówstwa w PKB w ujęciu realnym wynosi około 1</w:t>
      </w:r>
      <w:r w:rsidRPr="00E90FAA">
        <w:t>0 %.</w:t>
      </w:r>
    </w:p>
    <w:p w:rsidR="00250ADB" w:rsidRPr="00E90FAA" w:rsidRDefault="005C4126" w:rsidP="00250ADB">
      <w:pPr>
        <w:spacing w:after="120"/>
      </w:pPr>
      <w:r w:rsidRPr="00E90FAA">
        <w:t xml:space="preserve">Kiribati, podobnie jak inni członkowie Agencji Forum Wysp Pacyfiku ds. Rybołówstwa (FFA), również otrzymuje dochody z wielostronnego traktatu podpisanego ze Stanami Zjednoczonymi. Kiribati zawarło dwustronne umowy w sprawie połowów z Unią Europejską, </w:t>
      </w:r>
      <w:r w:rsidRPr="00E90FAA">
        <w:t>Japonią, Tajwanem i Republiką Korei oraz kilka umów szczegółowych z prywatnymi przedsiębiorstwami posiadającymi statki prowadzące działalność w Ameryce Łacińskiej (Ekwador i Salwador).</w:t>
      </w:r>
    </w:p>
    <w:p w:rsidR="00250ADB" w:rsidRPr="00E90FAA" w:rsidRDefault="005C4126" w:rsidP="00250ADB">
      <w:pPr>
        <w:spacing w:after="120"/>
      </w:pPr>
      <w:r w:rsidRPr="00E90FAA">
        <w:t>Dochody z licencji połowowych tradycyjnie stanowią 23–30% wpływów do bu</w:t>
      </w:r>
      <w:r w:rsidRPr="00E90FAA">
        <w:t>dżetu Kiribati (MFW, 2011 r.). Dochody z tych licencji są bardzo zróżnicowane, zazwyczaj ze względu na zdarzenia pogodowe powodowane przez El Niño. Istnieje silny związek między zwiększoną liczebnością i dostępnością zasobów a warunkami środowiskowymi we w</w:t>
      </w:r>
      <w:r w:rsidRPr="00E90FAA">
        <w:t>schodnim regionie (Langley i in., 2008).</w:t>
      </w:r>
    </w:p>
    <w:p w:rsidR="00250ADB" w:rsidRPr="00E90FAA" w:rsidRDefault="00250ADB" w:rsidP="00250ADB">
      <w:pPr>
        <w:spacing w:after="120"/>
      </w:pPr>
    </w:p>
    <w:p w:rsidR="00250ADB" w:rsidRPr="00E90FAA" w:rsidRDefault="005C4126" w:rsidP="00250ADB">
      <w:pPr>
        <w:spacing w:after="120"/>
        <w:rPr>
          <w:b/>
        </w:rPr>
      </w:pPr>
      <w:r w:rsidRPr="00E90FAA">
        <w:rPr>
          <w:b/>
        </w:rPr>
        <w:t>Wnioski i zalecenia</w:t>
      </w:r>
    </w:p>
    <w:p w:rsidR="00250ADB" w:rsidRPr="00E90FAA" w:rsidRDefault="005C4126" w:rsidP="00250ADB">
      <w:pPr>
        <w:spacing w:after="120"/>
      </w:pPr>
      <w:r w:rsidRPr="00E90FAA">
        <w:t>W 2014 r. Komisja przeprowadziła ocenę ex post obowiązującego protokołu do umowy o partnerstwie w sprawie połowów z Kiribati, jak również ocenę ex ante ewentualnego odnowienia protokołu</w:t>
      </w:r>
      <w:r w:rsidRPr="00E90FAA">
        <w:rPr>
          <w:rStyle w:val="FootnoteReference"/>
        </w:rPr>
        <w:footnoteReference w:id="1"/>
      </w:r>
      <w:r w:rsidRPr="00E90FAA">
        <w:t>.</w:t>
      </w:r>
    </w:p>
    <w:p w:rsidR="00250ADB" w:rsidRPr="00E90FAA" w:rsidRDefault="005C4126" w:rsidP="00250ADB">
      <w:pPr>
        <w:spacing w:after="120"/>
      </w:pPr>
      <w:r w:rsidRPr="00E90FAA">
        <w:t xml:space="preserve">Ocenę </w:t>
      </w:r>
      <w:r w:rsidRPr="00E90FAA">
        <w:t xml:space="preserve">ex post protokołu dotyczącą lat 2012–2015 przeprowadzono przed negocjacjami w sprawie nowego protokołu. W wyniku oceny stwierdzono, że zawarcie nowego protokołu </w:t>
      </w:r>
      <w:r w:rsidRPr="00E90FAA">
        <w:lastRenderedPageBreak/>
        <w:t>z Kiribati byłoby korzystne. W szczególności z oceny ex ante wynika, że przedłużenie umowy o pa</w:t>
      </w:r>
      <w:r w:rsidRPr="00E90FAA">
        <w:t>rtnerstwie w sprawie połowów leży w interesie obu stron i przyniosłoby wyraźną wartość dodaną wysiłkom UE na rzecz wsparcia strategii ukierunkowanej na promowanie odpowiedzialnych praktyk połowowych i zwalczanie połowów NNN w regionie Pacyfiku.</w:t>
      </w:r>
    </w:p>
    <w:p w:rsidR="00250ADB" w:rsidRPr="00E90FAA" w:rsidRDefault="005C4126" w:rsidP="00250ADB">
      <w:pPr>
        <w:spacing w:after="120"/>
      </w:pPr>
      <w:r w:rsidRPr="00E90FAA">
        <w:t>Po przeprow</w:t>
      </w:r>
      <w:r w:rsidRPr="00E90FAA">
        <w:t>adzonej przez Trybunał Obrachunkowy kontroli umów o partnerstwie w sprawie połowów sprawozdawca pragnie wskazać na uwagi Trybunału i podkreślić znaczenie posiadania wiarygodnych informacji na temat zasobów rybnych i danych dotyczących połowów w celu zapewn</w:t>
      </w:r>
      <w:r w:rsidRPr="00E90FAA">
        <w:t>ienia zgodności z zasadami i celami WPRyb i umów o partnerstwie w sprawie połowów, a także w celu wyciągnięcia rzetelnych wniosków z oceny umów o partnerstwie w sprawie połowów.</w:t>
      </w:r>
    </w:p>
    <w:p w:rsidR="00250ADB" w:rsidRPr="00E90FAA" w:rsidRDefault="005C4126" w:rsidP="00250ADB">
      <w:pPr>
        <w:spacing w:after="120"/>
      </w:pPr>
      <w:r w:rsidRPr="00E90FAA">
        <w:t>Sprawozdawca podkreśla również, że na wszystkich etapach Parlament powinien by</w:t>
      </w:r>
      <w:r w:rsidRPr="00E90FAA">
        <w:t>ć w pełni i niezwłocznie informowany o procedurach związanych z protokołem.</w:t>
      </w:r>
    </w:p>
    <w:p w:rsidR="00250ADB" w:rsidRPr="00E90FAA" w:rsidRDefault="00250ADB" w:rsidP="00250ADB">
      <w:pPr>
        <w:spacing w:after="120"/>
      </w:pPr>
    </w:p>
    <w:p w:rsidR="00250ADB" w:rsidRPr="00E90FAA" w:rsidRDefault="005C4126" w:rsidP="00250ADB">
      <w:pPr>
        <w:spacing w:after="120"/>
        <w:rPr>
          <w:b/>
        </w:rPr>
      </w:pPr>
      <w:r w:rsidRPr="00E90FAA">
        <w:rPr>
          <w:b/>
        </w:rPr>
        <w:t>Uwagi ogólne</w:t>
      </w:r>
    </w:p>
    <w:p w:rsidR="00250ADB" w:rsidRPr="00E90FAA" w:rsidRDefault="00250ADB" w:rsidP="00250ADB">
      <w:pPr>
        <w:spacing w:after="120"/>
        <w:rPr>
          <w:b/>
        </w:rPr>
      </w:pPr>
    </w:p>
    <w:p w:rsidR="00250ADB" w:rsidRPr="00E90FAA" w:rsidRDefault="005C4126" w:rsidP="00250ADB">
      <w:r w:rsidRPr="00E90FAA">
        <w:t>Sprawozdawca uważa, że umowy o partnerstwie w sprawie połowów są ważne zarówno dla państw trzecich, z którymi zostały zawarte, jak i dla floty państw członkowskich U</w:t>
      </w:r>
      <w:r w:rsidRPr="00E90FAA">
        <w:t>E posiadających uprawnienia do połowów.</w:t>
      </w:r>
    </w:p>
    <w:p w:rsidR="00250ADB" w:rsidRPr="00E90FAA" w:rsidRDefault="00250ADB" w:rsidP="00250ADB"/>
    <w:p w:rsidR="00250ADB" w:rsidRPr="00E90FAA" w:rsidRDefault="005C4126" w:rsidP="00250ADB">
      <w:r w:rsidRPr="00E90FAA">
        <w:t>Uważa, że w przypadku większości umów o partnerstwie w sprawie połowów stopień realizacji celów jest różny w zależności od celu. Umowy te z jednej strony zapewniają znaczne uprawnienia do połowów statkom państw czło</w:t>
      </w:r>
      <w:r w:rsidRPr="00E90FAA">
        <w:t xml:space="preserve">nkowskich UE, z drugiej zaś strony wyniki osiągane w zakresie rozwoju lokalnego sektora rybołówstwa są na ogół niewystarczające. </w:t>
      </w:r>
    </w:p>
    <w:p w:rsidR="00250ADB" w:rsidRPr="00E90FAA" w:rsidRDefault="00250ADB" w:rsidP="00250ADB"/>
    <w:p w:rsidR="00250ADB" w:rsidRPr="00E90FAA" w:rsidRDefault="005C4126" w:rsidP="00250ADB">
      <w:r w:rsidRPr="00E90FAA">
        <w:t>W związku z tym sprawozdawca uważa, że należy wzmocnić i uzupełnić wsparcie sektorowe oraz powiązać je z pomocą rozwojową, ab</w:t>
      </w:r>
      <w:r w:rsidRPr="00E90FAA">
        <w:t xml:space="preserve">y przyczynić się do wzmocnienia lokalnych sektorów rybołówstwa i umożliwić krajom pełne korzystanie z suwerenności nad własnymi zasobami. </w:t>
      </w:r>
    </w:p>
    <w:p w:rsidR="00250ADB" w:rsidRPr="00E90FAA" w:rsidRDefault="00250ADB" w:rsidP="00250ADB"/>
    <w:p w:rsidR="00250ADB" w:rsidRPr="00E90FAA" w:rsidRDefault="005C4126" w:rsidP="00250ADB">
      <w:r w:rsidRPr="00E90FAA">
        <w:t>Sprawozdawca uważa ponadto, że umowy o partnerstwie w sprawie połowów powinny przyczyniać się do tworzenia na szczeb</w:t>
      </w:r>
      <w:r w:rsidRPr="00E90FAA">
        <w:t>lu lokalnym bezpośrednich i pośrednich miejsc pracy, zarówno na statkach prowadzących działalność w ramach umów, jak i w działalności związanej z rybołówstwem na wcześniejszych i późniejszych etapach łańcucha dostaw, a także powinny pomagać państwom trzeci</w:t>
      </w:r>
      <w:r w:rsidRPr="00E90FAA">
        <w:t>m, z którymi zawierane są umowy, w rozwijaniu ich własnej zdolności do analizowania i pozyskiwania danych dotyczących ochrony zasobów rybnych, wszystkich połowów oraz wpływu umów o partnerstwie w sprawie połowów na ich ekosystemy.</w:t>
      </w:r>
    </w:p>
    <w:p w:rsidR="00250ADB" w:rsidRPr="00E90FAA" w:rsidRDefault="00250ADB" w:rsidP="00250ADB"/>
    <w:p w:rsidR="00250ADB" w:rsidRPr="00E90FAA" w:rsidRDefault="00250ADB" w:rsidP="00822206"/>
    <w:sectPr w:rsidR="00250ADB" w:rsidRPr="00E90FAA" w:rsidSect="00E90F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E90FAA" w:rsidRDefault="005C4126">
      <w:r w:rsidRPr="00E90FAA">
        <w:separator/>
      </w:r>
    </w:p>
  </w:endnote>
  <w:endnote w:type="continuationSeparator" w:id="0">
    <w:p w:rsidR="00000000" w:rsidRPr="00E90FAA" w:rsidRDefault="005C4126">
      <w:r w:rsidRPr="00E90F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AA" w:rsidRPr="00E90FAA" w:rsidRDefault="00E90FAA" w:rsidP="00E90FAA">
    <w:pPr>
      <w:pStyle w:val="EPFooter"/>
    </w:pPr>
    <w:r w:rsidRPr="00E90FAA">
      <w:t>PE</w:t>
    </w:r>
    <w:r w:rsidRPr="00E90FAA">
      <w:rPr>
        <w:rStyle w:val="HideTWBExt"/>
      </w:rPr>
      <w:t>&lt;NoPE&gt;</w:t>
    </w:r>
    <w:r w:rsidRPr="00E90FAA">
      <w:t>753.774</w:t>
    </w:r>
    <w:r w:rsidRPr="00E90FAA">
      <w:rPr>
        <w:rStyle w:val="HideTWBExt"/>
      </w:rPr>
      <w:t>&lt;/NoPE&gt;&lt;Version&gt;</w:t>
    </w:r>
    <w:r w:rsidRPr="00E90FAA">
      <w:t>v01-00</w:t>
    </w:r>
    <w:r w:rsidRPr="00E90FAA">
      <w:rPr>
        <w:rStyle w:val="HideTWBExt"/>
      </w:rPr>
      <w:t>&lt;/Version&gt;</w:t>
    </w:r>
    <w:r w:rsidRPr="00E90FAA">
      <w:tab/>
    </w:r>
    <w:r w:rsidRPr="00E90FAA">
      <w:fldChar w:fldCharType="begin"/>
    </w:r>
    <w:r w:rsidRPr="00E90FAA">
      <w:instrText xml:space="preserve"> PAGE  \* MERGEFORMAT </w:instrText>
    </w:r>
    <w:r w:rsidRPr="00E90FAA">
      <w:fldChar w:fldCharType="separate"/>
    </w:r>
    <w:r w:rsidR="005C4126">
      <w:rPr>
        <w:noProof/>
      </w:rPr>
      <w:t>2</w:t>
    </w:r>
    <w:r w:rsidRPr="00E90FAA">
      <w:fldChar w:fldCharType="end"/>
    </w:r>
    <w:r w:rsidRPr="00E90FAA">
      <w:t>/</w:t>
    </w:r>
    <w:fldSimple w:instr=" NUMPAGES  \* MERGEFORMAT ">
      <w:r w:rsidR="005C4126">
        <w:rPr>
          <w:noProof/>
        </w:rPr>
        <w:t>7</w:t>
      </w:r>
    </w:fldSimple>
    <w:r w:rsidRPr="00E90FAA">
      <w:tab/>
    </w:r>
    <w:r w:rsidRPr="00E90FAA">
      <w:rPr>
        <w:rStyle w:val="HideTWBExt"/>
      </w:rPr>
      <w:t>&lt;PathFdR&gt;</w:t>
    </w:r>
    <w:r w:rsidRPr="00E90FAA">
      <w:t>PR\1287311PL.docx</w:t>
    </w:r>
    <w:r w:rsidRPr="00E90FAA">
      <w:rPr>
        <w:rStyle w:val="HideTWBExt"/>
      </w:rPr>
      <w:t>&lt;/PathFdR&gt;</w:t>
    </w:r>
  </w:p>
  <w:p w:rsidR="0085501C" w:rsidRPr="00E90FAA" w:rsidRDefault="00E90FAA" w:rsidP="00E90FAA">
    <w:pPr>
      <w:pStyle w:val="EPFooter2"/>
    </w:pPr>
    <w:r w:rsidRPr="00E90FAA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AA" w:rsidRPr="00E90FAA" w:rsidRDefault="00E90FAA" w:rsidP="00E90FAA">
    <w:pPr>
      <w:pStyle w:val="EPFooter"/>
    </w:pPr>
    <w:r w:rsidRPr="00E90FAA">
      <w:rPr>
        <w:rStyle w:val="HideTWBExt"/>
      </w:rPr>
      <w:t>&lt;PathFdR&gt;</w:t>
    </w:r>
    <w:r w:rsidRPr="00E90FAA">
      <w:t>PR\1287311PL.docx</w:t>
    </w:r>
    <w:r w:rsidRPr="00E90FAA">
      <w:rPr>
        <w:rStyle w:val="HideTWBExt"/>
      </w:rPr>
      <w:t>&lt;/PathFdR&gt;</w:t>
    </w:r>
    <w:r w:rsidRPr="00E90FAA">
      <w:tab/>
    </w:r>
    <w:r w:rsidRPr="00E90FAA">
      <w:fldChar w:fldCharType="begin"/>
    </w:r>
    <w:r w:rsidRPr="00E90FAA">
      <w:instrText xml:space="preserve"> PAGE  \* MERGEFORMAT </w:instrText>
    </w:r>
    <w:r w:rsidRPr="00E90FAA">
      <w:fldChar w:fldCharType="separate"/>
    </w:r>
    <w:r w:rsidR="005C4126">
      <w:rPr>
        <w:noProof/>
      </w:rPr>
      <w:t>3</w:t>
    </w:r>
    <w:r w:rsidRPr="00E90FAA">
      <w:fldChar w:fldCharType="end"/>
    </w:r>
    <w:r w:rsidRPr="00E90FAA">
      <w:t>/</w:t>
    </w:r>
    <w:fldSimple w:instr=" NUMPAGES  \* MERGEFORMAT ">
      <w:r w:rsidR="005C4126">
        <w:rPr>
          <w:noProof/>
        </w:rPr>
        <w:t>7</w:t>
      </w:r>
    </w:fldSimple>
    <w:r w:rsidRPr="00E90FAA">
      <w:tab/>
      <w:t>PE</w:t>
    </w:r>
    <w:r w:rsidRPr="00E90FAA">
      <w:rPr>
        <w:rStyle w:val="HideTWBExt"/>
      </w:rPr>
      <w:t>&lt;NoPE&gt;</w:t>
    </w:r>
    <w:r w:rsidRPr="00E90FAA">
      <w:t>753.774</w:t>
    </w:r>
    <w:r w:rsidRPr="00E90FAA">
      <w:rPr>
        <w:rStyle w:val="HideTWBExt"/>
      </w:rPr>
      <w:t>&lt;/NoPE&gt;&lt;Version&gt;</w:t>
    </w:r>
    <w:r w:rsidRPr="00E90FAA">
      <w:t>v01-00</w:t>
    </w:r>
    <w:r w:rsidRPr="00E90FAA">
      <w:rPr>
        <w:rStyle w:val="HideTWBExt"/>
      </w:rPr>
      <w:t>&lt;/Version&gt;</w:t>
    </w:r>
  </w:p>
  <w:p w:rsidR="0085501C" w:rsidRPr="00E90FAA" w:rsidRDefault="00E90FAA" w:rsidP="00E90FAA">
    <w:pPr>
      <w:pStyle w:val="EPFooter2"/>
    </w:pPr>
    <w:r w:rsidRPr="00E90FAA">
      <w:tab/>
    </w:r>
    <w:r w:rsidRPr="00E90FAA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AA" w:rsidRPr="00E90FAA" w:rsidRDefault="00E90FAA" w:rsidP="00E90FAA">
    <w:pPr>
      <w:pStyle w:val="EPFooter"/>
    </w:pPr>
    <w:r w:rsidRPr="00E90FAA">
      <w:rPr>
        <w:rStyle w:val="HideTWBExt"/>
      </w:rPr>
      <w:t>&lt;PathFdR&gt;</w:t>
    </w:r>
    <w:r w:rsidRPr="00E90FAA">
      <w:t>PR\1287311PL.docx</w:t>
    </w:r>
    <w:r w:rsidRPr="00E90FAA">
      <w:rPr>
        <w:rStyle w:val="HideTWBExt"/>
      </w:rPr>
      <w:t>&lt;/PathFdR&gt;</w:t>
    </w:r>
    <w:r w:rsidRPr="00E90FAA">
      <w:tab/>
    </w:r>
    <w:r w:rsidRPr="00E90FAA">
      <w:tab/>
      <w:t>PE</w:t>
    </w:r>
    <w:r w:rsidRPr="00E90FAA">
      <w:rPr>
        <w:rStyle w:val="HideTWBExt"/>
      </w:rPr>
      <w:t>&lt;NoPE&gt;</w:t>
    </w:r>
    <w:r w:rsidRPr="00E90FAA">
      <w:t>753.774</w:t>
    </w:r>
    <w:r w:rsidRPr="00E90FAA">
      <w:rPr>
        <w:rStyle w:val="HideTWBExt"/>
      </w:rPr>
      <w:t>&lt;/NoPE&gt;&lt;Version&gt;</w:t>
    </w:r>
    <w:r w:rsidRPr="00E90FAA">
      <w:t>v01-00</w:t>
    </w:r>
    <w:r w:rsidRPr="00E90FAA">
      <w:rPr>
        <w:rStyle w:val="HideTWBExt"/>
      </w:rPr>
      <w:t>&lt;/Version&gt;</w:t>
    </w:r>
  </w:p>
  <w:p w:rsidR="0085501C" w:rsidRPr="00E90FAA" w:rsidRDefault="00E90FAA" w:rsidP="00E90FAA">
    <w:pPr>
      <w:pStyle w:val="EPFooter2"/>
    </w:pPr>
    <w:r w:rsidRPr="00E90FAA">
      <w:t>PL</w:t>
    </w:r>
    <w:r w:rsidRPr="00E90FAA">
      <w:tab/>
    </w:r>
    <w:r w:rsidRPr="00E90FAA">
      <w:rPr>
        <w:b w:val="0"/>
        <w:i/>
        <w:color w:val="C0C0C0"/>
        <w:sz w:val="22"/>
      </w:rPr>
      <w:t>Zjednoczona w różnorodności</w:t>
    </w:r>
    <w:r w:rsidRPr="00E90FAA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E69" w:rsidRPr="00E90FAA" w:rsidRDefault="005C4126">
      <w:r w:rsidRPr="00E90FAA">
        <w:separator/>
      </w:r>
    </w:p>
  </w:footnote>
  <w:footnote w:type="continuationSeparator" w:id="0">
    <w:p w:rsidR="00373E69" w:rsidRPr="00E90FAA" w:rsidRDefault="005C4126">
      <w:r w:rsidRPr="00E90FAA">
        <w:continuationSeparator/>
      </w:r>
    </w:p>
  </w:footnote>
  <w:footnote w:id="1">
    <w:p w:rsidR="00250ADB" w:rsidRPr="00E90FAA" w:rsidRDefault="005C4126" w:rsidP="00250ADB">
      <w:pPr>
        <w:pStyle w:val="FootnoteText"/>
      </w:pPr>
      <w:r w:rsidRPr="00E90FAA">
        <w:rPr>
          <w:rStyle w:val="FootnoteReference"/>
        </w:rPr>
        <w:footnoteRef/>
      </w:r>
      <w:r w:rsidRPr="00E90FAA">
        <w:t xml:space="preserve"> Gospodarka morska i rybołówstwo: Ocena ex post obecnego protokołu do Umowy o partnerstwie w sprawie połowów między Unią Europejską a Republiką Kiribati oraz ocena ex ante obejmująca analizę wpływu przyszłego protokołu na zrównoważony rozwój. </w:t>
      </w:r>
      <w:hyperlink r:id="rId1" w:history="1">
        <w:r w:rsidRPr="00E90FAA">
          <w:rPr>
            <w:rStyle w:val="Hyperlink"/>
          </w:rPr>
          <w:t xml:space="preserve">https://webgate.ec.testa.eu/publications/studie </w:t>
        </w:r>
      </w:hyperlink>
      <w:hyperlink r:id="rId2" w:history="1">
        <w:r w:rsidRPr="00E90FAA">
          <w:rPr>
            <w:rStyle w:val="Hyperlink"/>
          </w:rPr>
          <w:t xml:space="preserve">s </w:t>
        </w:r>
      </w:hyperlink>
      <w:hyperlink r:id="rId3" w:history="1">
        <w:r w:rsidRPr="00E90FAA">
          <w:rPr>
            <w:rStyle w:val="Hyperlink"/>
          </w:rPr>
          <w:t>db/Consultation.action?studyProjectId=5911</w:t>
        </w:r>
      </w:hyperlink>
    </w:p>
    <w:p w:rsidR="00250ADB" w:rsidRPr="00E90FAA" w:rsidRDefault="00250ADB" w:rsidP="00250AD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D1F" w:rsidRDefault="004E5D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D1F" w:rsidRDefault="004E5D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D1F" w:rsidRDefault="004E5D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4"/>
    <w:docVar w:name="CIT1MNU" w:val=" 4"/>
    <w:docVar w:name="CIT2MNU" w:val=" 4"/>
    <w:docVar w:name="CIT3MNU" w:val=" 4"/>
    <w:docVar w:name="COMKEY" w:val="PECH"/>
    <w:docVar w:name="CONSENTMNU" w:val=" 1"/>
    <w:docVar w:name="CopyToNetwork" w:val="-1"/>
    <w:docVar w:name="LastEditedSection" w:val=" 1"/>
    <w:docVar w:name="strDocTypeID" w:val="PR_NLE-AP_Agreement"/>
    <w:docVar w:name="strSubDir" w:val="1287"/>
    <w:docVar w:name="TITLEMNU" w:val=" 1"/>
    <w:docVar w:name="TXTAUTHOR" w:val="Joao Pimenta Lopes"/>
    <w:docVar w:name="TXTLANGUE" w:val="PL"/>
    <w:docVar w:name="TXTLANGUEMIN" w:val="pl"/>
    <w:docVar w:name="TXTNRC" w:val="xxxx/2023"/>
    <w:docVar w:name="TXTNRCOUNC" w:val="2023/253"/>
    <w:docVar w:name="TXTNRNLE" w:val="2023/0147"/>
    <w:docVar w:name="TXTNRPE" w:val="753.774"/>
    <w:docVar w:name="TXTPEorAP" w:val="PE"/>
    <w:docVar w:name="TXTROUTE" w:val="PR\1287311PL.docx"/>
    <w:docVar w:name="TXTTITLE" w:val="Protocolo de aplicação do Acordo de Parceria no domínio da Pesca entre a Comunidade Europeia, por um lado, e a República de Quiribáti, por outro (2023–2028)"/>
    <w:docVar w:name="TXTVERSION" w:val="01-00"/>
  </w:docVars>
  <w:rsids>
    <w:rsidRoot w:val="00373E69"/>
    <w:rsid w:val="00001D52"/>
    <w:rsid w:val="0000443F"/>
    <w:rsid w:val="000053E3"/>
    <w:rsid w:val="00016E55"/>
    <w:rsid w:val="00050003"/>
    <w:rsid w:val="000569B0"/>
    <w:rsid w:val="0006167F"/>
    <w:rsid w:val="00061EFE"/>
    <w:rsid w:val="00095D8B"/>
    <w:rsid w:val="000A2F73"/>
    <w:rsid w:val="000B21F9"/>
    <w:rsid w:val="000C123D"/>
    <w:rsid w:val="000D78AF"/>
    <w:rsid w:val="00180664"/>
    <w:rsid w:val="001874D8"/>
    <w:rsid w:val="001D02E3"/>
    <w:rsid w:val="001F7BBE"/>
    <w:rsid w:val="0021049A"/>
    <w:rsid w:val="0022685A"/>
    <w:rsid w:val="00250ADB"/>
    <w:rsid w:val="0027367B"/>
    <w:rsid w:val="002E2E20"/>
    <w:rsid w:val="002F5A83"/>
    <w:rsid w:val="003072BE"/>
    <w:rsid w:val="00317A5E"/>
    <w:rsid w:val="00337C92"/>
    <w:rsid w:val="00355B4C"/>
    <w:rsid w:val="00363B94"/>
    <w:rsid w:val="00373E69"/>
    <w:rsid w:val="003B598C"/>
    <w:rsid w:val="004174FC"/>
    <w:rsid w:val="00460BD6"/>
    <w:rsid w:val="00461334"/>
    <w:rsid w:val="0046672E"/>
    <w:rsid w:val="004859B3"/>
    <w:rsid w:val="004C083C"/>
    <w:rsid w:val="004E1650"/>
    <w:rsid w:val="004E5D1F"/>
    <w:rsid w:val="0053367A"/>
    <w:rsid w:val="00544D48"/>
    <w:rsid w:val="00554077"/>
    <w:rsid w:val="00567A10"/>
    <w:rsid w:val="005877C0"/>
    <w:rsid w:val="005A6B14"/>
    <w:rsid w:val="005C4126"/>
    <w:rsid w:val="005D0B97"/>
    <w:rsid w:val="005F5D6C"/>
    <w:rsid w:val="006132CE"/>
    <w:rsid w:val="00613F2E"/>
    <w:rsid w:val="006904C3"/>
    <w:rsid w:val="006A1A75"/>
    <w:rsid w:val="006A2CF5"/>
    <w:rsid w:val="006F1B6F"/>
    <w:rsid w:val="00791637"/>
    <w:rsid w:val="0080122F"/>
    <w:rsid w:val="00822206"/>
    <w:rsid w:val="008368CB"/>
    <w:rsid w:val="00843B48"/>
    <w:rsid w:val="00844DBE"/>
    <w:rsid w:val="0085501C"/>
    <w:rsid w:val="00893FBD"/>
    <w:rsid w:val="008B75A4"/>
    <w:rsid w:val="008D23C6"/>
    <w:rsid w:val="008D3030"/>
    <w:rsid w:val="008E3848"/>
    <w:rsid w:val="008F2A97"/>
    <w:rsid w:val="00924EE0"/>
    <w:rsid w:val="00932C30"/>
    <w:rsid w:val="009612AA"/>
    <w:rsid w:val="009D73A6"/>
    <w:rsid w:val="009E39A7"/>
    <w:rsid w:val="00A13F89"/>
    <w:rsid w:val="00A415B7"/>
    <w:rsid w:val="00AD5D0C"/>
    <w:rsid w:val="00AE7E5C"/>
    <w:rsid w:val="00B122F1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56C7F"/>
    <w:rsid w:val="00C63849"/>
    <w:rsid w:val="00C85D0F"/>
    <w:rsid w:val="00CB5651"/>
    <w:rsid w:val="00CC20CB"/>
    <w:rsid w:val="00CF44DF"/>
    <w:rsid w:val="00D04E0B"/>
    <w:rsid w:val="00D62DA0"/>
    <w:rsid w:val="00D6543C"/>
    <w:rsid w:val="00D9195E"/>
    <w:rsid w:val="00DB524A"/>
    <w:rsid w:val="00DF1335"/>
    <w:rsid w:val="00DF594D"/>
    <w:rsid w:val="00E14FEE"/>
    <w:rsid w:val="00E55D9A"/>
    <w:rsid w:val="00E71368"/>
    <w:rsid w:val="00E90FAA"/>
    <w:rsid w:val="00E917E5"/>
    <w:rsid w:val="00E93816"/>
    <w:rsid w:val="00EA59ED"/>
    <w:rsid w:val="00EF48F2"/>
    <w:rsid w:val="00F04010"/>
    <w:rsid w:val="00FC699E"/>
    <w:rsid w:val="00FC7E57"/>
    <w:rsid w:val="00FC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555442-636C-4E96-BFD4-678C0124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317A5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7A5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17A5E"/>
    <w:rPr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917E5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917E5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rsid w:val="00250AD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50ADB"/>
    <w:rPr>
      <w:lang w:val="pl-PL"/>
    </w:rPr>
  </w:style>
  <w:style w:type="character" w:styleId="FootnoteReference">
    <w:name w:val="footnote reference"/>
    <w:basedOn w:val="DefaultParagraphFont"/>
    <w:rsid w:val="00250ADB"/>
    <w:rPr>
      <w:vertAlign w:val="superscript"/>
    </w:rPr>
  </w:style>
  <w:style w:type="character" w:styleId="Hyperlink">
    <w:name w:val="Hyperlink"/>
    <w:basedOn w:val="DefaultParagraphFont"/>
    <w:rsid w:val="00250ADB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D919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9195E"/>
    <w:rPr>
      <w:sz w:val="24"/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C63849"/>
    <w:rPr>
      <w:rFonts w:ascii="Arial" w:hAnsi="Arial"/>
      <w:b/>
      <w:kern w:val="28"/>
      <w:sz w:val="28"/>
      <w:lang w:val="pl-PL"/>
    </w:rPr>
  </w:style>
  <w:style w:type="paragraph" w:styleId="BalloonText">
    <w:name w:val="Balloon Text"/>
    <w:basedOn w:val="Normal"/>
    <w:link w:val="BalloonTextChar"/>
    <w:semiHidden/>
    <w:unhideWhenUsed/>
    <w:rsid w:val="00844D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4DBE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ebgate.ec.testa.eu/publications/studiesdb/Consultation.action?studyProjectId=5911" TargetMode="External"/><Relationship Id="rId2" Type="http://schemas.openxmlformats.org/officeDocument/2006/relationships/hyperlink" Target="https://webgate.ec.testa.eu/publications/studiesdb/Consultation.action?studyProjectId=5911" TargetMode="External"/><Relationship Id="rId1" Type="http://schemas.openxmlformats.org/officeDocument/2006/relationships/hyperlink" Target="https://webgate.ec.testa.eu/publications/studiesdb/Consultation.action?studyProjectId=59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5BDDA-D7B7-4CD6-8151-063775120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1394</Words>
  <Characters>8845</Characters>
  <Application>Microsoft Office Word</Application>
  <DocSecurity>0</DocSecurity>
  <Lines>196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MANYIK Krisztina</dc:creator>
  <cp:lastModifiedBy>WOJCIECHOWSKA Joanna</cp:lastModifiedBy>
  <cp:revision>2</cp:revision>
  <cp:lastPrinted>2002-12-11T09:25:00Z</cp:lastPrinted>
  <dcterms:created xsi:type="dcterms:W3CDTF">2023-10-18T12:20:00Z</dcterms:created>
  <dcterms:modified xsi:type="dcterms:W3CDTF">2023-10-18T12:20:00Z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1287311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\\eiciBRUpr1\pdocep$\DocEP\DOCS\General\PR\PR_Leg\NLE\PR_NLE-AP_Agreement.dotx(17/04/2020 19:28:04)</vt:lpwstr>
  </property>
  <property fmtid="{D5CDD505-2E9C-101B-9397-08002B2CF9AE}" pid="6" name="&lt;ModelTra&gt;">
    <vt:lpwstr>\\eiciBRUpr1\pdocep$\DocEP\TRANSFIL\PT\PR_NLE-AP_Agreement.PT(29/06/2022 10:25:39)</vt:lpwstr>
  </property>
  <property fmtid="{D5CDD505-2E9C-101B-9397-08002B2CF9AE}" pid="7" name="&lt;Type&gt;">
    <vt:lpwstr>PR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PR\1287311PL.docx</vt:lpwstr>
  </property>
  <property fmtid="{D5CDD505-2E9C-101B-9397-08002B2CF9AE}" pid="10" name="LastEdited with">
    <vt:lpwstr>9.16.1 Build [20230915]</vt:lpwstr>
  </property>
  <property fmtid="{D5CDD505-2E9C-101B-9397-08002B2CF9AE}" pid="11" name="PE number">
    <vt:lpwstr>753.774</vt:lpwstr>
  </property>
  <property fmtid="{D5CDD505-2E9C-101B-9397-08002B2CF9AE}" pid="12" name="SDLStudio">
    <vt:lpwstr/>
  </property>
  <property fmtid="{D5CDD505-2E9C-101B-9397-08002B2CF9AE}" pid="13" name="SendToEpades">
    <vt:lpwstr>OK - 2023/10/04 18:12</vt:lpwstr>
  </property>
  <property fmtid="{D5CDD505-2E9C-101B-9397-08002B2CF9AE}" pid="14" name="Bookout">
    <vt:lpwstr>OK - 2023/10/18 14:20</vt:lpwstr>
  </property>
</Properties>
</file>