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A7E4C" w:rsidTr="00C85D0F">
        <w:trPr>
          <w:trHeight w:hRule="exact" w:val="1418"/>
        </w:trPr>
        <w:tc>
          <w:tcPr>
            <w:tcW w:w="6804" w:type="dxa"/>
            <w:shd w:val="clear" w:color="auto" w:fill="auto"/>
            <w:vAlign w:val="center"/>
          </w:tcPr>
          <w:p w:rsidR="00B13D6F" w:rsidRPr="004E0E48" w:rsidRDefault="0057760C" w:rsidP="00C85D0F">
            <w:pPr>
              <w:pStyle w:val="EPName"/>
            </w:pPr>
            <w:bookmarkStart w:id="0" w:name="_GoBack"/>
            <w:bookmarkEnd w:id="0"/>
            <w:r>
              <w:t>Evropský parlament</w:t>
            </w:r>
          </w:p>
          <w:p w:rsidR="00B13D6F" w:rsidRPr="004F7E2E" w:rsidRDefault="0057760C" w:rsidP="004F7E2E">
            <w:pPr>
              <w:pStyle w:val="EPTerm"/>
            </w:pPr>
            <w:r>
              <w:t>2019-2024</w:t>
            </w:r>
          </w:p>
        </w:tc>
        <w:tc>
          <w:tcPr>
            <w:tcW w:w="2268" w:type="dxa"/>
            <w:shd w:val="clear" w:color="auto" w:fill="auto"/>
          </w:tcPr>
          <w:p w:rsidR="00B13D6F" w:rsidRPr="004E0E48" w:rsidRDefault="0057760C" w:rsidP="00C85D0F">
            <w:pPr>
              <w:pStyle w:val="EPLogo"/>
            </w:pPr>
            <w:r w:rsidRPr="004E0E4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4E0E48" w:rsidRDefault="00461601" w:rsidP="00461601">
      <w:pPr>
        <w:pStyle w:val="LineTop"/>
      </w:pPr>
    </w:p>
    <w:p w:rsidR="00461601" w:rsidRPr="004E0E48" w:rsidRDefault="0057760C" w:rsidP="00461601">
      <w:pPr>
        <w:pStyle w:val="EPBody"/>
      </w:pPr>
      <w:r>
        <w:rPr>
          <w:rStyle w:val="HideTWBExt"/>
        </w:rPr>
        <w:t>&lt;</w:t>
      </w:r>
      <w:r>
        <w:rPr>
          <w:rStyle w:val="HideTWBExt"/>
          <w:i w:val="0"/>
        </w:rPr>
        <w:t>Commission</w:t>
      </w:r>
      <w:r>
        <w:rPr>
          <w:rStyle w:val="HideTWBExt"/>
        </w:rPr>
        <w:t>&gt;</w:t>
      </w:r>
      <w:r>
        <w:rPr>
          <w:rStyle w:val="HideTWBInt"/>
          <w:color w:val="auto"/>
        </w:rPr>
        <w:t>{PECH}</w:t>
      </w:r>
      <w:r>
        <w:t>Výbor pro rybolov</w:t>
      </w:r>
      <w:r>
        <w:rPr>
          <w:rStyle w:val="HideTWBExt"/>
        </w:rPr>
        <w:t>&lt;/</w:t>
      </w:r>
      <w:r>
        <w:rPr>
          <w:rStyle w:val="HideTWBExt"/>
          <w:i w:val="0"/>
        </w:rPr>
        <w:t>Commission</w:t>
      </w:r>
      <w:r>
        <w:rPr>
          <w:rStyle w:val="HideTWBExt"/>
        </w:rPr>
        <w:t>&gt;</w:t>
      </w:r>
    </w:p>
    <w:p w:rsidR="00461601" w:rsidRPr="004E0E48" w:rsidRDefault="00461601" w:rsidP="00461601">
      <w:pPr>
        <w:pStyle w:val="LineBottom"/>
      </w:pPr>
    </w:p>
    <w:p w:rsidR="00793EA9" w:rsidRPr="004E0E48" w:rsidRDefault="0057760C">
      <w:pPr>
        <w:pStyle w:val="CoverReference"/>
      </w:pPr>
      <w:r>
        <w:rPr>
          <w:rStyle w:val="HideTWBExt"/>
          <w:b w:val="0"/>
        </w:rPr>
        <w:t>&lt;RefProc&gt;</w:t>
      </w:r>
      <w:r>
        <w:t>2023/0206</w:t>
      </w:r>
      <w:r>
        <w:rPr>
          <w:rStyle w:val="HideTWBExt"/>
          <w:b w:val="0"/>
        </w:rPr>
        <w:t>&lt;/RefProc&gt;&lt;RefTypeProc&gt;</w:t>
      </w:r>
      <w:r>
        <w:t>(COD)</w:t>
      </w:r>
      <w:r>
        <w:rPr>
          <w:rStyle w:val="HideTWBExt"/>
          <w:b w:val="0"/>
        </w:rPr>
        <w:t>&lt;/RefTypeProc&gt;</w:t>
      </w:r>
    </w:p>
    <w:p w:rsidR="00793EA9" w:rsidRPr="004E0E48" w:rsidRDefault="0057760C">
      <w:pPr>
        <w:pStyle w:val="CoverDate"/>
      </w:pPr>
      <w:r>
        <w:rPr>
          <w:rStyle w:val="HideTWBExt"/>
        </w:rPr>
        <w:t>&lt;Date&gt;</w:t>
      </w:r>
      <w:r>
        <w:rPr>
          <w:rStyle w:val="HideTWBInt"/>
          <w:color w:val="auto"/>
        </w:rPr>
        <w:t>{08/11/2023}</w:t>
      </w:r>
      <w:r>
        <w:t>8.11.2023</w:t>
      </w:r>
      <w:r>
        <w:rPr>
          <w:rStyle w:val="HideTWBExt"/>
        </w:rPr>
        <w:t>&lt;/Date&gt;</w:t>
      </w:r>
    </w:p>
    <w:p w:rsidR="00793EA9" w:rsidRPr="004E0E48" w:rsidRDefault="0057760C">
      <w:pPr>
        <w:pStyle w:val="CoverDocType"/>
      </w:pPr>
      <w:r>
        <w:rPr>
          <w:rStyle w:val="HideTWBExt"/>
          <w:b w:val="0"/>
        </w:rPr>
        <w:t>&lt;RefProcLect&gt;</w:t>
      </w:r>
      <w:r>
        <w:t>***I</w:t>
      </w:r>
      <w:r>
        <w:rPr>
          <w:rStyle w:val="HideTWBExt"/>
          <w:b w:val="0"/>
        </w:rPr>
        <w:t>&lt;/RefProcLect&gt;</w:t>
      </w:r>
    </w:p>
    <w:p w:rsidR="00793EA9" w:rsidRPr="004E0E48" w:rsidRDefault="0057760C">
      <w:pPr>
        <w:pStyle w:val="CoverDocType24a"/>
      </w:pPr>
      <w:r>
        <w:rPr>
          <w:rStyle w:val="HideTWBExt"/>
          <w:b w:val="0"/>
        </w:rPr>
        <w:t>&lt;TitreType&gt;</w:t>
      </w:r>
      <w:r>
        <w:t>NÁVRH ZPRÁVY</w:t>
      </w:r>
      <w:r>
        <w:rPr>
          <w:rStyle w:val="HideTWBExt"/>
          <w:b w:val="0"/>
        </w:rPr>
        <w:t>&lt;/TitreType&gt;</w:t>
      </w:r>
    </w:p>
    <w:p w:rsidR="00793EA9" w:rsidRPr="004E0E48" w:rsidRDefault="0057760C">
      <w:pPr>
        <w:pStyle w:val="CoverNormal"/>
      </w:pPr>
      <w:r>
        <w:rPr>
          <w:rStyle w:val="HideTWBExt"/>
        </w:rPr>
        <w:t>&lt;Titre&gt;</w:t>
      </w:r>
      <w:r>
        <w:t>o návrhu nařízení Evropského parlamentu a Rady, kterým se stanoví opatření pro zachování, řízení a kontrolu platná v oblasti vymezené Úmluvou o budoucí multilaterální spolupráci při rybolovu v severovýchodním Atlantiku, mění nařízení Evropského parlamentu a Rady (EU) 2019/1241 a nařízení Rady (ES) č. 1224/2009 a zrušují nařízení Rady (EHS) č. 1899/85 a nařízení (EU) č. 1236/2010</w:t>
      </w:r>
      <w:r>
        <w:rPr>
          <w:rStyle w:val="HideTWBExt"/>
        </w:rPr>
        <w:t>&lt;/Titre&gt;</w:t>
      </w:r>
    </w:p>
    <w:p w:rsidR="004F7E2E" w:rsidRPr="00A33471" w:rsidRDefault="0057760C" w:rsidP="004F7E2E">
      <w:pPr>
        <w:pStyle w:val="CoverNormal24a"/>
      </w:pPr>
      <w:r>
        <w:rPr>
          <w:rStyle w:val="HideTWBExt"/>
          <w:lang w:val="pt-PT"/>
        </w:rPr>
        <w:t>&lt;DocRef&gt;</w:t>
      </w:r>
      <w:r>
        <w:t>(COM(2023)0362 – C9</w:t>
      </w:r>
      <w:r>
        <w:noBreakHyphen/>
        <w:t>0221/2023 – 2023/0206(COD))</w:t>
      </w:r>
      <w:r>
        <w:rPr>
          <w:rStyle w:val="HideTWBExt"/>
          <w:lang w:val="pt-PT"/>
        </w:rPr>
        <w:t>&lt;/DocRef&gt;</w:t>
      </w:r>
    </w:p>
    <w:p w:rsidR="00793EA9" w:rsidRPr="004E0E48" w:rsidRDefault="0057760C">
      <w:pPr>
        <w:pStyle w:val="CoverNormal24a"/>
      </w:pPr>
      <w:r>
        <w:rPr>
          <w:rStyle w:val="HideTWBExt"/>
        </w:rPr>
        <w:t>&lt;Commission&gt;</w:t>
      </w:r>
      <w:r>
        <w:rPr>
          <w:rStyle w:val="HideTWBInt"/>
          <w:color w:val="auto"/>
        </w:rPr>
        <w:t>{PECH}</w:t>
      </w:r>
      <w:r>
        <w:t>Výbor pro rybolov</w:t>
      </w:r>
      <w:r>
        <w:rPr>
          <w:rStyle w:val="HideTWBExt"/>
        </w:rPr>
        <w:t>&lt;/Commission&gt;</w:t>
      </w:r>
    </w:p>
    <w:p w:rsidR="00793EA9" w:rsidRPr="004E0E48" w:rsidRDefault="0057760C">
      <w:pPr>
        <w:pStyle w:val="CoverNormal24a"/>
      </w:pPr>
      <w:r>
        <w:t xml:space="preserve">Zpravodaj: </w:t>
      </w:r>
      <w:r>
        <w:rPr>
          <w:rStyle w:val="HideTWBExt"/>
        </w:rPr>
        <w:t>&lt;Depute&gt;</w:t>
      </w:r>
      <w:r>
        <w:t>Francisco Guerreiro</w:t>
      </w:r>
      <w:r>
        <w:rPr>
          <w:rStyle w:val="HideTWBExt"/>
        </w:rPr>
        <w:t>&lt;/Depute&gt;</w:t>
      </w:r>
    </w:p>
    <w:p w:rsidR="001C5B44" w:rsidRPr="004E0E48" w:rsidRDefault="001C5B44" w:rsidP="001C5B44">
      <w:pPr>
        <w:pStyle w:val="CoverNormal"/>
      </w:pPr>
    </w:p>
    <w:p w:rsidR="004F7E2E" w:rsidRDefault="0057760C" w:rsidP="00894923">
      <w:r>
        <w:br w:type="page"/>
      </w:r>
      <w:fldSimple w:instr=" TITLE  \* MERGEFORMAT ">
        <w:r w:rsidR="007846BB" w:rsidRPr="007846BB">
          <w:rPr>
            <w:lang w:val="fr-FR"/>
          </w:rPr>
          <w:t>PR_COD_1amCom</w:t>
        </w:r>
      </w:fldSimple>
    </w:p>
    <w:p w:rsidR="004F7E2E" w:rsidRDefault="004F7E2E" w:rsidP="00894923">
      <w:pPr>
        <w:rPr>
          <w:lang w:val="fr-FR"/>
        </w:rPr>
      </w:pPr>
    </w:p>
    <w:p w:rsidR="004F7E2E" w:rsidRDefault="004F7E2E" w:rsidP="00894923">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A7E4C">
        <w:tc>
          <w:tcPr>
            <w:tcW w:w="5811" w:type="dxa"/>
          </w:tcPr>
          <w:p w:rsidR="004F7E2E" w:rsidRDefault="0057760C" w:rsidP="00894923">
            <w:pPr>
              <w:pStyle w:val="Lgendetitre"/>
            </w:pPr>
            <w:r>
              <w:t>Vysvětlivky</w:t>
            </w:r>
          </w:p>
        </w:tc>
      </w:tr>
      <w:tr w:rsidR="00AA7E4C" w:rsidTr="00D60247">
        <w:trPr>
          <w:cantSplit/>
          <w:trHeight w:val="1807"/>
        </w:trPr>
        <w:tc>
          <w:tcPr>
            <w:tcW w:w="5811" w:type="dxa"/>
            <w:tcBorders>
              <w:bottom w:val="single" w:sz="4" w:space="0" w:color="auto"/>
            </w:tcBorders>
          </w:tcPr>
          <w:p w:rsidR="004F7E2E" w:rsidRDefault="0057760C" w:rsidP="00291397">
            <w:pPr>
              <w:pStyle w:val="Lgendesigne"/>
            </w:pPr>
            <w:r>
              <w:tab/>
              <w:t>*</w:t>
            </w:r>
            <w:r>
              <w:tab/>
              <w:t>Postup konzultace</w:t>
            </w:r>
          </w:p>
          <w:p w:rsidR="004F7E2E" w:rsidRPr="00817843" w:rsidRDefault="0057760C" w:rsidP="00291397">
            <w:pPr>
              <w:pStyle w:val="Lgendesigne"/>
            </w:pPr>
            <w:r>
              <w:tab/>
              <w:t>***</w:t>
            </w:r>
            <w:r>
              <w:tab/>
              <w:t>Postup souhlasu</w:t>
            </w:r>
          </w:p>
          <w:p w:rsidR="004F7E2E" w:rsidRDefault="0057760C" w:rsidP="00291397">
            <w:pPr>
              <w:pStyle w:val="Lgendesigne"/>
            </w:pPr>
            <w:r>
              <w:tab/>
              <w:t>***I</w:t>
            </w:r>
            <w:r>
              <w:tab/>
              <w:t>Řádný legislativní postup (první čtení)</w:t>
            </w:r>
          </w:p>
          <w:p w:rsidR="004F7E2E" w:rsidRDefault="0057760C" w:rsidP="00291397">
            <w:pPr>
              <w:pStyle w:val="Lgendesigne"/>
            </w:pPr>
            <w:r>
              <w:tab/>
              <w:t>***II</w:t>
            </w:r>
            <w:r>
              <w:tab/>
              <w:t>Řádný legislativní postup (druhé čtení)</w:t>
            </w:r>
          </w:p>
          <w:p w:rsidR="004F7E2E" w:rsidRDefault="0057760C" w:rsidP="00291397">
            <w:pPr>
              <w:pStyle w:val="Lgendesigne"/>
            </w:pPr>
            <w:r>
              <w:tab/>
              <w:t>***III</w:t>
            </w:r>
            <w:r>
              <w:tab/>
              <w:t>Řádný legislativní postup (třetí čtení)</w:t>
            </w:r>
          </w:p>
          <w:p w:rsidR="004F7E2E" w:rsidRPr="000C31E2" w:rsidRDefault="004F7E2E" w:rsidP="0069092A">
            <w:pPr>
              <w:pStyle w:val="Lgendestandard"/>
            </w:pPr>
          </w:p>
          <w:p w:rsidR="004F7E2E" w:rsidRDefault="0057760C" w:rsidP="0069092A">
            <w:pPr>
              <w:pStyle w:val="Lgendestandard"/>
            </w:pPr>
            <w:r>
              <w:t>(Druh postupu závisí na právním základu navrženém v návrhu aktu.)</w:t>
            </w:r>
          </w:p>
          <w:p w:rsidR="004F7E2E" w:rsidRPr="0057760C" w:rsidRDefault="004F7E2E" w:rsidP="008F1BC6">
            <w:pPr>
              <w:pStyle w:val="Lgendestandard"/>
            </w:pPr>
          </w:p>
        </w:tc>
      </w:tr>
    </w:tbl>
    <w:p w:rsidR="004F7E2E" w:rsidRPr="0057760C" w:rsidRDefault="004F7E2E" w:rsidP="00894923"/>
    <w:p w:rsidR="004F7E2E" w:rsidRPr="0057760C" w:rsidRDefault="004F7E2E" w:rsidP="00894923"/>
    <w:p w:rsidR="004F7E2E" w:rsidRPr="0057760C" w:rsidRDefault="004F7E2E" w:rsidP="00894923"/>
    <w:p w:rsidR="004F7E2E" w:rsidRPr="0057760C" w:rsidRDefault="004F7E2E" w:rsidP="00291397"/>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AA7E4C" w:rsidTr="00740116">
        <w:tc>
          <w:tcPr>
            <w:tcW w:w="5811" w:type="dxa"/>
          </w:tcPr>
          <w:p w:rsidR="004F7E2E" w:rsidRPr="00817843" w:rsidRDefault="0057760C" w:rsidP="00740116">
            <w:pPr>
              <w:pStyle w:val="Lgendetitre"/>
            </w:pPr>
            <w:r>
              <w:t>Pozměňovací návrhy k návrhu aktu</w:t>
            </w:r>
          </w:p>
        </w:tc>
      </w:tr>
      <w:tr w:rsidR="00AA7E4C" w:rsidTr="00D60247">
        <w:trPr>
          <w:trHeight w:val="4213"/>
        </w:trPr>
        <w:tc>
          <w:tcPr>
            <w:tcW w:w="5811" w:type="dxa"/>
          </w:tcPr>
          <w:p w:rsidR="004F7E2E" w:rsidRPr="003112AB" w:rsidRDefault="0057760C" w:rsidP="00740116">
            <w:pPr>
              <w:pStyle w:val="Lgendestandard"/>
              <w:rPr>
                <w:szCs w:val="18"/>
              </w:rPr>
            </w:pPr>
            <w:r>
              <w:rPr>
                <w:b/>
              </w:rPr>
              <w:t>Pozměňovacích návrhy Parlamentu předložené ve dvou sloupcích</w:t>
            </w:r>
          </w:p>
          <w:p w:rsidR="004F7E2E" w:rsidRPr="0057760C" w:rsidRDefault="004F7E2E" w:rsidP="00740116">
            <w:pPr>
              <w:pStyle w:val="Lgendestandard"/>
              <w:rPr>
                <w:szCs w:val="18"/>
              </w:rPr>
            </w:pPr>
          </w:p>
          <w:p w:rsidR="004F7E2E" w:rsidRPr="003112AB" w:rsidRDefault="0057760C" w:rsidP="00740116">
            <w:pPr>
              <w:pStyle w:val="Lgendestandard"/>
              <w:rPr>
                <w:szCs w:val="18"/>
              </w:rPr>
            </w:pPr>
            <w:r>
              <w:t xml:space="preserve">Vypuštění textu je označeno </w:t>
            </w:r>
            <w:r>
              <w:rPr>
                <w:b/>
                <w:i/>
              </w:rPr>
              <w:t xml:space="preserve">tučnou kurzivou </w:t>
            </w:r>
            <w:r>
              <w:t xml:space="preserve">v levém sloupci. Nahrazení je označeno </w:t>
            </w:r>
            <w:r>
              <w:rPr>
                <w:b/>
                <w:i/>
              </w:rPr>
              <w:t>tučnou kurzivou</w:t>
            </w:r>
            <w:r>
              <w:t xml:space="preserve"> v obou sloupcích. Nový text je označen </w:t>
            </w:r>
            <w:r>
              <w:rPr>
                <w:b/>
                <w:i/>
              </w:rPr>
              <w:t>tučnou kurzivou</w:t>
            </w:r>
            <w:r>
              <w:t xml:space="preserve"> v pravém sloupci.</w:t>
            </w:r>
          </w:p>
          <w:p w:rsidR="004F7E2E" w:rsidRPr="003112AB" w:rsidRDefault="004F7E2E" w:rsidP="00740116">
            <w:pPr>
              <w:pStyle w:val="Lgendestandard"/>
            </w:pPr>
          </w:p>
          <w:p w:rsidR="004F7E2E" w:rsidRPr="003112AB" w:rsidRDefault="0057760C" w:rsidP="00740116">
            <w:pPr>
              <w:pStyle w:val="Lgendestandard"/>
            </w:pPr>
            <w:r>
              <w:t xml:space="preserve">První a druhý řádek záhlaví každého pozměňovacího návrhu označují příslušnou část projednávaného návrhu aktu. Pokud se pozměňovací návrh týká existujícího aktu, který má být návrhem aktu pozměněn, je v záhlaví mimo to na třetím řádku uveden existující akt a na čtvrtém řádku ustanovení existujícího aktu, kterého se pozměňovací návrh týká. </w:t>
            </w:r>
          </w:p>
          <w:p w:rsidR="004F7E2E" w:rsidRPr="003112AB" w:rsidRDefault="004F7E2E" w:rsidP="00740116">
            <w:pPr>
              <w:pStyle w:val="Lgendestandard"/>
            </w:pPr>
          </w:p>
          <w:p w:rsidR="004F7E2E" w:rsidRPr="003112AB" w:rsidRDefault="0057760C" w:rsidP="00740116">
            <w:pPr>
              <w:pStyle w:val="Lgendestandard"/>
              <w:rPr>
                <w:b/>
                <w:szCs w:val="18"/>
              </w:rPr>
            </w:pPr>
            <w:r>
              <w:rPr>
                <w:b/>
              </w:rPr>
              <w:t>Pozměňovací návrhy Parlamentu v podobě konsolidovaného textu</w:t>
            </w:r>
          </w:p>
          <w:p w:rsidR="004F7E2E" w:rsidRPr="003112AB" w:rsidRDefault="004F7E2E" w:rsidP="00740116">
            <w:pPr>
              <w:pStyle w:val="Lgendestandard"/>
              <w:rPr>
                <w:szCs w:val="18"/>
              </w:rPr>
            </w:pPr>
          </w:p>
          <w:p w:rsidR="004F7E2E" w:rsidRPr="003112AB" w:rsidRDefault="0057760C" w:rsidP="00740116">
            <w:pPr>
              <w:pStyle w:val="Lgendestandard"/>
            </w:pPr>
            <w:r>
              <w:t xml:space="preserve">Nové části textu jsou označeny </w:t>
            </w:r>
            <w:r>
              <w:rPr>
                <w:b/>
                <w:i/>
              </w:rPr>
              <w:t>tučnou kurzivou</w:t>
            </w:r>
            <w:r>
              <w:t xml:space="preserve">. Vypuštěné části textu jsou označeny symbolem ▌nebo přeškrtnuty. Nahrazení se vyznačují tak, že nový text se označí </w:t>
            </w:r>
            <w:r>
              <w:rPr>
                <w:b/>
                <w:i/>
              </w:rPr>
              <w:t>tučnou kurzivou</w:t>
            </w:r>
            <w:r>
              <w:t xml:space="preserve"> a nahrazený text se vymaže nebo přeškrtne. Výjimečně se neoznačují změny výlučně technické povahy, které provedly příslušné útvary za účelem vypracování konečného znění.</w:t>
            </w:r>
          </w:p>
          <w:p w:rsidR="004F7E2E" w:rsidRPr="003112AB" w:rsidRDefault="004F7E2E" w:rsidP="00740116">
            <w:pPr>
              <w:pStyle w:val="Lgendestandard"/>
            </w:pPr>
          </w:p>
        </w:tc>
      </w:tr>
    </w:tbl>
    <w:p w:rsidR="004F7E2E" w:rsidRPr="003112AB" w:rsidRDefault="004F7E2E" w:rsidP="00291397"/>
    <w:p w:rsidR="004F7E2E" w:rsidRPr="0057760C" w:rsidRDefault="004F7E2E" w:rsidP="00291397"/>
    <w:p w:rsidR="00793EA9" w:rsidRPr="004F7E2E" w:rsidRDefault="00793EA9" w:rsidP="00012351">
      <w:pPr>
        <w:widowControl/>
        <w:tabs>
          <w:tab w:val="center" w:pos="4677"/>
        </w:tabs>
      </w:pPr>
    </w:p>
    <w:p w:rsidR="00793EA9" w:rsidRPr="004E0E48" w:rsidRDefault="0057760C">
      <w:pPr>
        <w:pStyle w:val="TOCHeading"/>
      </w:pPr>
      <w:r>
        <w:br w:type="page"/>
      </w:r>
      <w:r>
        <w:lastRenderedPageBreak/>
        <w:t>OBSAH</w:t>
      </w:r>
    </w:p>
    <w:p w:rsidR="00793EA9" w:rsidRPr="004E0E48" w:rsidRDefault="0057760C">
      <w:pPr>
        <w:pStyle w:val="TOCPage"/>
      </w:pPr>
      <w:r>
        <w:t>Strana</w:t>
      </w:r>
    </w:p>
    <w:p w:rsidR="007846BB" w:rsidRDefault="0057760C">
      <w:pPr>
        <w:pStyle w:val="TOC1"/>
        <w:tabs>
          <w:tab w:val="right" w:leader="dot" w:pos="9060"/>
        </w:tabs>
        <w:rPr>
          <w:rFonts w:asciiTheme="minorHAnsi" w:eastAsiaTheme="minorEastAsia" w:hAnsiTheme="minorHAnsi" w:cstheme="minorBidi"/>
          <w:noProof/>
          <w:sz w:val="22"/>
          <w:szCs w:val="22"/>
          <w:lang w:val="en-GB"/>
        </w:rPr>
      </w:pPr>
      <w:r w:rsidRPr="004E0E48">
        <w:rPr>
          <w:b/>
        </w:rPr>
        <w:fldChar w:fldCharType="begin"/>
      </w:r>
      <w:r w:rsidRPr="004E0E48">
        <w:rPr>
          <w:b/>
        </w:rPr>
        <w:instrText xml:space="preserve"> TOC \t "PageHeading</w:instrText>
      </w:r>
      <w:r w:rsidR="007846BB">
        <w:rPr>
          <w:b/>
        </w:rPr>
        <w:instrText>;</w:instrText>
      </w:r>
      <w:r w:rsidRPr="004E0E48">
        <w:rPr>
          <w:b/>
        </w:rPr>
        <w:instrText xml:space="preserve">1" </w:instrText>
      </w:r>
      <w:r w:rsidRPr="004E0E48">
        <w:rPr>
          <w:b/>
        </w:rPr>
        <w:fldChar w:fldCharType="separate"/>
      </w:r>
      <w:r w:rsidR="007846BB">
        <w:rPr>
          <w:noProof/>
        </w:rPr>
        <w:t>NÁVRH LEGISLATIVNÍHO USNESENÍ EVROPSKÉHO PARLAMENTU</w:t>
      </w:r>
      <w:r w:rsidR="007846BB">
        <w:rPr>
          <w:noProof/>
        </w:rPr>
        <w:tab/>
      </w:r>
      <w:r w:rsidR="007846BB">
        <w:rPr>
          <w:noProof/>
        </w:rPr>
        <w:fldChar w:fldCharType="begin"/>
      </w:r>
      <w:r w:rsidR="007846BB">
        <w:rPr>
          <w:noProof/>
        </w:rPr>
        <w:instrText xml:space="preserve"> PAGEREF _Toc151561555 \h </w:instrText>
      </w:r>
      <w:r w:rsidR="007846BB">
        <w:rPr>
          <w:noProof/>
        </w:rPr>
      </w:r>
      <w:r w:rsidR="007846BB">
        <w:rPr>
          <w:noProof/>
        </w:rPr>
        <w:fldChar w:fldCharType="separate"/>
      </w:r>
      <w:r w:rsidR="007846BB">
        <w:rPr>
          <w:noProof/>
        </w:rPr>
        <w:t>5</w:t>
      </w:r>
      <w:r w:rsidR="007846BB">
        <w:rPr>
          <w:noProof/>
        </w:rPr>
        <w:fldChar w:fldCharType="end"/>
      </w:r>
    </w:p>
    <w:p w:rsidR="007846BB" w:rsidRDefault="007846BB">
      <w:pPr>
        <w:pStyle w:val="TOC1"/>
        <w:tabs>
          <w:tab w:val="right" w:leader="dot" w:pos="9060"/>
        </w:tabs>
        <w:rPr>
          <w:rFonts w:asciiTheme="minorHAnsi" w:eastAsiaTheme="minorEastAsia" w:hAnsiTheme="minorHAnsi" w:cstheme="minorBidi"/>
          <w:noProof/>
          <w:sz w:val="22"/>
          <w:szCs w:val="22"/>
          <w:lang w:val="en-GB"/>
        </w:rPr>
      </w:pPr>
      <w:r>
        <w:rPr>
          <w:noProof/>
        </w:rPr>
        <w:t>VYSVĚTLUJÍCÍ PROHLÁŠENÍ</w:t>
      </w:r>
      <w:r>
        <w:rPr>
          <w:noProof/>
        </w:rPr>
        <w:tab/>
      </w:r>
      <w:r>
        <w:rPr>
          <w:noProof/>
        </w:rPr>
        <w:fldChar w:fldCharType="begin"/>
      </w:r>
      <w:r>
        <w:rPr>
          <w:noProof/>
        </w:rPr>
        <w:instrText xml:space="preserve"> PAGEREF _Toc151561556 \h </w:instrText>
      </w:r>
      <w:r>
        <w:rPr>
          <w:noProof/>
        </w:rPr>
      </w:r>
      <w:r>
        <w:rPr>
          <w:noProof/>
        </w:rPr>
        <w:fldChar w:fldCharType="separate"/>
      </w:r>
      <w:r>
        <w:rPr>
          <w:noProof/>
        </w:rPr>
        <w:t>9</w:t>
      </w:r>
      <w:r>
        <w:rPr>
          <w:noProof/>
        </w:rPr>
        <w:fldChar w:fldCharType="end"/>
      </w:r>
    </w:p>
    <w:p w:rsidR="002346B0" w:rsidRPr="004E0E48" w:rsidRDefault="0057760C" w:rsidP="00C23324">
      <w:r w:rsidRPr="004E0E48">
        <w:rPr>
          <w:b/>
        </w:rPr>
        <w:fldChar w:fldCharType="end"/>
      </w:r>
    </w:p>
    <w:p w:rsidR="00793EA9" w:rsidRPr="004E0E48" w:rsidRDefault="0057760C">
      <w:pPr>
        <w:pStyle w:val="PageHeading"/>
      </w:pPr>
      <w:r>
        <w:br w:type="page"/>
      </w:r>
      <w:r>
        <w:br w:type="page"/>
      </w:r>
      <w:bookmarkStart w:id="1" w:name="_Toc151561555"/>
      <w:r>
        <w:t>NÁVRH LEGISLATIVNÍHO USNESENÍ EVROPSKÉHO PARLAMENTU</w:t>
      </w:r>
      <w:bookmarkEnd w:id="1"/>
    </w:p>
    <w:p w:rsidR="00793EA9" w:rsidRPr="004E0E48" w:rsidRDefault="0057760C">
      <w:pPr>
        <w:pStyle w:val="NormalBold"/>
      </w:pPr>
      <w:r>
        <w:t>o návrhu nařízení Evropského parlamentu a Rady, kterým se stanoví opatření pro zachování, řízení a kontrolu platná v oblasti vymezené Úmluvou o budoucí multilaterální spolupráci při rybolovu v severovýchodním Atlantiku, mění nařízení Evropského parlamentu a Rady (EU) 2019/1241 a nařízení Rady (ES) č. 1224/2009 a</w:t>
      </w:r>
      <w:r w:rsidR="007846BB">
        <w:t> </w:t>
      </w:r>
      <w:r>
        <w:t>zrušují nařízení Rady (EHS) č. 1899/85 a nařízení (EU) č. 1236/2010</w:t>
      </w:r>
    </w:p>
    <w:p w:rsidR="004F7E2E" w:rsidRPr="00A33471" w:rsidRDefault="0057760C" w:rsidP="004F7E2E">
      <w:pPr>
        <w:pStyle w:val="NormalBold12a"/>
      </w:pPr>
      <w:r>
        <w:t>(COM(2023)0362 – C9</w:t>
      </w:r>
      <w:r>
        <w:noBreakHyphen/>
        <w:t>0221/2023 – 2023/0206(COD))</w:t>
      </w:r>
    </w:p>
    <w:p w:rsidR="00793EA9" w:rsidRPr="004E0E48" w:rsidRDefault="0057760C" w:rsidP="00A910C9">
      <w:pPr>
        <w:pStyle w:val="NormalBold"/>
      </w:pPr>
      <w:r>
        <w:t>(Řádný legislativní postup: první čtení)</w:t>
      </w:r>
    </w:p>
    <w:p w:rsidR="00793EA9" w:rsidRPr="004E0E48" w:rsidRDefault="0057760C" w:rsidP="00A910C9">
      <w:pPr>
        <w:pStyle w:val="EPComma"/>
      </w:pPr>
      <w:r>
        <w:rPr>
          <w:i/>
        </w:rPr>
        <w:t>Evropský parlament</w:t>
      </w:r>
      <w:r>
        <w:t>,</w:t>
      </w:r>
    </w:p>
    <w:p w:rsidR="00793EA9" w:rsidRPr="004E0E48" w:rsidRDefault="0057760C">
      <w:pPr>
        <w:pStyle w:val="NormalHanging12a"/>
      </w:pPr>
      <w:r>
        <w:t>–</w:t>
      </w:r>
      <w:r>
        <w:tab/>
        <w:t>s ohledem na návrh Komise předložený Evropskému parlamentu a Radě (COM(2023)0362),</w:t>
      </w:r>
    </w:p>
    <w:p w:rsidR="00793EA9" w:rsidRPr="004E0E48" w:rsidRDefault="0057760C">
      <w:pPr>
        <w:pStyle w:val="NormalHanging12a"/>
      </w:pPr>
      <w:r>
        <w:t>–</w:t>
      </w:r>
      <w:r>
        <w:tab/>
        <w:t>s ohledem na čl. 294 odst. 2 a čl. 43 odst. 2 Smlouvy o fungování Evropské unie, v</w:t>
      </w:r>
      <w:r w:rsidR="007846BB">
        <w:t> </w:t>
      </w:r>
      <w:r>
        <w:t>souladu s nimiž Komise předložila svůj návrh Parlamentu (C9</w:t>
      </w:r>
      <w:r>
        <w:noBreakHyphen/>
        <w:t>0221/2023),</w:t>
      </w:r>
    </w:p>
    <w:p w:rsidR="00A26F46" w:rsidRPr="004E0E48" w:rsidRDefault="0057760C" w:rsidP="00A26F46">
      <w:pPr>
        <w:pStyle w:val="NormalHanging12a"/>
      </w:pPr>
      <w:r>
        <w:t>–</w:t>
      </w:r>
      <w:r>
        <w:tab/>
        <w:t>s ohledem na čl. 294 odst. 3 Smlouvy o fungování Evropské unie,</w:t>
      </w:r>
    </w:p>
    <w:p w:rsidR="004F7E2E" w:rsidRPr="00A33471" w:rsidRDefault="0057760C" w:rsidP="004F7E2E">
      <w:pPr>
        <w:pStyle w:val="NormalHanging12a"/>
      </w:pPr>
      <w:r>
        <w:t>–</w:t>
      </w:r>
      <w:r>
        <w:tab/>
        <w:t>s ohledem na stanovisko Evropského hospodářského a sociálního výboru ze dne 20. září 2023</w:t>
      </w:r>
      <w:r>
        <w:rPr>
          <w:rStyle w:val="FootnoteReference"/>
        </w:rPr>
        <w:footnoteReference w:id="1"/>
      </w:r>
      <w:r>
        <w:t>,</w:t>
      </w:r>
    </w:p>
    <w:p w:rsidR="00793EA9" w:rsidRPr="004E0E48" w:rsidRDefault="0057760C">
      <w:pPr>
        <w:pStyle w:val="NormalHanging12a"/>
      </w:pPr>
      <w:r>
        <w:t>–</w:t>
      </w:r>
      <w:r>
        <w:tab/>
        <w:t>s ohledem na článek 59 jednacího řádu,</w:t>
      </w:r>
    </w:p>
    <w:p w:rsidR="006A2F5D" w:rsidRPr="004E0E48" w:rsidRDefault="0057760C" w:rsidP="006A2F5D">
      <w:pPr>
        <w:pStyle w:val="NormalHanging12a"/>
      </w:pPr>
      <w:r>
        <w:t>–</w:t>
      </w:r>
      <w:r>
        <w:tab/>
        <w:t>s ohledem na zprávu Výboru pro rybolov (A9</w:t>
      </w:r>
      <w:r>
        <w:noBreakHyphen/>
        <w:t>0000/2023),</w:t>
      </w:r>
    </w:p>
    <w:p w:rsidR="009F6C2F" w:rsidRPr="004E0E48" w:rsidRDefault="0057760C" w:rsidP="009F6C2F">
      <w:pPr>
        <w:pStyle w:val="NormalHanging12a"/>
      </w:pPr>
      <w:r>
        <w:t>1.</w:t>
      </w:r>
      <w:r>
        <w:tab/>
        <w:t>přijímá níže uvedený postoj v prvním čtení;</w:t>
      </w:r>
    </w:p>
    <w:p w:rsidR="009F6C2F" w:rsidRPr="004E0E48" w:rsidRDefault="0057760C" w:rsidP="009F6C2F">
      <w:pPr>
        <w:pStyle w:val="NormalHanging12a"/>
      </w:pPr>
      <w:r>
        <w:t>2.</w:t>
      </w:r>
      <w:r>
        <w:tab/>
        <w:t>vyzývá Komisi, aby věc znovu postoupila Parlamentu, jestliže svůj návrh nahradí jiným textem, podstatně jej změní nebo má v úmyslu jej podstatně změnit;</w:t>
      </w:r>
    </w:p>
    <w:p w:rsidR="009F6C2F" w:rsidRPr="004E0E48" w:rsidRDefault="0057760C" w:rsidP="009F6C2F">
      <w:pPr>
        <w:pStyle w:val="NormalHanging12a"/>
      </w:pPr>
      <w:r>
        <w:t>3.</w:t>
      </w:r>
      <w:r>
        <w:tab/>
        <w:t>pověřuje svou předsedkyni, aby předala postoj Parlamentu Radě a Komisi, jakož i</w:t>
      </w:r>
      <w:r w:rsidR="007846BB">
        <w:t> </w:t>
      </w:r>
      <w:r>
        <w:t>vnitrostátním parlamentům.</w:t>
      </w:r>
    </w:p>
    <w:p w:rsidR="00D30DE2" w:rsidRPr="004E0E48" w:rsidRDefault="00D30DE2" w:rsidP="00D30DE2"/>
    <w:p w:rsidR="004F7E2E" w:rsidRPr="00A33471" w:rsidRDefault="0057760C" w:rsidP="004F7E2E">
      <w:pPr>
        <w:pStyle w:val="AMNumberTabs0"/>
        <w:keepNext/>
      </w:pPr>
      <w:r w:rsidRPr="0057760C">
        <w:rPr>
          <w:rStyle w:val="HideTWBExt"/>
          <w:b w:val="0"/>
        </w:rPr>
        <w:t>&lt;RepeatBlock-Amend&gt;&lt;Amend&gt;</w:t>
      </w:r>
      <w:r>
        <w:t>Pozměňovací návrh</w:t>
      </w:r>
      <w:r>
        <w:tab/>
      </w:r>
      <w:r>
        <w:tab/>
      </w:r>
      <w:r w:rsidRPr="0057760C">
        <w:rPr>
          <w:rStyle w:val="HideTWBExt"/>
          <w:b w:val="0"/>
        </w:rPr>
        <w:t>&lt;NumAm&gt;</w:t>
      </w:r>
      <w:r>
        <w:t>1</w:t>
      </w:r>
      <w:r w:rsidRPr="0057760C">
        <w:rPr>
          <w:rStyle w:val="HideTWBExt"/>
          <w:b w:val="0"/>
        </w:rPr>
        <w:t>&lt;/NumAm&gt;</w:t>
      </w:r>
    </w:p>
    <w:p w:rsidR="004F7E2E" w:rsidRPr="00A33471" w:rsidRDefault="0057760C" w:rsidP="004F7E2E">
      <w:pPr>
        <w:pStyle w:val="NormalBold12b"/>
        <w:keepNext/>
      </w:pPr>
      <w:r>
        <w:rPr>
          <w:rStyle w:val="HideTWBExt"/>
          <w:b w:val="0"/>
        </w:rPr>
        <w:t>&lt;DocAmend&gt;</w:t>
      </w:r>
      <w:r>
        <w:t>Návrh nařízení</w:t>
      </w:r>
      <w:r>
        <w:rPr>
          <w:rStyle w:val="HideTWBExt"/>
          <w:b w:val="0"/>
        </w:rPr>
        <w:t>&lt;/DocAmend&gt;</w:t>
      </w:r>
    </w:p>
    <w:p w:rsidR="004F7E2E" w:rsidRPr="00A33471" w:rsidRDefault="0057760C" w:rsidP="004F7E2E">
      <w:pPr>
        <w:pStyle w:val="NormalBold"/>
      </w:pPr>
      <w:r>
        <w:rPr>
          <w:rStyle w:val="HideTWBExt"/>
          <w:b w:val="0"/>
        </w:rPr>
        <w:t>&lt;Article&gt;</w:t>
      </w:r>
      <w:r>
        <w:t>Čl. 1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7E4C" w:rsidTr="0059240D">
        <w:trPr>
          <w:jc w:val="center"/>
        </w:trPr>
        <w:tc>
          <w:tcPr>
            <w:tcW w:w="9752" w:type="dxa"/>
            <w:gridSpan w:val="2"/>
          </w:tcPr>
          <w:p w:rsidR="004F7E2E" w:rsidRPr="00A33471" w:rsidRDefault="004F7E2E" w:rsidP="0059240D">
            <w:pPr>
              <w:keepNext/>
            </w:pPr>
          </w:p>
        </w:tc>
      </w:tr>
      <w:tr w:rsidR="00AA7E4C" w:rsidTr="0059240D">
        <w:trPr>
          <w:jc w:val="center"/>
        </w:trPr>
        <w:tc>
          <w:tcPr>
            <w:tcW w:w="4876" w:type="dxa"/>
            <w:hideMark/>
          </w:tcPr>
          <w:p w:rsidR="004F7E2E" w:rsidRPr="00A33471" w:rsidRDefault="0057760C" w:rsidP="0059240D">
            <w:pPr>
              <w:pStyle w:val="ColumnHeading"/>
              <w:keepNext/>
            </w:pPr>
            <w:r>
              <w:t>Znění navržené Komisí</w:t>
            </w:r>
          </w:p>
        </w:tc>
        <w:tc>
          <w:tcPr>
            <w:tcW w:w="4876" w:type="dxa"/>
            <w:hideMark/>
          </w:tcPr>
          <w:p w:rsidR="004F7E2E" w:rsidRPr="00A33471" w:rsidRDefault="0057760C" w:rsidP="0059240D">
            <w:pPr>
              <w:pStyle w:val="ColumnHeading"/>
              <w:keepNext/>
            </w:pPr>
            <w:r>
              <w:t>Pozměňovací návrh</w:t>
            </w:r>
          </w:p>
        </w:tc>
      </w:tr>
      <w:tr w:rsidR="00AA7E4C" w:rsidTr="0059240D">
        <w:trPr>
          <w:jc w:val="center"/>
        </w:trPr>
        <w:tc>
          <w:tcPr>
            <w:tcW w:w="4876" w:type="dxa"/>
            <w:hideMark/>
          </w:tcPr>
          <w:p w:rsidR="004F7E2E" w:rsidRPr="00A33471" w:rsidRDefault="0057760C" w:rsidP="0059240D">
            <w:pPr>
              <w:pStyle w:val="Normal6"/>
            </w:pPr>
            <w:r>
              <w:t>2.</w:t>
            </w:r>
            <w:r>
              <w:tab/>
              <w:t>Toto nařízení se uplatní</w:t>
            </w:r>
            <w:r>
              <w:rPr>
                <w:b/>
                <w:i/>
              </w:rPr>
              <w:t>, aniž jsou dotčeny</w:t>
            </w:r>
            <w:r>
              <w:t xml:space="preserve"> povinnosti stanovené ve stávajících nařízeních v odvětví rybolovu, zejména v nařízení Evropského parlamentu a Rady (EU) 2017/2403</w:t>
            </w:r>
            <w:r>
              <w:rPr>
                <w:vertAlign w:val="superscript"/>
              </w:rPr>
              <w:t>42</w:t>
            </w:r>
            <w:r>
              <w:t>, a v nařízeních Rady (ES) č. 1005/2008</w:t>
            </w:r>
            <w:r>
              <w:rPr>
                <w:vertAlign w:val="superscript"/>
              </w:rPr>
              <w:t>43</w:t>
            </w:r>
            <w:r>
              <w:t xml:space="preserve"> a (ES) č. 1224/2009.</w:t>
            </w:r>
          </w:p>
        </w:tc>
        <w:tc>
          <w:tcPr>
            <w:tcW w:w="4876" w:type="dxa"/>
            <w:hideMark/>
          </w:tcPr>
          <w:p w:rsidR="004F7E2E" w:rsidRPr="00A33471" w:rsidRDefault="0057760C" w:rsidP="0059240D">
            <w:pPr>
              <w:pStyle w:val="Normal6"/>
              <w:rPr>
                <w:szCs w:val="24"/>
              </w:rPr>
            </w:pPr>
            <w:r>
              <w:t>2.</w:t>
            </w:r>
            <w:r>
              <w:tab/>
              <w:t>Toto nařízení se uplatní</w:t>
            </w:r>
            <w:r>
              <w:rPr>
                <w:b/>
                <w:i/>
              </w:rPr>
              <w:t xml:space="preserve"> bez ohledu na</w:t>
            </w:r>
            <w:r>
              <w:t xml:space="preserve"> povinnosti stanovené ve stávajících nařízeních v odvětví rybolovu, zejména v nařízení Evropského parlamentu a Rady (EU) 2017/2403</w:t>
            </w:r>
            <w:r>
              <w:rPr>
                <w:vertAlign w:val="superscript"/>
              </w:rPr>
              <w:t>42</w:t>
            </w:r>
            <w:r>
              <w:t>, a v nařízeních Rady (ES) č. 1005/2008</w:t>
            </w:r>
            <w:r>
              <w:rPr>
                <w:vertAlign w:val="superscript"/>
              </w:rPr>
              <w:t>43</w:t>
            </w:r>
            <w:r>
              <w:t xml:space="preserve"> a (ES) č. 1224/2009.</w:t>
            </w:r>
          </w:p>
        </w:tc>
      </w:tr>
      <w:tr w:rsidR="00AA7E4C" w:rsidTr="0059240D">
        <w:trPr>
          <w:jc w:val="center"/>
        </w:trPr>
        <w:tc>
          <w:tcPr>
            <w:tcW w:w="4876" w:type="dxa"/>
            <w:hideMark/>
          </w:tcPr>
          <w:p w:rsidR="004F7E2E" w:rsidRPr="00A33471" w:rsidRDefault="0057760C" w:rsidP="0059240D">
            <w:pPr>
              <w:pStyle w:val="Normal6"/>
            </w:pPr>
            <w:r>
              <w:t>__________________</w:t>
            </w:r>
          </w:p>
        </w:tc>
        <w:tc>
          <w:tcPr>
            <w:tcW w:w="4876" w:type="dxa"/>
            <w:hideMark/>
          </w:tcPr>
          <w:p w:rsidR="004F7E2E" w:rsidRPr="00A33471" w:rsidRDefault="0057760C" w:rsidP="0059240D">
            <w:pPr>
              <w:pStyle w:val="Normal6"/>
              <w:rPr>
                <w:szCs w:val="24"/>
              </w:rPr>
            </w:pPr>
            <w:r>
              <w:t>__________________</w:t>
            </w:r>
          </w:p>
        </w:tc>
      </w:tr>
      <w:tr w:rsidR="00AA7E4C" w:rsidTr="0059240D">
        <w:trPr>
          <w:jc w:val="center"/>
        </w:trPr>
        <w:tc>
          <w:tcPr>
            <w:tcW w:w="4876" w:type="dxa"/>
            <w:hideMark/>
          </w:tcPr>
          <w:p w:rsidR="004F7E2E" w:rsidRPr="00A33471" w:rsidRDefault="0057760C" w:rsidP="0059240D">
            <w:pPr>
              <w:pStyle w:val="Normal6"/>
            </w:pPr>
            <w:r>
              <w:rPr>
                <w:vertAlign w:val="superscript"/>
              </w:rPr>
              <w:t>42</w:t>
            </w:r>
            <w:r>
              <w:t xml:space="preserve"> Nařízení Evropského parlamentu a Rady (EU) 2017/2403 ze dne 12. prosince 2017 o udržitelném řízení vnějšího rybářského loďstva a o zrušení nařízení Rady (ES) č. 1006/2008 (Úř. věst. L 347, 28.12.2017, s. 81).</w:t>
            </w:r>
          </w:p>
        </w:tc>
        <w:tc>
          <w:tcPr>
            <w:tcW w:w="4876" w:type="dxa"/>
            <w:hideMark/>
          </w:tcPr>
          <w:p w:rsidR="004F7E2E" w:rsidRPr="00A33471" w:rsidRDefault="0057760C" w:rsidP="0059240D">
            <w:pPr>
              <w:pStyle w:val="Normal6"/>
              <w:rPr>
                <w:szCs w:val="24"/>
              </w:rPr>
            </w:pPr>
            <w:r>
              <w:rPr>
                <w:vertAlign w:val="superscript"/>
              </w:rPr>
              <w:t>42</w:t>
            </w:r>
            <w:r>
              <w:t xml:space="preserve"> Nařízení Evropského parlamentu a Rady (EU) 2017/2403 ze dne 12. prosince 2017 o udržitelném řízení vnějšího rybářského loďstva a o zrušení nařízení Rady (ES) č. 1006/2008 (Úř. věst. L 347, 28.12.2017, s. 81).</w:t>
            </w:r>
          </w:p>
        </w:tc>
      </w:tr>
      <w:tr w:rsidR="00AA7E4C" w:rsidTr="0059240D">
        <w:trPr>
          <w:jc w:val="center"/>
        </w:trPr>
        <w:tc>
          <w:tcPr>
            <w:tcW w:w="4876" w:type="dxa"/>
            <w:hideMark/>
          </w:tcPr>
          <w:p w:rsidR="004F7E2E" w:rsidRPr="00A33471" w:rsidRDefault="0057760C" w:rsidP="0059240D">
            <w:pPr>
              <w:pStyle w:val="Normal6"/>
            </w:pPr>
            <w:r>
              <w:rPr>
                <w:vertAlign w:val="superscript"/>
              </w:rPr>
              <w:t>43</w:t>
            </w:r>
            <w:r>
              <w:t xml:space="preserve"> Nařízení Rady (ES) č. 1005/2008 ze dne 29. září 2008, kterým se zavádí systém Společenství pro předcházení, potírání a odstranění nezákonného, nehlášeného a neregulovaného rybolovu, mění nařízení (EHS) č. 2847/93, (ES) č. 1936/2001 a (ES) č. 601/2004 a zrušují nařízení (ES) č. 1093/94 a (ES) č. 1447/1999 (Úř. věst. L 286, 29.10.2008, s. 1).</w:t>
            </w:r>
          </w:p>
        </w:tc>
        <w:tc>
          <w:tcPr>
            <w:tcW w:w="4876" w:type="dxa"/>
            <w:hideMark/>
          </w:tcPr>
          <w:p w:rsidR="004F7E2E" w:rsidRPr="00A33471" w:rsidRDefault="0057760C" w:rsidP="0059240D">
            <w:pPr>
              <w:pStyle w:val="Normal6"/>
              <w:rPr>
                <w:szCs w:val="24"/>
              </w:rPr>
            </w:pPr>
            <w:r>
              <w:rPr>
                <w:vertAlign w:val="superscript"/>
              </w:rPr>
              <w:t>43</w:t>
            </w:r>
            <w:r>
              <w:t xml:space="preserve"> Nařízení Rady (ES) č. 1005/2008 ze dne 29. září 2008, kterým se zavádí systém Společenství pro předcházení, potírání a odstranění nezákonného, nehlášeného a neregulovaného rybolovu, mění nařízení (EHS) č. 2847/93, (ES) č. 1936/2001 a (ES) č. 601/2004 a zrušují nařízení (ES) č. 1093/94 a (ES) č. 1447/1999 (Úř. věst. L 286, 29.10.2008, s. 1).</w:t>
            </w:r>
          </w:p>
        </w:tc>
      </w:tr>
    </w:tbl>
    <w:p w:rsidR="004F7E2E" w:rsidRPr="00A33471" w:rsidRDefault="0057760C" w:rsidP="004F7E2E">
      <w:pPr>
        <w:pStyle w:val="Olang"/>
        <w:rPr>
          <w:sz w:val="24"/>
          <w:szCs w:val="24"/>
        </w:rPr>
      </w:pPr>
      <w:r w:rsidRPr="00A33471">
        <w:rPr>
          <w:sz w:val="24"/>
          <w:szCs w:val="24"/>
        </w:rPr>
        <w:t xml:space="preserve">Or. </w:t>
      </w:r>
      <w:r w:rsidRPr="00A33471">
        <w:rPr>
          <w:rStyle w:val="HideTWBExt"/>
        </w:rPr>
        <w:t>&lt;Original&gt;</w:t>
      </w:r>
      <w:r w:rsidRPr="00A33471">
        <w:rPr>
          <w:rStyle w:val="HideTWBInt"/>
          <w:sz w:val="24"/>
          <w:szCs w:val="24"/>
        </w:rPr>
        <w:t>{EN}</w:t>
      </w:r>
      <w:r w:rsidRPr="00A33471">
        <w:rPr>
          <w:sz w:val="24"/>
          <w:szCs w:val="24"/>
        </w:rPr>
        <w:t>en</w:t>
      </w:r>
      <w:r w:rsidRPr="00A33471">
        <w:rPr>
          <w:rStyle w:val="HideTWBExt"/>
        </w:rPr>
        <w:t>&lt;/Original&gt;</w:t>
      </w:r>
    </w:p>
    <w:p w:rsidR="004F7E2E" w:rsidRPr="00A33471" w:rsidRDefault="0057760C" w:rsidP="004F7E2E">
      <w:pPr>
        <w:rPr>
          <w:szCs w:val="24"/>
        </w:rPr>
      </w:pPr>
      <w:r>
        <w:rPr>
          <w:rStyle w:val="HideTWBExt"/>
        </w:rPr>
        <w:t>&lt;/Amend&gt;</w:t>
      </w:r>
    </w:p>
    <w:p w:rsidR="004F7E2E" w:rsidRPr="00A33471" w:rsidRDefault="0057760C" w:rsidP="004F7E2E">
      <w:pPr>
        <w:pStyle w:val="AMNumberTabs0"/>
        <w:keepNext/>
      </w:pPr>
      <w:r w:rsidRPr="0057760C">
        <w:rPr>
          <w:rStyle w:val="HideTWBExt"/>
          <w:b w:val="0"/>
          <w:lang w:val="pt-PT"/>
        </w:rPr>
        <w:t>&lt;Amend&gt;</w:t>
      </w:r>
      <w:r>
        <w:t>Pozměňovací návrh</w:t>
      </w:r>
      <w:r>
        <w:tab/>
      </w:r>
      <w:r>
        <w:tab/>
      </w:r>
      <w:r w:rsidRPr="0057760C">
        <w:rPr>
          <w:rStyle w:val="HideTWBExt"/>
          <w:b w:val="0"/>
          <w:lang w:val="pt-PT"/>
        </w:rPr>
        <w:t>&lt;NumAm&gt;</w:t>
      </w:r>
      <w:r>
        <w:t>2</w:t>
      </w:r>
      <w:r w:rsidRPr="0057760C">
        <w:rPr>
          <w:rStyle w:val="HideTWBExt"/>
          <w:b w:val="0"/>
          <w:lang w:val="pt-PT"/>
        </w:rPr>
        <w:t>&lt;/NumAm&gt;</w:t>
      </w:r>
    </w:p>
    <w:p w:rsidR="004F7E2E" w:rsidRPr="00A33471" w:rsidRDefault="0057760C" w:rsidP="004F7E2E">
      <w:pPr>
        <w:pStyle w:val="NormalBold12b"/>
        <w:keepNext/>
      </w:pPr>
      <w:r>
        <w:rPr>
          <w:rStyle w:val="HideTWBExt"/>
          <w:b w:val="0"/>
        </w:rPr>
        <w:t>&lt;DocAmend&gt;</w:t>
      </w:r>
      <w:r>
        <w:t>Návrh nařízení</w:t>
      </w:r>
      <w:r>
        <w:rPr>
          <w:rStyle w:val="HideTWBExt"/>
          <w:b w:val="0"/>
        </w:rPr>
        <w:t>&lt;/DocAmend&gt;</w:t>
      </w:r>
    </w:p>
    <w:p w:rsidR="004F7E2E" w:rsidRPr="00A33471" w:rsidRDefault="0057760C" w:rsidP="004F7E2E">
      <w:pPr>
        <w:pStyle w:val="NormalBold"/>
      </w:pPr>
      <w:r>
        <w:rPr>
          <w:rStyle w:val="HideTWBExt"/>
          <w:b w:val="0"/>
        </w:rPr>
        <w:t>&lt;Article&gt;</w:t>
      </w:r>
      <w:r>
        <w:t>Čl. 11 – název</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7E4C" w:rsidTr="0059240D">
        <w:trPr>
          <w:jc w:val="center"/>
        </w:trPr>
        <w:tc>
          <w:tcPr>
            <w:tcW w:w="9752" w:type="dxa"/>
            <w:gridSpan w:val="2"/>
          </w:tcPr>
          <w:p w:rsidR="004F7E2E" w:rsidRPr="00A33471" w:rsidRDefault="004F7E2E" w:rsidP="0059240D">
            <w:pPr>
              <w:keepNext/>
            </w:pPr>
          </w:p>
        </w:tc>
      </w:tr>
      <w:tr w:rsidR="00AA7E4C" w:rsidTr="0059240D">
        <w:trPr>
          <w:jc w:val="center"/>
        </w:trPr>
        <w:tc>
          <w:tcPr>
            <w:tcW w:w="4876" w:type="dxa"/>
            <w:hideMark/>
          </w:tcPr>
          <w:p w:rsidR="004F7E2E" w:rsidRPr="00A33471" w:rsidRDefault="0057760C" w:rsidP="0059240D">
            <w:pPr>
              <w:pStyle w:val="ColumnHeading"/>
              <w:keepNext/>
            </w:pPr>
            <w:r>
              <w:t>Znění navržené Komisí</w:t>
            </w:r>
          </w:p>
        </w:tc>
        <w:tc>
          <w:tcPr>
            <w:tcW w:w="4876" w:type="dxa"/>
            <w:hideMark/>
          </w:tcPr>
          <w:p w:rsidR="004F7E2E" w:rsidRPr="00A33471" w:rsidRDefault="0057760C" w:rsidP="0059240D">
            <w:pPr>
              <w:pStyle w:val="ColumnHeading"/>
              <w:keepNext/>
            </w:pPr>
            <w:r>
              <w:t>Pozměňovací návrh</w:t>
            </w:r>
          </w:p>
        </w:tc>
      </w:tr>
      <w:tr w:rsidR="00AA7E4C" w:rsidTr="0059240D">
        <w:trPr>
          <w:jc w:val="center"/>
        </w:trPr>
        <w:tc>
          <w:tcPr>
            <w:tcW w:w="4876" w:type="dxa"/>
            <w:hideMark/>
          </w:tcPr>
          <w:p w:rsidR="004F7E2E" w:rsidRPr="00A33471" w:rsidRDefault="0057760C" w:rsidP="0059240D">
            <w:pPr>
              <w:pStyle w:val="Normal6"/>
            </w:pPr>
            <w:r>
              <w:rPr>
                <w:b/>
                <w:i/>
              </w:rPr>
              <w:t>Odpadky</w:t>
            </w:r>
            <w:r>
              <w:t xml:space="preserve"> v moři a vylovení ztraceného lovného zařízení</w:t>
            </w:r>
          </w:p>
        </w:tc>
        <w:tc>
          <w:tcPr>
            <w:tcW w:w="4876" w:type="dxa"/>
            <w:hideMark/>
          </w:tcPr>
          <w:p w:rsidR="004F7E2E" w:rsidRPr="00A33471" w:rsidRDefault="0057760C" w:rsidP="0059240D">
            <w:pPr>
              <w:pStyle w:val="Normal6"/>
              <w:rPr>
                <w:szCs w:val="24"/>
              </w:rPr>
            </w:pPr>
            <w:r>
              <w:rPr>
                <w:b/>
                <w:i/>
              </w:rPr>
              <w:t>Odpad</w:t>
            </w:r>
            <w:r>
              <w:t xml:space="preserve"> v moři a vylovení ztraceného lovného zařízení</w:t>
            </w:r>
          </w:p>
        </w:tc>
      </w:tr>
    </w:tbl>
    <w:p w:rsidR="004F7E2E" w:rsidRPr="00A33471" w:rsidRDefault="0057760C" w:rsidP="004F7E2E">
      <w:pPr>
        <w:pStyle w:val="Olang"/>
        <w:rPr>
          <w:sz w:val="24"/>
          <w:szCs w:val="24"/>
        </w:rPr>
      </w:pPr>
      <w:r w:rsidRPr="00A33471">
        <w:rPr>
          <w:sz w:val="24"/>
          <w:szCs w:val="24"/>
        </w:rPr>
        <w:t xml:space="preserve">Or. </w:t>
      </w:r>
      <w:r w:rsidRPr="00A33471">
        <w:rPr>
          <w:rStyle w:val="HideTWBExt"/>
        </w:rPr>
        <w:t>&lt;Original&gt;</w:t>
      </w:r>
      <w:r w:rsidRPr="00A33471">
        <w:rPr>
          <w:rStyle w:val="HideTWBInt"/>
          <w:sz w:val="24"/>
          <w:szCs w:val="24"/>
        </w:rPr>
        <w:t>{EN}</w:t>
      </w:r>
      <w:r w:rsidRPr="00A33471">
        <w:rPr>
          <w:sz w:val="24"/>
          <w:szCs w:val="24"/>
        </w:rPr>
        <w:t>en</w:t>
      </w:r>
      <w:r w:rsidRPr="00A33471">
        <w:rPr>
          <w:rStyle w:val="HideTWBExt"/>
        </w:rPr>
        <w:t>&lt;/Original&gt;</w:t>
      </w:r>
    </w:p>
    <w:p w:rsidR="004F7E2E" w:rsidRPr="00A33471" w:rsidRDefault="0057760C" w:rsidP="004F7E2E">
      <w:pPr>
        <w:rPr>
          <w:szCs w:val="24"/>
        </w:rPr>
      </w:pPr>
      <w:r>
        <w:rPr>
          <w:rStyle w:val="HideTWBExt"/>
        </w:rPr>
        <w:t>&lt;/Amend&gt;</w:t>
      </w:r>
    </w:p>
    <w:p w:rsidR="004F7E2E" w:rsidRPr="00A33471" w:rsidRDefault="0057760C" w:rsidP="004F7E2E">
      <w:pPr>
        <w:pStyle w:val="AMNumberTabs0"/>
        <w:keepNext/>
      </w:pPr>
      <w:r w:rsidRPr="0057760C">
        <w:rPr>
          <w:rStyle w:val="HideTWBExt"/>
          <w:b w:val="0"/>
          <w:lang w:val="pt-PT"/>
        </w:rPr>
        <w:t>&lt;Amend&gt;</w:t>
      </w:r>
      <w:r>
        <w:t>Pozměňovací návrh</w:t>
      </w:r>
      <w:r>
        <w:tab/>
      </w:r>
      <w:r>
        <w:tab/>
      </w:r>
      <w:r w:rsidRPr="0057760C">
        <w:rPr>
          <w:rStyle w:val="HideTWBExt"/>
          <w:b w:val="0"/>
          <w:lang w:val="pt-PT"/>
        </w:rPr>
        <w:t>&lt;NumAm&gt;</w:t>
      </w:r>
      <w:r>
        <w:t>3</w:t>
      </w:r>
      <w:r w:rsidRPr="0057760C">
        <w:rPr>
          <w:rStyle w:val="HideTWBExt"/>
          <w:b w:val="0"/>
          <w:lang w:val="pt-PT"/>
        </w:rPr>
        <w:t>&lt;/NumAm&gt;</w:t>
      </w:r>
    </w:p>
    <w:p w:rsidR="004F7E2E" w:rsidRPr="00A33471" w:rsidRDefault="0057760C" w:rsidP="004F7E2E">
      <w:pPr>
        <w:pStyle w:val="NormalBold12b"/>
        <w:keepNext/>
      </w:pPr>
      <w:r>
        <w:rPr>
          <w:rStyle w:val="HideTWBExt"/>
          <w:b w:val="0"/>
        </w:rPr>
        <w:t>&lt;DocAmend&gt;</w:t>
      </w:r>
      <w:r>
        <w:t>Návrh nařízení</w:t>
      </w:r>
      <w:r>
        <w:rPr>
          <w:rStyle w:val="HideTWBExt"/>
          <w:b w:val="0"/>
        </w:rPr>
        <w:t>&lt;/DocAmend&gt;</w:t>
      </w:r>
    </w:p>
    <w:p w:rsidR="004F7E2E" w:rsidRPr="00A33471" w:rsidRDefault="0057760C" w:rsidP="004F7E2E">
      <w:pPr>
        <w:pStyle w:val="NormalBold"/>
      </w:pPr>
      <w:r>
        <w:rPr>
          <w:rStyle w:val="HideTWBExt"/>
          <w:b w:val="0"/>
        </w:rPr>
        <w:t>&lt;Article&gt;</w:t>
      </w:r>
      <w:r>
        <w:t>Čl. 11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7E4C" w:rsidTr="0059240D">
        <w:trPr>
          <w:jc w:val="center"/>
        </w:trPr>
        <w:tc>
          <w:tcPr>
            <w:tcW w:w="9752" w:type="dxa"/>
            <w:gridSpan w:val="2"/>
          </w:tcPr>
          <w:p w:rsidR="004F7E2E" w:rsidRPr="00A33471" w:rsidRDefault="004F7E2E" w:rsidP="0059240D">
            <w:pPr>
              <w:keepNext/>
            </w:pPr>
          </w:p>
        </w:tc>
      </w:tr>
      <w:tr w:rsidR="00AA7E4C" w:rsidTr="0059240D">
        <w:trPr>
          <w:jc w:val="center"/>
        </w:trPr>
        <w:tc>
          <w:tcPr>
            <w:tcW w:w="4876" w:type="dxa"/>
            <w:hideMark/>
          </w:tcPr>
          <w:p w:rsidR="004F7E2E" w:rsidRPr="00A33471" w:rsidRDefault="0057760C" w:rsidP="0059240D">
            <w:pPr>
              <w:pStyle w:val="ColumnHeading"/>
              <w:keepNext/>
            </w:pPr>
            <w:r>
              <w:t>Znění navržené Komisí</w:t>
            </w:r>
          </w:p>
        </w:tc>
        <w:tc>
          <w:tcPr>
            <w:tcW w:w="4876" w:type="dxa"/>
            <w:hideMark/>
          </w:tcPr>
          <w:p w:rsidR="004F7E2E" w:rsidRPr="00A33471" w:rsidRDefault="0057760C" w:rsidP="0059240D">
            <w:pPr>
              <w:pStyle w:val="ColumnHeading"/>
              <w:keepNext/>
            </w:pPr>
            <w:r>
              <w:t>Pozměňovací návrh</w:t>
            </w:r>
          </w:p>
        </w:tc>
      </w:tr>
      <w:tr w:rsidR="00AA7E4C" w:rsidTr="0059240D">
        <w:trPr>
          <w:jc w:val="center"/>
        </w:trPr>
        <w:tc>
          <w:tcPr>
            <w:tcW w:w="4876" w:type="dxa"/>
            <w:hideMark/>
          </w:tcPr>
          <w:p w:rsidR="004F7E2E" w:rsidRPr="00A33471" w:rsidRDefault="0057760C" w:rsidP="0059240D">
            <w:pPr>
              <w:pStyle w:val="Normal6"/>
            </w:pPr>
            <w:r>
              <w:t>1.</w:t>
            </w:r>
            <w:r>
              <w:tab/>
              <w:t xml:space="preserve">Velitelé rybářských plavidel Unie </w:t>
            </w:r>
            <w:r>
              <w:rPr>
                <w:b/>
                <w:i/>
              </w:rPr>
              <w:t>mají zakázáno</w:t>
            </w:r>
            <w:r>
              <w:t xml:space="preserve"> úmyslně </w:t>
            </w:r>
            <w:r>
              <w:rPr>
                <w:b/>
                <w:i/>
              </w:rPr>
              <w:t>opouštět nebo odhazovat</w:t>
            </w:r>
            <w:r>
              <w:t xml:space="preserve"> lovná zařízení a </w:t>
            </w:r>
            <w:r>
              <w:rPr>
                <w:b/>
                <w:i/>
              </w:rPr>
              <w:t>vypouštět</w:t>
            </w:r>
            <w:r>
              <w:t xml:space="preserve"> odpad </w:t>
            </w:r>
            <w:r>
              <w:rPr>
                <w:b/>
                <w:i/>
              </w:rPr>
              <w:t>z</w:t>
            </w:r>
            <w:r>
              <w:t xml:space="preserve"> lodí do moře podle definice ve směrnici Evropského parlamentu a Rady (EU) 2019/883</w:t>
            </w:r>
            <w:r>
              <w:rPr>
                <w:vertAlign w:val="superscript"/>
              </w:rPr>
              <w:t>48</w:t>
            </w:r>
            <w:r>
              <w:t xml:space="preserve"> v souladu s přílohou V úmluvy MARPOL, která se týká pravidel pro prevenci znečištění odpadky z lodí.</w:t>
            </w:r>
          </w:p>
        </w:tc>
        <w:tc>
          <w:tcPr>
            <w:tcW w:w="4876" w:type="dxa"/>
            <w:hideMark/>
          </w:tcPr>
          <w:p w:rsidR="004F7E2E" w:rsidRPr="00A33471" w:rsidRDefault="0057760C" w:rsidP="0059240D">
            <w:pPr>
              <w:pStyle w:val="Normal6"/>
              <w:rPr>
                <w:szCs w:val="24"/>
              </w:rPr>
            </w:pPr>
            <w:r>
              <w:t>1.</w:t>
            </w:r>
            <w:r>
              <w:tab/>
              <w:t xml:space="preserve">Velitelé rybářských plavidel Unie </w:t>
            </w:r>
            <w:r>
              <w:rPr>
                <w:b/>
                <w:i/>
              </w:rPr>
              <w:t>jsou právně odpovědní za to, že</w:t>
            </w:r>
            <w:r>
              <w:t xml:space="preserve"> úmyslně </w:t>
            </w:r>
            <w:r>
              <w:rPr>
                <w:b/>
                <w:i/>
              </w:rPr>
              <w:t>neopustí ani neodhodí</w:t>
            </w:r>
            <w:r>
              <w:t xml:space="preserve"> lovná zařízení a </w:t>
            </w:r>
            <w:r>
              <w:rPr>
                <w:b/>
                <w:i/>
              </w:rPr>
              <w:t>nevypustí ani neshodí žádný</w:t>
            </w:r>
            <w:r>
              <w:t xml:space="preserve"> odpad </w:t>
            </w:r>
            <w:r>
              <w:rPr>
                <w:b/>
                <w:i/>
              </w:rPr>
              <w:t>ze svých</w:t>
            </w:r>
            <w:r>
              <w:t xml:space="preserve"> lodí do moře podle definice ve směrnici Evropského parlamentu a Rady (EU) 2019/883</w:t>
            </w:r>
            <w:r>
              <w:rPr>
                <w:vertAlign w:val="superscript"/>
              </w:rPr>
              <w:t>48</w:t>
            </w:r>
            <w:r>
              <w:t xml:space="preserve"> v souladu s přílohou V úmluvy MARPOL, která se týká pravidel pro prevenci znečištění odpadky z lodí.</w:t>
            </w:r>
          </w:p>
        </w:tc>
      </w:tr>
      <w:tr w:rsidR="00AA7E4C" w:rsidTr="0059240D">
        <w:trPr>
          <w:jc w:val="center"/>
        </w:trPr>
        <w:tc>
          <w:tcPr>
            <w:tcW w:w="4876" w:type="dxa"/>
            <w:hideMark/>
          </w:tcPr>
          <w:p w:rsidR="004F7E2E" w:rsidRPr="00A33471" w:rsidRDefault="0057760C" w:rsidP="0059240D">
            <w:pPr>
              <w:pStyle w:val="Normal6"/>
            </w:pPr>
            <w:r>
              <w:t>__________________</w:t>
            </w:r>
          </w:p>
        </w:tc>
        <w:tc>
          <w:tcPr>
            <w:tcW w:w="4876" w:type="dxa"/>
            <w:hideMark/>
          </w:tcPr>
          <w:p w:rsidR="004F7E2E" w:rsidRPr="00A33471" w:rsidRDefault="0057760C" w:rsidP="0059240D">
            <w:pPr>
              <w:pStyle w:val="Normal6"/>
              <w:rPr>
                <w:szCs w:val="24"/>
              </w:rPr>
            </w:pPr>
            <w:r>
              <w:t>__________________</w:t>
            </w:r>
          </w:p>
        </w:tc>
      </w:tr>
      <w:tr w:rsidR="00AA7E4C" w:rsidTr="0059240D">
        <w:trPr>
          <w:jc w:val="center"/>
        </w:trPr>
        <w:tc>
          <w:tcPr>
            <w:tcW w:w="4876" w:type="dxa"/>
            <w:hideMark/>
          </w:tcPr>
          <w:p w:rsidR="004F7E2E" w:rsidRPr="00A33471" w:rsidRDefault="0057760C" w:rsidP="0059240D">
            <w:pPr>
              <w:pStyle w:val="Normal6"/>
            </w:pPr>
            <w:r>
              <w:rPr>
                <w:vertAlign w:val="superscript"/>
              </w:rPr>
              <w:t>48</w:t>
            </w:r>
            <w:r>
              <w:t xml:space="preserve"> Směrnice Evropského parlamentu a Rady (EU) 2019/883 ze dne 17. dubna 2019 o přístavních zařízeních pro příjem odpadů z lodí, kterou se mění směrnice 2010/65/EU a zrušuje směrnice 2000/59/ES (Úř. věst. L 151, 7.6.2019, s. 116).</w:t>
            </w:r>
          </w:p>
        </w:tc>
        <w:tc>
          <w:tcPr>
            <w:tcW w:w="4876" w:type="dxa"/>
            <w:hideMark/>
          </w:tcPr>
          <w:p w:rsidR="004F7E2E" w:rsidRPr="00A33471" w:rsidRDefault="0057760C" w:rsidP="0059240D">
            <w:pPr>
              <w:pStyle w:val="Normal6"/>
              <w:rPr>
                <w:szCs w:val="24"/>
              </w:rPr>
            </w:pPr>
            <w:r>
              <w:rPr>
                <w:vertAlign w:val="superscript"/>
              </w:rPr>
              <w:t>48</w:t>
            </w:r>
            <w:r>
              <w:t xml:space="preserve"> Směrnice Evropského parlamentu a Rady (EU) 2019/883 ze dne 17. dubna 2019 o přístavních zařízeních pro příjem odpadů z lodí, kterou se mění směrnice 2010/65/EU a zrušuje směrnice 2000/59/ES (Úř. věst. L 151, 7.6.2019, s. 116).</w:t>
            </w:r>
          </w:p>
        </w:tc>
      </w:tr>
    </w:tbl>
    <w:p w:rsidR="004F7E2E" w:rsidRPr="00A33471" w:rsidRDefault="0057760C" w:rsidP="004F7E2E">
      <w:pPr>
        <w:pStyle w:val="Olang"/>
        <w:rPr>
          <w:sz w:val="24"/>
          <w:szCs w:val="24"/>
        </w:rPr>
      </w:pPr>
      <w:r w:rsidRPr="00A33471">
        <w:rPr>
          <w:sz w:val="24"/>
          <w:szCs w:val="24"/>
        </w:rPr>
        <w:t xml:space="preserve">Or. </w:t>
      </w:r>
      <w:r w:rsidRPr="00A33471">
        <w:rPr>
          <w:rStyle w:val="HideTWBExt"/>
        </w:rPr>
        <w:t>&lt;Original&gt;</w:t>
      </w:r>
      <w:r w:rsidRPr="00A33471">
        <w:rPr>
          <w:rStyle w:val="HideTWBInt"/>
          <w:sz w:val="24"/>
          <w:szCs w:val="24"/>
        </w:rPr>
        <w:t>{EN}</w:t>
      </w:r>
      <w:r w:rsidRPr="00A33471">
        <w:rPr>
          <w:sz w:val="24"/>
          <w:szCs w:val="24"/>
        </w:rPr>
        <w:t>en</w:t>
      </w:r>
      <w:r w:rsidRPr="00A33471">
        <w:rPr>
          <w:rStyle w:val="HideTWBExt"/>
        </w:rPr>
        <w:t>&lt;/Original&gt;</w:t>
      </w:r>
    </w:p>
    <w:p w:rsidR="004F7E2E" w:rsidRPr="00A33471" w:rsidRDefault="0057760C" w:rsidP="004F7E2E">
      <w:pPr>
        <w:rPr>
          <w:szCs w:val="24"/>
        </w:rPr>
      </w:pPr>
      <w:r>
        <w:rPr>
          <w:rStyle w:val="HideTWBExt"/>
        </w:rPr>
        <w:t>&lt;/Amend&gt;</w:t>
      </w:r>
    </w:p>
    <w:p w:rsidR="004F7E2E" w:rsidRPr="00A33471" w:rsidRDefault="0057760C" w:rsidP="004F7E2E">
      <w:pPr>
        <w:pStyle w:val="AMNumberTabs0"/>
        <w:keepNext/>
      </w:pPr>
      <w:r w:rsidRPr="0057760C">
        <w:rPr>
          <w:rStyle w:val="HideTWBExt"/>
          <w:b w:val="0"/>
          <w:lang w:val="pt-PT"/>
        </w:rPr>
        <w:t>&lt;Amend&gt;</w:t>
      </w:r>
      <w:r>
        <w:t>Pozměňovací návrh</w:t>
      </w:r>
      <w:r>
        <w:tab/>
      </w:r>
      <w:r>
        <w:tab/>
      </w:r>
      <w:r w:rsidRPr="0057760C">
        <w:rPr>
          <w:rStyle w:val="HideTWBExt"/>
          <w:b w:val="0"/>
          <w:lang w:val="pt-PT"/>
        </w:rPr>
        <w:t>&lt;NumAm&gt;</w:t>
      </w:r>
      <w:r>
        <w:t>4</w:t>
      </w:r>
      <w:r w:rsidRPr="0057760C">
        <w:rPr>
          <w:rStyle w:val="HideTWBExt"/>
          <w:b w:val="0"/>
          <w:lang w:val="pt-PT"/>
        </w:rPr>
        <w:t>&lt;/NumAm&gt;</w:t>
      </w:r>
    </w:p>
    <w:p w:rsidR="004F7E2E" w:rsidRPr="00A33471" w:rsidRDefault="0057760C" w:rsidP="004F7E2E">
      <w:pPr>
        <w:pStyle w:val="NormalBold12b"/>
        <w:keepNext/>
      </w:pPr>
      <w:r>
        <w:rPr>
          <w:rStyle w:val="HideTWBExt"/>
          <w:b w:val="0"/>
        </w:rPr>
        <w:t>&lt;DocAmend&gt;</w:t>
      </w:r>
      <w:r>
        <w:t>Návrh nařízení</w:t>
      </w:r>
      <w:r>
        <w:rPr>
          <w:rStyle w:val="HideTWBExt"/>
          <w:b w:val="0"/>
        </w:rPr>
        <w:t>&lt;/DocAmend&gt;</w:t>
      </w:r>
    </w:p>
    <w:p w:rsidR="004F7E2E" w:rsidRPr="00A33471" w:rsidRDefault="0057760C" w:rsidP="004F7E2E">
      <w:pPr>
        <w:pStyle w:val="NormalBold"/>
      </w:pPr>
      <w:r>
        <w:rPr>
          <w:rStyle w:val="HideTWBExt"/>
          <w:b w:val="0"/>
        </w:rPr>
        <w:t>&lt;Article&gt;</w:t>
      </w:r>
      <w:r>
        <w:t>Čl. 52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7E4C" w:rsidTr="0059240D">
        <w:trPr>
          <w:jc w:val="center"/>
        </w:trPr>
        <w:tc>
          <w:tcPr>
            <w:tcW w:w="9752" w:type="dxa"/>
            <w:gridSpan w:val="2"/>
          </w:tcPr>
          <w:p w:rsidR="004F7E2E" w:rsidRPr="00A33471" w:rsidRDefault="004F7E2E" w:rsidP="0059240D">
            <w:pPr>
              <w:keepNext/>
            </w:pPr>
          </w:p>
        </w:tc>
      </w:tr>
      <w:tr w:rsidR="00AA7E4C" w:rsidTr="0059240D">
        <w:trPr>
          <w:jc w:val="center"/>
        </w:trPr>
        <w:tc>
          <w:tcPr>
            <w:tcW w:w="4876" w:type="dxa"/>
            <w:hideMark/>
          </w:tcPr>
          <w:p w:rsidR="004F7E2E" w:rsidRPr="00A33471" w:rsidRDefault="0057760C" w:rsidP="0059240D">
            <w:pPr>
              <w:pStyle w:val="ColumnHeading"/>
              <w:keepNext/>
            </w:pPr>
            <w:r>
              <w:t>Znění navržené Komisí</w:t>
            </w:r>
          </w:p>
        </w:tc>
        <w:tc>
          <w:tcPr>
            <w:tcW w:w="4876" w:type="dxa"/>
            <w:hideMark/>
          </w:tcPr>
          <w:p w:rsidR="004F7E2E" w:rsidRPr="00A33471" w:rsidRDefault="0057760C" w:rsidP="0059240D">
            <w:pPr>
              <w:pStyle w:val="ColumnHeading"/>
              <w:keepNext/>
            </w:pPr>
            <w:r>
              <w:t>Pozměňovací návrh</w:t>
            </w:r>
          </w:p>
        </w:tc>
      </w:tr>
      <w:tr w:rsidR="00AA7E4C" w:rsidTr="0059240D">
        <w:trPr>
          <w:jc w:val="center"/>
        </w:trPr>
        <w:tc>
          <w:tcPr>
            <w:tcW w:w="4876" w:type="dxa"/>
            <w:hideMark/>
          </w:tcPr>
          <w:p w:rsidR="004F7E2E" w:rsidRPr="00A33471" w:rsidRDefault="0057760C" w:rsidP="0059240D">
            <w:pPr>
              <w:pStyle w:val="Normal6"/>
            </w:pPr>
            <w:r>
              <w:t>1.</w:t>
            </w:r>
            <w:r>
              <w:tab/>
              <w:t>Členské státy přístavu zajistí dohled pomocí kamerových a senzorových technologií v zařízeních pro vykládku a zpracování, v nichž je váženo více než 3 000 tun druhů uvedených v článku 48 ročně.</w:t>
            </w:r>
          </w:p>
        </w:tc>
        <w:tc>
          <w:tcPr>
            <w:tcW w:w="4876" w:type="dxa"/>
            <w:hideMark/>
          </w:tcPr>
          <w:p w:rsidR="004F7E2E" w:rsidRPr="00A33471" w:rsidRDefault="0057760C" w:rsidP="0059240D">
            <w:pPr>
              <w:pStyle w:val="Normal6"/>
              <w:rPr>
                <w:szCs w:val="24"/>
              </w:rPr>
            </w:pPr>
            <w:r>
              <w:t>1.</w:t>
            </w:r>
            <w:r>
              <w:tab/>
              <w:t xml:space="preserve">Členské státy přístavu zajistí dohled pomocí kamerových a senzorových technologií v zařízeních pro vykládku a zpracování, v nichž je váženo více než 3 000 tun druhů uvedených v článku 48 ročně. </w:t>
            </w:r>
            <w:r>
              <w:rPr>
                <w:b/>
                <w:i/>
              </w:rPr>
              <w:t>Tato opatření se vztahují na vykládky přesahující 10 tun těchto druhů.</w:t>
            </w:r>
          </w:p>
        </w:tc>
      </w:tr>
    </w:tbl>
    <w:p w:rsidR="004F7E2E" w:rsidRPr="00A33471" w:rsidRDefault="0057760C" w:rsidP="004F7E2E">
      <w:pPr>
        <w:pStyle w:val="Olang"/>
        <w:rPr>
          <w:sz w:val="24"/>
          <w:szCs w:val="24"/>
        </w:rPr>
      </w:pPr>
      <w:r w:rsidRPr="00A33471">
        <w:rPr>
          <w:sz w:val="24"/>
          <w:szCs w:val="24"/>
        </w:rPr>
        <w:t xml:space="preserve">Or. </w:t>
      </w:r>
      <w:r w:rsidRPr="00A33471">
        <w:rPr>
          <w:rStyle w:val="HideTWBExt"/>
        </w:rPr>
        <w:t>&lt;Original&gt;</w:t>
      </w:r>
      <w:r w:rsidRPr="00A33471">
        <w:rPr>
          <w:rStyle w:val="HideTWBInt"/>
          <w:sz w:val="24"/>
          <w:szCs w:val="24"/>
        </w:rPr>
        <w:t>{EN}</w:t>
      </w:r>
      <w:r w:rsidRPr="00A33471">
        <w:rPr>
          <w:sz w:val="24"/>
          <w:szCs w:val="24"/>
        </w:rPr>
        <w:t>en</w:t>
      </w:r>
      <w:r w:rsidRPr="00A33471">
        <w:rPr>
          <w:rStyle w:val="HideTWBExt"/>
        </w:rPr>
        <w:t>&lt;/Original&gt;</w:t>
      </w:r>
    </w:p>
    <w:p w:rsidR="004F7E2E" w:rsidRPr="00A33471" w:rsidRDefault="0057760C" w:rsidP="004F7E2E">
      <w:pPr>
        <w:rPr>
          <w:szCs w:val="24"/>
        </w:rPr>
      </w:pPr>
      <w:r>
        <w:rPr>
          <w:rStyle w:val="HideTWBExt"/>
        </w:rPr>
        <w:t>&lt;/Amend&gt;</w:t>
      </w:r>
    </w:p>
    <w:p w:rsidR="004F7E2E" w:rsidRPr="00A33471" w:rsidRDefault="0057760C" w:rsidP="004F7E2E">
      <w:pPr>
        <w:pStyle w:val="AMNumberTabs0"/>
        <w:keepNext/>
      </w:pPr>
      <w:r w:rsidRPr="0057760C">
        <w:rPr>
          <w:rStyle w:val="HideTWBExt"/>
          <w:b w:val="0"/>
          <w:lang w:val="pt-PT"/>
        </w:rPr>
        <w:t>&lt;Amend&gt;</w:t>
      </w:r>
      <w:r>
        <w:t>Pozměňovací návrh</w:t>
      </w:r>
      <w:r>
        <w:tab/>
      </w:r>
      <w:r>
        <w:tab/>
      </w:r>
      <w:r w:rsidRPr="0057760C">
        <w:rPr>
          <w:rStyle w:val="HideTWBExt"/>
          <w:b w:val="0"/>
          <w:lang w:val="pt-PT"/>
        </w:rPr>
        <w:t>&lt;NumAm&gt;</w:t>
      </w:r>
      <w:r>
        <w:t>5</w:t>
      </w:r>
      <w:r w:rsidRPr="0057760C">
        <w:rPr>
          <w:rStyle w:val="HideTWBExt"/>
          <w:b w:val="0"/>
          <w:lang w:val="pt-PT"/>
        </w:rPr>
        <w:t>&lt;/NumAm&gt;</w:t>
      </w:r>
    </w:p>
    <w:p w:rsidR="004F7E2E" w:rsidRPr="00A33471" w:rsidRDefault="0057760C" w:rsidP="004F7E2E">
      <w:pPr>
        <w:pStyle w:val="NormalBold12b"/>
        <w:keepNext/>
      </w:pPr>
      <w:r>
        <w:rPr>
          <w:rStyle w:val="HideTWBExt"/>
          <w:b w:val="0"/>
        </w:rPr>
        <w:t>&lt;DocAmend&gt;</w:t>
      </w:r>
      <w:r>
        <w:t>Návrh nařízení</w:t>
      </w:r>
      <w:r>
        <w:rPr>
          <w:rStyle w:val="HideTWBExt"/>
          <w:b w:val="0"/>
        </w:rPr>
        <w:t>&lt;/DocAmend&gt;</w:t>
      </w:r>
    </w:p>
    <w:p w:rsidR="004F7E2E" w:rsidRPr="00A33471" w:rsidRDefault="0057760C" w:rsidP="004F7E2E">
      <w:pPr>
        <w:pStyle w:val="NormalBold"/>
      </w:pPr>
      <w:r>
        <w:rPr>
          <w:rStyle w:val="HideTWBExt"/>
          <w:b w:val="0"/>
        </w:rPr>
        <w:t>&lt;Article&gt;</w:t>
      </w:r>
      <w:r>
        <w:t>Čl. 54 – odst. 1 – návětí</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7E4C" w:rsidTr="0059240D">
        <w:trPr>
          <w:jc w:val="center"/>
        </w:trPr>
        <w:tc>
          <w:tcPr>
            <w:tcW w:w="9752" w:type="dxa"/>
            <w:gridSpan w:val="2"/>
          </w:tcPr>
          <w:p w:rsidR="004F7E2E" w:rsidRPr="00A33471" w:rsidRDefault="004F7E2E" w:rsidP="0059240D">
            <w:pPr>
              <w:keepNext/>
            </w:pPr>
          </w:p>
        </w:tc>
      </w:tr>
      <w:tr w:rsidR="00AA7E4C" w:rsidTr="0059240D">
        <w:trPr>
          <w:jc w:val="center"/>
        </w:trPr>
        <w:tc>
          <w:tcPr>
            <w:tcW w:w="4876" w:type="dxa"/>
            <w:hideMark/>
          </w:tcPr>
          <w:p w:rsidR="004F7E2E" w:rsidRPr="00A33471" w:rsidRDefault="0057760C" w:rsidP="0059240D">
            <w:pPr>
              <w:pStyle w:val="ColumnHeading"/>
              <w:keepNext/>
            </w:pPr>
            <w:r>
              <w:t>Znění navržené Komisí</w:t>
            </w:r>
          </w:p>
        </w:tc>
        <w:tc>
          <w:tcPr>
            <w:tcW w:w="4876" w:type="dxa"/>
            <w:hideMark/>
          </w:tcPr>
          <w:p w:rsidR="004F7E2E" w:rsidRPr="00A33471" w:rsidRDefault="0057760C" w:rsidP="0059240D">
            <w:pPr>
              <w:pStyle w:val="ColumnHeading"/>
              <w:keepNext/>
            </w:pPr>
            <w:r>
              <w:t>Pozměňovací návrh</w:t>
            </w:r>
          </w:p>
        </w:tc>
      </w:tr>
      <w:tr w:rsidR="00AA7E4C" w:rsidTr="0059240D">
        <w:trPr>
          <w:jc w:val="center"/>
        </w:trPr>
        <w:tc>
          <w:tcPr>
            <w:tcW w:w="4876" w:type="dxa"/>
            <w:hideMark/>
          </w:tcPr>
          <w:p w:rsidR="004F7E2E" w:rsidRPr="00A33471" w:rsidRDefault="0057760C" w:rsidP="0059240D">
            <w:pPr>
              <w:pStyle w:val="Normal6"/>
            </w:pPr>
            <w:r>
              <w:t>1.</w:t>
            </w:r>
            <w:r>
              <w:tab/>
              <w:t xml:space="preserve">Komise je zmocněna přijímat akty v přenesené pravomoci v souladu s článkem 55, pokud jde o opatření přijatá NEAFC </w:t>
            </w:r>
            <w:r>
              <w:rPr>
                <w:b/>
                <w:i/>
              </w:rPr>
              <w:t>týkající se</w:t>
            </w:r>
            <w:r>
              <w:t>:</w:t>
            </w:r>
          </w:p>
        </w:tc>
        <w:tc>
          <w:tcPr>
            <w:tcW w:w="4876" w:type="dxa"/>
            <w:hideMark/>
          </w:tcPr>
          <w:p w:rsidR="004F7E2E" w:rsidRPr="00A33471" w:rsidRDefault="0057760C" w:rsidP="0059240D">
            <w:pPr>
              <w:pStyle w:val="Normal6"/>
              <w:rPr>
                <w:szCs w:val="24"/>
              </w:rPr>
            </w:pPr>
            <w:r>
              <w:t>1.</w:t>
            </w:r>
            <w:r>
              <w:tab/>
              <w:t xml:space="preserve">Komise je zmocněna přijímat akty v přenesené pravomoci v souladu s článkem 55, pokud jde o opatření přijatá NEAFC </w:t>
            </w:r>
            <w:r>
              <w:rPr>
                <w:b/>
                <w:i/>
              </w:rPr>
              <w:t>s ohledem na</w:t>
            </w:r>
            <w:r>
              <w:t>:</w:t>
            </w:r>
          </w:p>
        </w:tc>
      </w:tr>
    </w:tbl>
    <w:p w:rsidR="004F7E2E" w:rsidRPr="00A33471" w:rsidRDefault="0057760C" w:rsidP="004F7E2E">
      <w:pPr>
        <w:pStyle w:val="Olang"/>
        <w:rPr>
          <w:sz w:val="24"/>
          <w:szCs w:val="24"/>
        </w:rPr>
      </w:pPr>
      <w:r w:rsidRPr="00A33471">
        <w:rPr>
          <w:sz w:val="24"/>
          <w:szCs w:val="24"/>
        </w:rPr>
        <w:t xml:space="preserve">Or. </w:t>
      </w:r>
      <w:r w:rsidRPr="00A33471">
        <w:rPr>
          <w:rStyle w:val="HideTWBExt"/>
        </w:rPr>
        <w:t>&lt;Original&gt;</w:t>
      </w:r>
      <w:r w:rsidRPr="00A33471">
        <w:rPr>
          <w:rStyle w:val="HideTWBInt"/>
          <w:sz w:val="24"/>
          <w:szCs w:val="24"/>
        </w:rPr>
        <w:t>{EN}</w:t>
      </w:r>
      <w:r w:rsidRPr="00A33471">
        <w:rPr>
          <w:sz w:val="24"/>
          <w:szCs w:val="24"/>
        </w:rPr>
        <w:t>en</w:t>
      </w:r>
      <w:r w:rsidRPr="00A33471">
        <w:rPr>
          <w:rStyle w:val="HideTWBExt"/>
        </w:rPr>
        <w:t>&lt;/Original&gt;</w:t>
      </w:r>
    </w:p>
    <w:p w:rsidR="004F7E2E" w:rsidRPr="00A33471" w:rsidRDefault="0057760C" w:rsidP="004F7E2E">
      <w:pPr>
        <w:rPr>
          <w:szCs w:val="24"/>
        </w:rPr>
      </w:pPr>
      <w:r>
        <w:rPr>
          <w:rStyle w:val="HideTWBExt"/>
        </w:rPr>
        <w:t>&lt;/Amend&gt;&lt;/RepeatBlock-Amend&gt;</w:t>
      </w:r>
    </w:p>
    <w:p w:rsidR="004F7E2E" w:rsidRPr="00A33471" w:rsidRDefault="004F7E2E" w:rsidP="004F7E2E"/>
    <w:p w:rsidR="004F7E2E" w:rsidRPr="00A33471" w:rsidRDefault="0057760C" w:rsidP="004F7E2E">
      <w:pPr>
        <w:widowControl/>
      </w:pPr>
      <w:r>
        <w:br w:type="page"/>
      </w:r>
    </w:p>
    <w:p w:rsidR="004F7E2E" w:rsidRPr="00A33471" w:rsidRDefault="0057760C" w:rsidP="004F7E2E">
      <w:pPr>
        <w:pStyle w:val="PageHeading"/>
      </w:pPr>
      <w:bookmarkStart w:id="2" w:name="_Toc150421761"/>
      <w:bookmarkStart w:id="3" w:name="_Toc151561556"/>
      <w:r>
        <w:t>VYSVĚTLUJÍCÍ PROHLÁŠENÍ</w:t>
      </w:r>
      <w:bookmarkEnd w:id="2"/>
      <w:bookmarkEnd w:id="3"/>
    </w:p>
    <w:p w:rsidR="004F7E2E" w:rsidRPr="00A33471" w:rsidRDefault="0057760C" w:rsidP="004F7E2E">
      <w:pPr>
        <w:pStyle w:val="NormalWeb"/>
        <w:spacing w:before="240" w:beforeAutospacing="0" w:after="240" w:afterAutospacing="0"/>
        <w:jc w:val="both"/>
        <w:rPr>
          <w:sz w:val="28"/>
        </w:rPr>
      </w:pPr>
      <w:r>
        <w:rPr>
          <w:color w:val="000000"/>
        </w:rPr>
        <w:t>Zpravodaj vítá navrhované nařízení, které shrnuje opatření pro zachování, řízení a kontrolu přijatá Komisí pro rybolov v severovýchodním Atlantiku (NEAFC) a tato opatření provádí do práva Unie. Aby se zajistilo udržitelné využívání biologických mořských zdrojů a rovné podmínky v oblasti upravené úmluvou NEAFC, mělo by být provedení všech doporučení do práva Evropské unie urychleně dokončeno.</w:t>
      </w:r>
    </w:p>
    <w:p w:rsidR="004F7E2E" w:rsidRPr="00A33471" w:rsidRDefault="0057760C" w:rsidP="004F7E2E">
      <w:pPr>
        <w:pStyle w:val="NormalWeb"/>
        <w:spacing w:before="240" w:beforeAutospacing="0" w:after="240" w:afterAutospacing="0"/>
        <w:jc w:val="both"/>
        <w:rPr>
          <w:sz w:val="28"/>
        </w:rPr>
      </w:pPr>
      <w:r>
        <w:rPr>
          <w:color w:val="000000"/>
        </w:rPr>
        <w:t>NEAFC hraje významnou úlohu při regulaci a zachování mořských zdrojů, dohledu nad rybolovnými činnostmi a při ochraně křehkých ekosystémů v této oblasti. Díky začlenění doporučení NEAFC do práva Unie mohou plavidla EU zajistit, aby jejich rybolovné postupy byly v souladu s mezinárodními dohodami a závazky, čímž se podpoří odpovědné řízení rybolovu šetrné k životnímu prostředí. Provedení těchto opatření usnadní spolupráci mezi členskými státy EU a mezinárodními partnery a posílí naše společné odhodlání bojovat proti nadměrnému rybolovu, chránit zranitelné druhy i ekosystémy a zachovat dlouhodobou životaschopnost rybolovu v severovýchodním Atlantiku.</w:t>
      </w:r>
    </w:p>
    <w:p w:rsidR="004F7E2E" w:rsidRPr="00A33471" w:rsidRDefault="0057760C" w:rsidP="004F7E2E">
      <w:pPr>
        <w:pStyle w:val="NormalWeb"/>
        <w:spacing w:before="240" w:beforeAutospacing="0" w:after="240" w:afterAutospacing="0"/>
        <w:jc w:val="both"/>
        <w:rPr>
          <w:sz w:val="28"/>
        </w:rPr>
      </w:pPr>
      <w:r>
        <w:rPr>
          <w:color w:val="000000"/>
        </w:rPr>
        <w:t>Zpravodaj by rovněž rád zdůraznil význam cílů společné rybářské politiky, zejména závazků této politiky v oblasti životního prostředí týkajících se situace, kdy plavidla EU loví ve vodách mimo EU, a že je důležité dodržovat příslušná pravidla regionálních organizací pro řízení rybolovu (RMFO). Jsou-li pravidla společné rybářské politiky řádně prováděna, poskytují ambiciózní a udržitelný přístup k řízení rybolovu.</w:t>
      </w:r>
    </w:p>
    <w:p w:rsidR="004F7E2E" w:rsidRPr="00A33471" w:rsidRDefault="0057760C" w:rsidP="004F7E2E">
      <w:pPr>
        <w:pStyle w:val="NormalWeb"/>
        <w:spacing w:before="240" w:beforeAutospacing="0" w:after="240" w:afterAutospacing="0"/>
        <w:jc w:val="both"/>
        <w:rPr>
          <w:sz w:val="28"/>
        </w:rPr>
      </w:pPr>
      <w:r>
        <w:rPr>
          <w:color w:val="000000"/>
        </w:rPr>
        <w:t>V roce 2022 měla Unie 301 rybářských plavidel oprávněných působit v oblasti upravené předpisy NEAFC, tj. mimo vody spadající do rybářské jurisdikce smluvních stran. Skutečné rybolovné operace Unie v mezinárodních vodách však jsou poměrně omezené, přičemž nejvýznamnější rybolovnou činnost v těchto oblastech v současnosti vykonává Litva, Lotyšsko a Estonsko, a to konkrétně v Barentsově moři. Některá plavidla Unie z Portugalska, Španělska, Francie a Nizozemska působí v menší míře také v jiných oblastech. Převážná většina rybolovné činnosti je tedy soustředěna ve vodách Unie.</w:t>
      </w:r>
    </w:p>
    <w:p w:rsidR="004F7E2E" w:rsidRPr="00A33471" w:rsidRDefault="0057760C" w:rsidP="004F7E2E">
      <w:pPr>
        <w:pStyle w:val="NormalWeb"/>
        <w:spacing w:before="240" w:beforeAutospacing="0" w:after="240" w:afterAutospacing="0"/>
        <w:jc w:val="both"/>
        <w:rPr>
          <w:color w:val="000000"/>
          <w:szCs w:val="22"/>
        </w:rPr>
      </w:pPr>
      <w:r>
        <w:rPr>
          <w:color w:val="000000"/>
        </w:rPr>
        <w:t>Zpravodaj konstatuje, že hlava III navrhovaného nařízení provádí dohodnuté závěry konzultací o rybolovu mezi Norskem, EU, Faerskými ostrovy, Grónskem, Islandem a Spojeným královstvím týkající se kontrolních opatření pro lov pelagických druhů v severovýchodním Atlantiku z listopadu 2022. Pět ze šesti smluvních stran NEAFC souhlasilo s tím, že podpoří dohled nad vykládkami prostřednictvím kamer a senzorů v omezeném počtu zařízení pro vykládku a zpracování, kterými každý rok projde více než 3 000 tun některých druhů. Je proto logické začlenit tato ustanovení i do tohoto nařízení, aby se zabránilo jakýmkoli zpožděním a</w:t>
      </w:r>
      <w:r w:rsidR="007846BB">
        <w:rPr>
          <w:color w:val="000000"/>
        </w:rPr>
        <w:t> </w:t>
      </w:r>
      <w:r>
        <w:rPr>
          <w:color w:val="000000"/>
        </w:rPr>
        <w:t>aby se zajistilo, že členské státy přístavu budou mít dostatek času připravit se na provádění již dohodnutých opatření ještě před datem jejich použitelnosti, tj. před 1. lednem 2026. Nejenže toto nařízení podporuje rovné podmínky, ale slouží také jako důkaz toho, že je EU zavázána plnit své mezinárodní závazky vůči našim globálním partnerům.</w:t>
      </w:r>
    </w:p>
    <w:p w:rsidR="002669B6" w:rsidRPr="004E0E48" w:rsidRDefault="002669B6" w:rsidP="004F7E2E">
      <w:pPr>
        <w:pStyle w:val="AmNumberTabs"/>
        <w:keepNext/>
      </w:pPr>
    </w:p>
    <w:sectPr w:rsidR="002669B6" w:rsidRPr="004E0E48" w:rsidSect="0045574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5E56" w:rsidRDefault="0057760C">
      <w:r>
        <w:separator/>
      </w:r>
    </w:p>
  </w:endnote>
  <w:endnote w:type="continuationSeparator" w:id="0">
    <w:p w:rsidR="002D5E56" w:rsidRDefault="005776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4E0E48" w:rsidRDefault="0057760C" w:rsidP="00F07062">
    <w:pPr>
      <w:pStyle w:val="EPFooter"/>
    </w:pPr>
    <w:r w:rsidRPr="004E0E48">
      <w:t>PE</w:t>
    </w:r>
    <w:r w:rsidRPr="004E0E48">
      <w:rPr>
        <w:rStyle w:val="HideTWBExt"/>
      </w:rPr>
      <w:t>&lt;NoPE&gt;</w:t>
    </w:r>
    <w:r w:rsidR="004F7E2E" w:rsidRPr="004F7E2E">
      <w:t>756.019</w:t>
    </w:r>
    <w:r w:rsidRPr="004E0E48">
      <w:rPr>
        <w:rStyle w:val="HideTWBExt"/>
      </w:rPr>
      <w:t>&lt;/NoPE&gt;&lt;Version&gt;</w:t>
    </w:r>
    <w:r w:rsidR="004E0E48" w:rsidRPr="004E0E48">
      <w:t>v</w:t>
    </w:r>
    <w:r w:rsidR="004F7E2E" w:rsidRPr="004F7E2E">
      <w:t>01-00</w:t>
    </w:r>
    <w:r w:rsidRPr="004E0E48">
      <w:rPr>
        <w:rStyle w:val="HideTWBExt"/>
      </w:rPr>
      <w:t>&lt;/Version&gt;</w:t>
    </w:r>
    <w:r w:rsidRPr="004E0E48">
      <w:tab/>
    </w:r>
    <w:r w:rsidR="00914537" w:rsidRPr="004E0E48">
      <w:fldChar w:fldCharType="begin"/>
    </w:r>
    <w:r w:rsidR="00914537" w:rsidRPr="004E0E48">
      <w:instrText xml:space="preserve"> PAGE </w:instrText>
    </w:r>
    <w:r w:rsidR="00914537" w:rsidRPr="004E0E48">
      <w:fldChar w:fldCharType="separate"/>
    </w:r>
    <w:r w:rsidR="007846BB">
      <w:rPr>
        <w:noProof/>
      </w:rPr>
      <w:t>2</w:t>
    </w:r>
    <w:r w:rsidR="00914537" w:rsidRPr="004E0E48">
      <w:fldChar w:fldCharType="end"/>
    </w:r>
    <w:r w:rsidR="00914537" w:rsidRPr="004E0E48">
      <w:t>/</w:t>
    </w:r>
    <w:r w:rsidR="00914537" w:rsidRPr="004E0E48">
      <w:rPr>
        <w:rStyle w:val="PageNumber"/>
      </w:rPr>
      <w:fldChar w:fldCharType="begin"/>
    </w:r>
    <w:r w:rsidR="00914537" w:rsidRPr="004E0E48">
      <w:rPr>
        <w:rStyle w:val="PageNumber"/>
      </w:rPr>
      <w:instrText xml:space="preserve"> NUMPAGES </w:instrText>
    </w:r>
    <w:r w:rsidR="00914537" w:rsidRPr="004E0E48">
      <w:rPr>
        <w:rStyle w:val="PageNumber"/>
      </w:rPr>
      <w:fldChar w:fldCharType="separate"/>
    </w:r>
    <w:r w:rsidR="007846BB">
      <w:rPr>
        <w:rStyle w:val="PageNumber"/>
        <w:noProof/>
      </w:rPr>
      <w:t>9</w:t>
    </w:r>
    <w:r w:rsidR="00914537" w:rsidRPr="004E0E48">
      <w:rPr>
        <w:rStyle w:val="PageNumber"/>
      </w:rPr>
      <w:fldChar w:fldCharType="end"/>
    </w:r>
    <w:r w:rsidRPr="004E0E48">
      <w:tab/>
    </w:r>
    <w:r w:rsidRPr="004E0E48">
      <w:rPr>
        <w:rStyle w:val="HideTWBExt"/>
      </w:rPr>
      <w:t>&lt;PathFdR&gt;</w:t>
    </w:r>
    <w:r w:rsidR="004F7E2E" w:rsidRPr="004F7E2E">
      <w:t>PR\1289738CS.docx</w:t>
    </w:r>
    <w:r w:rsidRPr="004E0E48">
      <w:rPr>
        <w:rStyle w:val="HideTWBExt"/>
      </w:rPr>
      <w:t>&lt;/PathFdR&gt;</w:t>
    </w:r>
  </w:p>
  <w:p w:rsidR="00FB52FE" w:rsidRPr="004E0E48" w:rsidRDefault="0057760C">
    <w:pPr>
      <w:pStyle w:val="EPFooter2"/>
    </w:pPr>
    <w:fldSimple w:instr=" DOCPROPERTY &quot;&lt;Extension&gt;&quot; ">
      <w:r w:rsidR="007846BB">
        <w:t>CS</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4E0E48" w:rsidRDefault="0057760C" w:rsidP="00F07062">
    <w:pPr>
      <w:pStyle w:val="EPFooter"/>
    </w:pPr>
    <w:r w:rsidRPr="004E0E48">
      <w:rPr>
        <w:rStyle w:val="HideTWBExt"/>
      </w:rPr>
      <w:t>&lt;PathFdR&gt;</w:t>
    </w:r>
    <w:r w:rsidR="004F7E2E" w:rsidRPr="004F7E2E">
      <w:t>PR\1289738CS.docx</w:t>
    </w:r>
    <w:r w:rsidRPr="004E0E48">
      <w:rPr>
        <w:rStyle w:val="HideTWBExt"/>
      </w:rPr>
      <w:t>&lt;/PathFdR&gt;</w:t>
    </w:r>
    <w:r w:rsidRPr="004E0E48">
      <w:tab/>
    </w:r>
    <w:r w:rsidR="00914537" w:rsidRPr="004E0E48">
      <w:fldChar w:fldCharType="begin"/>
    </w:r>
    <w:r w:rsidR="00914537" w:rsidRPr="004E0E48">
      <w:instrText xml:space="preserve"> PAGE </w:instrText>
    </w:r>
    <w:r w:rsidR="00914537" w:rsidRPr="004E0E48">
      <w:fldChar w:fldCharType="separate"/>
    </w:r>
    <w:r w:rsidR="007846BB">
      <w:rPr>
        <w:noProof/>
      </w:rPr>
      <w:t>7</w:t>
    </w:r>
    <w:r w:rsidR="00914537" w:rsidRPr="004E0E48">
      <w:fldChar w:fldCharType="end"/>
    </w:r>
    <w:r w:rsidR="00914537" w:rsidRPr="004E0E48">
      <w:t>/</w:t>
    </w:r>
    <w:r w:rsidR="00914537" w:rsidRPr="004E0E48">
      <w:rPr>
        <w:rStyle w:val="PageNumber"/>
      </w:rPr>
      <w:fldChar w:fldCharType="begin"/>
    </w:r>
    <w:r w:rsidR="00914537" w:rsidRPr="004E0E48">
      <w:rPr>
        <w:rStyle w:val="PageNumber"/>
      </w:rPr>
      <w:instrText xml:space="preserve"> NUMPAGES </w:instrText>
    </w:r>
    <w:r w:rsidR="00914537" w:rsidRPr="004E0E48">
      <w:rPr>
        <w:rStyle w:val="PageNumber"/>
      </w:rPr>
      <w:fldChar w:fldCharType="separate"/>
    </w:r>
    <w:r w:rsidR="007846BB">
      <w:rPr>
        <w:rStyle w:val="PageNumber"/>
        <w:noProof/>
      </w:rPr>
      <w:t>9</w:t>
    </w:r>
    <w:r w:rsidR="00914537" w:rsidRPr="004E0E48">
      <w:rPr>
        <w:rStyle w:val="PageNumber"/>
      </w:rPr>
      <w:fldChar w:fldCharType="end"/>
    </w:r>
    <w:r w:rsidRPr="004E0E48">
      <w:tab/>
      <w:t>PE</w:t>
    </w:r>
    <w:r w:rsidRPr="004E0E48">
      <w:rPr>
        <w:rStyle w:val="HideTWBExt"/>
      </w:rPr>
      <w:t>&lt;NoPE&gt;</w:t>
    </w:r>
    <w:r w:rsidR="004F7E2E" w:rsidRPr="004F7E2E">
      <w:t>756.019</w:t>
    </w:r>
    <w:r w:rsidRPr="004E0E48">
      <w:rPr>
        <w:rStyle w:val="HideTWBExt"/>
      </w:rPr>
      <w:t>&lt;/NoPE&gt;&lt;Version&gt;</w:t>
    </w:r>
    <w:r w:rsidR="004E0E48" w:rsidRPr="004E0E48">
      <w:t>v</w:t>
    </w:r>
    <w:r w:rsidR="004F7E2E" w:rsidRPr="004F7E2E">
      <w:t>01-00</w:t>
    </w:r>
    <w:r w:rsidRPr="004E0E48">
      <w:rPr>
        <w:rStyle w:val="HideTWBExt"/>
      </w:rPr>
      <w:t>&lt;/Version&gt;</w:t>
    </w:r>
  </w:p>
  <w:p w:rsidR="00FB52FE" w:rsidRPr="004E0E48" w:rsidRDefault="0057760C">
    <w:pPr>
      <w:pStyle w:val="EPFooter2"/>
    </w:pPr>
    <w:r w:rsidRPr="004E0E48">
      <w:tab/>
    </w:r>
    <w:r w:rsidRPr="004E0E48">
      <w:tab/>
    </w:r>
    <w:r w:rsidR="007846BB">
      <w:fldChar w:fldCharType="begin"/>
    </w:r>
    <w:r w:rsidR="007846BB">
      <w:instrText xml:space="preserve"> DOCPROPERTY "&lt;Extension&gt;" </w:instrText>
    </w:r>
    <w:r w:rsidR="007846BB">
      <w:fldChar w:fldCharType="separate"/>
    </w:r>
    <w:r w:rsidR="007846BB">
      <w:t>CS</w:t>
    </w:r>
    <w:r w:rsidR="007846BB">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4E0E48" w:rsidRDefault="0057760C" w:rsidP="00F07062">
    <w:pPr>
      <w:pStyle w:val="EPFooter"/>
    </w:pPr>
    <w:r w:rsidRPr="004E0E48">
      <w:rPr>
        <w:rStyle w:val="HideTWBExt"/>
      </w:rPr>
      <w:t>&lt;PathFdR&gt;</w:t>
    </w:r>
    <w:r w:rsidR="004F7E2E" w:rsidRPr="004F7E2E">
      <w:t>PR\1289738CS.docx</w:t>
    </w:r>
    <w:r w:rsidRPr="004E0E48">
      <w:rPr>
        <w:rStyle w:val="HideTWBExt"/>
      </w:rPr>
      <w:t>&lt;/PathFdR&gt;</w:t>
    </w:r>
    <w:r w:rsidRPr="004E0E48">
      <w:tab/>
    </w:r>
    <w:r w:rsidRPr="004E0E48">
      <w:tab/>
      <w:t>PE</w:t>
    </w:r>
    <w:r w:rsidRPr="004E0E48">
      <w:rPr>
        <w:rStyle w:val="HideTWBExt"/>
      </w:rPr>
      <w:t>&lt;NoPE&gt;</w:t>
    </w:r>
    <w:r w:rsidR="004F7E2E" w:rsidRPr="004F7E2E">
      <w:t>756.019</w:t>
    </w:r>
    <w:r w:rsidRPr="004E0E48">
      <w:rPr>
        <w:rStyle w:val="HideTWBExt"/>
      </w:rPr>
      <w:t>&lt;/NoPE&gt;&lt;Version&gt;</w:t>
    </w:r>
    <w:r w:rsidR="004E0E48" w:rsidRPr="004E0E48">
      <w:t>v</w:t>
    </w:r>
    <w:r w:rsidR="004F7E2E" w:rsidRPr="004F7E2E">
      <w:t>01-00</w:t>
    </w:r>
    <w:r w:rsidRPr="004E0E48">
      <w:rPr>
        <w:rStyle w:val="HideTWBExt"/>
      </w:rPr>
      <w:t>&lt;/Version&gt;</w:t>
    </w:r>
  </w:p>
  <w:p w:rsidR="00FB52FE" w:rsidRPr="004E0E48" w:rsidRDefault="0057760C" w:rsidP="00461601">
    <w:pPr>
      <w:pStyle w:val="EPFooter2"/>
      <w:tabs>
        <w:tab w:val="clear" w:pos="4535"/>
        <w:tab w:val="center" w:pos="4536"/>
      </w:tabs>
    </w:pPr>
    <w:fldSimple w:instr=" DOCPROPERTY &quot;&lt;Extension&gt;&quot; ">
      <w:r w:rsidR="007846BB">
        <w:t>CS</w:t>
      </w:r>
    </w:fldSimple>
    <w:r w:rsidRPr="004E0E48">
      <w:tab/>
    </w:r>
    <w:r w:rsidR="004F7E2E">
      <w:rPr>
        <w:b w:val="0"/>
        <w:i/>
        <w:color w:val="C0C0C0"/>
        <w:sz w:val="22"/>
        <w:szCs w:val="22"/>
      </w:rPr>
      <w:t>Jednotná v rozmanitosti</w:t>
    </w:r>
    <w:r w:rsidRPr="004E0E48">
      <w:tab/>
    </w:r>
    <w:fldSimple w:instr=" DOCPROPERTY &quot;&lt;Extension&gt;&quot; ">
      <w:r w:rsidR="007846BB">
        <w:t>CS</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0E48" w:rsidRPr="004E0E48" w:rsidRDefault="0057760C">
      <w:r w:rsidRPr="004E0E48">
        <w:separator/>
      </w:r>
    </w:p>
  </w:footnote>
  <w:footnote w:type="continuationSeparator" w:id="0">
    <w:p w:rsidR="004E0E48" w:rsidRPr="004E0E48" w:rsidRDefault="0057760C">
      <w:r w:rsidRPr="004E0E48">
        <w:continuationSeparator/>
      </w:r>
    </w:p>
  </w:footnote>
  <w:footnote w:id="1">
    <w:p w:rsidR="004F7E2E" w:rsidRPr="00A33471" w:rsidRDefault="0057760C" w:rsidP="004F7E2E">
      <w:pPr>
        <w:pStyle w:val="FootnoteText"/>
      </w:pPr>
      <w:r>
        <w:rPr>
          <w:rStyle w:val="FootnoteReference"/>
        </w:rPr>
        <w:footnoteRef/>
      </w:r>
      <w:r>
        <w:t xml:space="preserve"> Dosud nezveřejněné v Úředním věstníku.</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E2E" w:rsidRDefault="004F7E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E2E" w:rsidRDefault="004F7E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E2E" w:rsidRDefault="004F7E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MKEY" w:val="PECH"/>
    <w:docVar w:name="DOCMNU" w:val=" 1"/>
    <w:docVar w:name="EPSTATMNU" w:val=" 5"/>
    <w:docVar w:name="INSTITUTIONSMNU" w:val=" 2"/>
    <w:docVar w:name="JURI1MNU" w:val=" 2"/>
    <w:docVar w:name="JURI2MNU" w:val=" 2"/>
    <w:docVar w:name="LastEditedSection" w:val=" 1"/>
    <w:docVar w:name="OTHERSTATMNU" w:val=" 4"/>
    <w:docVar w:name="PARLIAMENTSMNU" w:val=" 2"/>
    <w:docVar w:name="RepeatBlock-Amend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5\fbidi \froman\fcharset238\fprq2 Times New Roman CE;}{\f306\fbidi \froman\fcharset204\fprq2 Times New Roman Cyr;}_x000d__x000a_{\f308\fbidi \froman\fcharset161\fprq2 Times New Roman Greek;}{\f309\fbidi \froman\fcharset162\fprq2 Times New Roman Tur;}{\f310\fbidi \froman\fcharset177\fprq2 Times New Roman (Hebrew);}{\f311\fbidi \froman\fcharset178\fprq2 Times New Roman (Arabic);}_x000d__x000a_{\f312\fbidi \froman\fcharset186\fprq2 Times New Roman Baltic;}{\f313\fbidi \froman\fcharset163\fprq2 Times New Roman (Vietnamese);}{\f315\fbidi \fswiss\fcharset238\fprq2 Arial CE;}{\f316\fbidi \fswiss\fcharset204\fprq2 Arial Cyr;}_x000d__x000a_{\f318\fbidi \fswiss\fcharset161\fprq2 Arial Greek;}{\f319\fbidi \fswiss\fcharset162\fprq2 Arial Tur;}{\f320\fbidi \fswiss\fcharset177\fprq2 Arial (Hebrew);}{\f321\fbidi \fswiss\fcharset178\fprq2 Arial (Arabic);}_x000d__x000a_{\f322\fbidi \fswiss\fcharset186\fprq2 Arial Baltic;}{\f323\fbidi \fswiss\fcharset163\fprq2 Arial (Vietnamese);}{\f645\fbidi \froman\fcharset238\fprq2 Cambria Math CE;}{\f646\fbidi \froman\fcharset204\fprq2 Cambria Math Cyr;}_x000d__x000a_{\f648\fbidi \froman\fcharset161\fprq2 Cambria Math Greek;}{\f649\fbidi \froman\fcharset162\fprq2 Cambria Math Tur;}{\f652\fbidi \froman\fcharset186\fprq2 Cambria Math Baltic;}{\f65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02938 HideTWBExt;}{\*\cs18 \additive \v\f1\fs20\cf15 _x000d__x000a_\spriority0 \styrsid2502938 HideTWBInt;}{\s19\ql \li0\ri0\sa120\nowidctlpar\wrapdefault\aspalpha\aspnum\faauto\adjustright\rin0\lin0\itap0 \rtlch\fcs1 \af0\afs20\alang1025 \ltrch\fcs0 \fs24\lang1029\langfe2057\cgrid\langnp1029\langfenp2057 _x000d__x000a_\sbasedon0 \snext19 \spriority0 \styrsid2502938 Normal6a;}{\s20\ql \li0\ri0\nowidctlpar\wrapdefault\aspalpha\aspnum\faauto\adjustright\rin0\lin0\itap0 \rtlch\fcs1 \af0\afs20\alang1025 \ltrch\fcs0 \b\fs24\lang1029\langfe2057\cgrid\langnp1029\langfenp2057 _x000d__x000a_\sbasedon0 \snext20 \spriority0 \styrsid2502938 NormalBold;}{\s21\ql \li0\ri0\sa240\nowidctlpar\wrapdefault\aspalpha\aspnum\faauto\adjustright\rin0\lin0\itap0 \rtlch\fcs1 \af0\afs20\alang1025 \ltrch\fcs0 _x000d__x000a_\i\fs24\lang1029\langfe2057\cgrid\langnp1029\langfenp2057 \sbasedon0 \snext21 \spriority0 \styrsid2502938 AmJustText;}{\s22\qc \li0\ri0\sb240\sa240\nowidctlpar\wrapdefault\aspalpha\aspnum\faauto\adjustright\rin0\lin0\itap0 \rtlch\fcs1 _x000d__x000a_\af0\afs20\alang1025 \ltrch\fcs0 \i\fs24\lang1029\langfe2057\cgrid\langnp1029\langfenp2057 \sbasedon0 \snext22 \spriority0 \styrsid2502938 AmCrossRef;}{_x000d__x000a_\s23\qc \li0\ri0\sb240\sa240\keepn\nowidctlpar\wrapdefault\aspalpha\aspnum\faauto\adjustright\rin0\lin0\itap0 \rtlch\fcs1 \af0\afs20\alang1025 \ltrch\fcs0 \i\fs24\lang1029\langfe2057\cgrid\langnp1029\langfenp2057 _x000d__x000a_\sbasedon0 \snext21 \spriority0 \styrsid2502938 AmJustTitle;}{\s24\qr \li0\ri0\sb240\sa240\nowidctlpar\wrapdefault\aspalpha\aspnum\faauto\adjustright\rin0\lin0\itap0 \rtlch\fcs1 \af0\afs20\alang1025 \ltrch\fcs0 _x000d__x000a_\fs24\lang1029\langfe2057\cgrid\langnp1029\langfenp2057 \sbasedon0 \snext24 \spriority0 \styrsid2502938 AmOrLang;}{\s25\qc \li0\ri0\sa240\nowidctlpar\wrapdefault\aspalpha\aspnum\faauto\adjustright\rin0\lin0\itap0 \rtlch\fcs1 \af0\afs20\alang1025 _x000d__x000a_\ltrch\fcs0 \i\fs24\lang1029\langfe2057\cgrid\langnp1029\langfenp2057 \sbasedon0 \snext25 \spriority0 \styrsid250293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6 \spriority0 \styrsid2502938 AmNumberTabs;}{\s27\ql \li0\ri0\sb240\nowidctlpar\wrapdefault\aspalpha\aspnum\faauto\adjustright\rin0\lin0\itap0 \rtlch\fcs1 _x000d__x000a_\af0\afs20\alang1025 \ltrch\fcs0 \b\fs24\lang1029\langfe2057\cgrid\langnp1029\langfenp2057 \sbasedon0 \snext27 \spriority0 \styrsid2502938 NormalBold12b;}}{\*\rsidtbl \rsid24658\rsid223860\rsid735077\rsid1718133\rsid2502938\rsid2892074\rsid3565327_x000d__x000a_\rsid4666813\rsid6641733\rsid7823322\rsid9636012\rsid9766112\rsid10377208\rsid11215221\rsid11549030\rsid12154954\rsid14382809\rsid14424199\rsid15204470\rsid15285974\rsid15950462\rsid16324206\rsid16662270}{\mmathPr\mmathFont34\mbrkBin0\mbrkBinSub0_x000d__x000a_\msmallFrac0\mdispDef1\mlMargin0\mrMargin0\mdefJc1\mwrapIndent1440\mintLim0\mnaryLim1}{\info{\author SODOMKOVA Renata}{\operator SODOMKOVA Renata}{\creatim\yr2022\mo12\dy19\hr10\min29}{\revtim\yr2022\mo12\dy19\hr10\min29}{\version1}{\edmins0}{\nofpages1}_x000d__x000a_{\nofwords102}{\nofchars602}{\nofcharsws69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02938\newtblstyruls\nogrowautofit\usenormstyforlist\noindnmbrts\felnbrelev\nocxsptable\indrlsweleven\noafcnsttbl\afelev\utinl\hwelev\spltpgpar\notcvasp\notbrkcnstfrctbl\notvatxbx\krnprsnet\cachedcolbal _x000d__x000a_\nouicompat \fet0{\*\wgrffmtfilter 013f}\nofeaturethrottle1\ilfomacatclnup0{\*\template C:\\Users\\RSODOM~1\\AppData\\Local\\Temp\\Blank1.dotx}{\*\ftnsep \ltrpar \pard\plain \ltrpar_x000d__x000a_\ql \li0\ri0\widctlpar\wrapdefault\aspalpha\aspnum\faauto\adjustright\rin0\lin0\itap0 \rtlch\fcs1 \af0\afs20\alang1025 \ltrch\fcs0 \fs24\lang2057\langfe2057\cgrid\langnp2057\langfenp2057 {\rtlch\fcs1 \af0 \ltrch\fcs0 \insrsid9766112 \chftnsep _x000d__x000a_\par }}{\*\ftnsepc \ltrpar \pard\plain \ltrpar\ql \li0\ri0\widctlpar\wrapdefault\aspalpha\aspnum\faauto\adjustright\rin0\lin0\itap0 \rtlch\fcs1 \af0\afs20\alang1025 \ltrch\fcs0 \fs24\lang2057\langfe2057\cgrid\langnp2057\langfenp2057 {\rtlch\fcs1 \af0 _x000d__x000a_\ltrch\fcs0 \insrsid9766112 \chftnsepc _x000d__x000a_\par }}{\*\aftnsep \ltrpar \pard\plain \ltrpar\ql \li0\ri0\widctlpar\wrapdefault\aspalpha\aspnum\faauto\adjustright\rin0\lin0\itap0 \rtlch\fcs1 \af0\afs20\alang1025 \ltrch\fcs0 \fs24\lang2057\langfe2057\cgrid\langnp2057\langfenp2057 {\rtlch\fcs1 \af0 _x000d__x000a_\ltrch\fcs0 \insrsid9766112 \chftnsep _x000d__x000a_\par }}{\*\aftnsepc \ltrpar \pard\plain \ltrpar\ql \li0\ri0\widctlpar\wrapdefault\aspalpha\aspnum\faauto\adjustright\rin0\lin0\itap0 \rtlch\fcs1 \af0\afs20\alang1025 \ltrch\fcs0 \fs24\lang2057\langfe2057\cgrid\langnp2057\langfenp2057 {\rtlch\fcs1 \af0 _x000d__x000a_\ltrch\fcs0 \insrsid97661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502938 \rtlch\fcs1 _x000d__x000a_\af0\afs20\alang1025 \ltrch\fcs0 \b\fs24\lang1029\langfe2057\cgrid\langnp1029\langfenp2057 {\rtlch\fcs1 \af0 \ltrch\fcs0 \cs17\b0\v\fs20\cf9\lang1024\langfe1024\loch\af1\hich\af1\dbch\af31501\noproof\insrsid2502938\charrsid9897960 {\*\bkmkstart restart}_x000d__x000a_\hich\af1\dbch\af31501\loch\f1 &lt;Amend&gt;}{\rtlch\fcs1 \af305 \ltrch\fcs0 \f305\insrsid2502938\charrsid9897960 Pozm\'ec\'f2ovac\'ed n\'e1vrh}{\rtlch\fcs1 \af0 \ltrch\fcs0 \insrsid2502938\charrsid9897960 \tab \tab }{\rtlch\fcs1 \af0 \ltrch\fcs0 _x000d__x000a_\cs17\b0\v\fs20\cf9\lang1024\langfe1024\loch\af1\hich\af1\dbch\af31501\noproof\insrsid2502938\charrsid9897960 \hich\af1\dbch\af31501\loch\f1 &lt;NumAm&gt;}{\rtlch\fcs1 \af0 \ltrch\fcs0 \insrsid2502938\charrsid9897960 #}{\rtlch\fcs1 \af1 \ltrch\fcs0 _x000d__x000a_\cs18\v\f1\fs20\cf15\insrsid2502938\charrsid9897960 ENMIENDA@NRAM@}{\rtlch\fcs1 \af0 \ltrch\fcs0 \insrsid2502938\charrsid9897960 #}{\rtlch\fcs1 \af0 \ltrch\fcs0 _x000d__x000a_\cs17\b0\v\fs20\cf9\lang1024\langfe1024\loch\af1\hich\af1\dbch\af31501\noproof\insrsid2502938\charrsid9897960 \hich\af1\dbch\af31501\loch\f1 &lt;/NumAm&gt;}{\rtlch\fcs1 \af0 \ltrch\fcs0 \insrsid2502938\charrsid9897960 _x000d__x000a_\par }\pard\plain \ltrpar\s27\ql \li0\ri0\sb240\keepn\nowidctlpar\wrapdefault\aspalpha\aspnum\faauto\adjustright\rin0\lin0\itap0\pararsid2502938 \rtlch\fcs1 \af0\afs20\alang1025 \ltrch\fcs0 \b\fs24\lang1029\langfe2057\cgrid\langnp1029\langfenp2057 {_x000d__x000a_\rtlch\fcs1 \af0 \ltrch\fcs0 \cs17\b0\v\fs20\cf9\lang1024\langfe1024\loch\af1\hich\af1\dbch\af31501\noproof\insrsid2502938\charrsid9897960 \hich\af1\dbch\af31501\loch\f1 &lt;DocAmend&gt;}{\rtlch\fcs1 \af0 \ltrch\fcs0 \insrsid2502938\charrsid9897960 N\'e1vrh #}{_x000d__x000a_\rtlch\fcs1 \af1 \ltrch\fcs0 \cs18\v\f1\fs20\cf15\insrsid2502938\charrsid9897960 MNU[DOC1][DOC2][DOC3]@DOCMSG@DOCMNU}{\rtlch\fcs1 \af0 \ltrch\fcs0 \insrsid2502938\charrsid9897960 ##}{\rtlch\fcs1 \af1 \ltrch\fcs0 _x000d__x000a_\cs18\v\f1\fs20\cf15\insrsid2502938\charrsid9897960 MNU[AMACTYES][NOTAPP]@CHOICE@AMACTMNU}{\rtlch\fcs1 \af0 \ltrch\fcs0 \insrsid2502938\charrsid9897960 #}{\rtlch\fcs1 \af0 \ltrch\fcs0 _x000d__x000a_\cs17\b0\v\fs20\cf9\lang1024\langfe1024\loch\af1\hich\af1\dbch\af31501\noproof\insrsid2502938\charrsid9897960 \hich\af1\dbch\af31501\loch\f1 &lt;/DocAmend&gt;}{\rtlch\fcs1 \af0 \ltrch\fcs0 \insrsid2502938\charrsid9897960 _x000d__x000a_\par }\pard\plain \ltrpar\s20\ql \li0\ri0\keepn\nowidctlpar\wrapdefault\aspalpha\aspnum\faauto\adjustright\rin0\lin0\itap0\pararsid2502938 \rtlch\fcs1 \af0\afs20\alang1025 \ltrch\fcs0 \b\fs24\lang1029\langfe2057\cgrid\langnp1029\langfenp2057 {\rtlch\fcs1 \af0 _x000d__x000a_\ltrch\fcs0 \cs17\b0\v\fs20\cf9\lang1024\langfe1024\loch\af1\hich\af1\dbch\af31501\noproof\insrsid2502938\charrsid9897960 \hich\af1\dbch\af31501\loch\f1 &lt;Article&gt;}{\rtlch\fcs1 \af0 \ltrch\fcs0 \insrsid2502938\charrsid9897960 #}{\rtlch\fcs1 \af1 _x000d__x000a_\ltrch\fcs0 \cs18\v\f1\fs20\cf15\insrsid2502938\charrsid9897960 MNU[AMACTPARTYES][AMACTPARTNO]@CHOICE@AMACTMNU}{\rtlch\fcs1 \af0 \ltrch\fcs0 \insrsid2502938\charrsid9897960 #}{\rtlch\fcs1 \af0 \ltrch\fcs0 _x000d__x000a_\cs17\b0\v\fs20\cf9\lang1024\langfe1024\loch\af1\hich\af1\dbch\af31501\noproof\insrsid2502938\charrsid9897960 \hich\af1\dbch\af31501\loch\f1 &lt;/Article&gt;}{\rtlch\fcs1 \af0 \ltrch\fcs0 \insrsid2502938\charrsid9897960 _x000d__x000a_\par }\pard\plain \ltrpar\ql \li0\ri0\keepn\widctlpar\wrapdefault\aspalpha\aspnum\faauto\adjustright\rin0\lin0\itap0\pararsid2502938 \rtlch\fcs1 \af0\afs20\alang1025 \ltrch\fcs0 \fs24\lang2057\langfe2057\cgrid\langnp2057\langfenp2057 {\rtlch\fcs1 \af0 _x000d__x000a_\ltrch\fcs0 \cs17\v\fs20\cf9\lang1024\langfe1024\loch\af1\hich\af1\dbch\af31501\noproof\langnp1029\insrsid2502938\charrsid9897960 \hich\af1\dbch\af31501\loch\f1 &lt;DocAmend2&gt;&lt;OptDel&gt;}{\rtlch\fcs1 \af0 \ltrch\fcs0 _x000d__x000a_\lang1029\langfe2057\langnp1029\insrsid2502938\charrsid9897960 #}{\rtlch\fcs1 \af1 \ltrch\fcs0 \cs18\v\f1\fs20\cf15\lang1029\langfe2057\langnp1029\insrsid2502938\charrsid9897960 MNU[OPTNRACTYES][NOTAPP]@CHOICE@AMACTMNU}{\rtlch\fcs1 \af0 \ltrch\fcs0 _x000d__x000a_\lang1029\langfe2057\langnp1029\insrsid2502938\charrsid9897960 #}{\rtlch\fcs1 \af0 \ltrch\fcs0 \cs17\v\fs20\cf9\lang1024\langfe1024\loch\af1\hich\af1\dbch\af31501\noproof\langnp1029\insrsid2502938\charrsid9897960 \hich\af1\dbch\af31501\loch\f1 _x000d__x000a_&lt;/OptDel&gt;&lt;/DocAmend2&gt;}{\rtlch\fcs1 \af0 \ltrch\fcs0 \lang1029\langfe2057\langnp1029\insrsid2502938\charrsid9897960 _x000d__x000a_\par }\pard \ltrpar\ql \li0\ri0\widctlpar\wrapdefault\aspalpha\aspnum\faauto\adjustright\rin0\lin0\itap0\pararsid2502938 {\rtlch\fcs1 \af0 \ltrch\fcs0 _x000d__x000a_\cs17\v\fs20\cf9\lang1024\langfe1024\loch\af1\hich\af1\dbch\af31501\noproof\langnp1029\insrsid2502938\charrsid9897960 \hich\af1\dbch\af31501\loch\f1 &lt;Article2&gt;&lt;OptDel&gt;}{\rtlch\fcs1 \af0 \ltrch\fcs0 _x000d__x000a_\lang1029\langfe2057\langnp1029\insrsid2502938\charrsid9897960 #}{\rtlch\fcs1 \af1 \ltrch\fcs0 \cs18\v\f1\fs20\cf15\lang1029\langfe2057\langnp1029\insrsid2502938\charrsid9897960 MNU[OPTACTPARTYES][NOTAPP]@CHOICE@AMACTMNU}{\rtlch\fcs1 \af0 \ltrch\fcs0 _x000d__x000a_\lang1029\langfe2057\langnp1029\insrsid2502938\charrsid9897960 #}{\rtlch\fcs1 \af0 \ltrch\fcs0 \cs17\v\fs20\cf9\lang1024\langfe1024\loch\af1\hich\af1\dbch\af31501\noproof\langnp1029\insrsid2502938\charrsid9897960 \hich\af1\dbch\af31501\loch\f1 _x000d__x000a_&lt;/OptDel&gt;&lt;/Article2&gt;}{\rtlch\fcs1 \af0 \ltrch\fcs0 \lang1029\langfe2057\langnp1029\insrsid2502938\charrsid9897960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lang1029\langfe2057\langnp1029\insrsid2502938\charrsid9897960 \cell }\pard\plain \ltrpar_x000d__x000a_\ql \li0\ri0\widctlpar\intbl\wrapdefault\aspalpha\aspnum\faauto\adjustright\rin0\lin0 \rtlch\fcs1 \af0\afs20\alang1025 \ltrch\fcs0 \fs24\lang2057\langfe2057\cgrid\langnp2057\langfenp2057 {\rtlch\fcs1 \af0 \ltrch\fcs0 _x000d__x000a_\lang1029\langfe2057\langnp1029\insrsid2502938\charrsid9897960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29\langfe2057\cgrid\langnp1029\langfenp2057 {\rtlch\fcs1 \af0 \ltrch\fcs0 _x000d__x000a_\insrsid2502938\charrsid9897960 #}{\rtlch\fcs1 \af1 \ltrch\fcs0 \cs18\v\f1\fs20\cf15\insrsid2502938\charrsid9897960 MNU[OPTLEFTAMACT][LEFTPROP]@CHOICE@AMACTMNU}{\rtlch\fcs1 \af0 \ltrch\fcs0 \insrsid2502938\charrsid9897960 #\cell }{\rtlch\fcs1 \af305 _x000d__x000a_\ltrch\fcs0 \f305\insrsid2502938\charrsid9897960 Pozm\'ec\'f2ovac\'ed n\'e1vrh}{\rtlch\fcs1 \af0 \ltrch\fcs0 \insrsid2502938\charrsid9897960 \cell }\pard\plain \ltrpar\ql \li0\ri0\widctlpar\intbl\wrapdefault\aspalpha\aspnum\faauto\adjustright\rin0\lin0 _x000d__x000a_\rtlch\fcs1 \af0\afs20\alang1025 \ltrch\fcs0 \fs24\lang2057\langfe2057\cgrid\langnp2057\langfenp2057 {\rtlch\fcs1 \af0 \ltrch\fcs0 \lang1029\langfe2057\langnp1029\insrsid2502938\charrsid9897960 \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1029\langfe2057\cgrid\langnp1029\langfenp2057 {\rtlch\fcs1 \af0 \ltrch\fcs0 _x000d__x000a_\insrsid2502938\charrsid9897960 ##\cell ##}{\rtlch\fcs1 \af0\afs24 \ltrch\fcs0 \insrsid2502938\charrsid9897960 \cell }\pard\plain \ltrpar\ql \li0\ri0\widctlpar\intbl\wrapdefault\aspalpha\aspnum\faauto\adjustright\rin0\lin0 \rtlch\fcs1 _x000d__x000a_\af0\afs20\alang1025 \ltrch\fcs0 \fs24\lang2057\langfe2057\cgrid\langnp2057\langfenp2057 {\rtlch\fcs1 \af0 \ltrch\fcs0 \lang1029\langfe2057\langnp1029\insrsid2502938\charrsid9897960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02938 \rtlch\fcs1 \af0\afs20\alang1025 \ltrch\fcs0 \fs24\lang1029\langfe2057\cgrid\langnp1029\langfenp2057 {\rtlch\fcs1 \af0 \ltrch\fcs0 _x000d__x000a_\insrsid2502938\charrsid9897960 Or. }{\rtlch\fcs1 \af0 \ltrch\fcs0 \cs17\v\fs20\cf9\lang1024\langfe1024\loch\af1\hich\af1\dbch\af31501\noproof\insrsid2502938\charrsid9897960 \hich\af1\dbch\af31501\loch\f1 &lt;Original&gt;}{\rtlch\fcs1 \af0 \ltrch\fcs0 _x000d__x000a_\insrsid2502938\charrsid9897960 #}{\rtlch\fcs1 \af1 \ltrch\fcs0 \cs18\v\f1\fs20\cf15\insrsid2502938\charrsid9897960 MNU[ORLANGONE][ORLANGMORE]@CHOICE@ORLANGMNU}{\rtlch\fcs1 \af0 \ltrch\fcs0 \insrsid2502938\charrsid9897960 #}{\rtlch\fcs1 \af0 \ltrch\fcs0 _x000d__x000a_\cs17\v\fs20\cf9\lang1024\langfe1024\loch\af1\hich\af1\dbch\af31501\noproof\insrsid2502938\charrsid9897960 \hich\af1\dbch\af31501\loch\f1 &lt;/Original&gt;}{\rtlch\fcs1 \af0 \ltrch\fcs0 \insrsid2502938\charrsid9897960 _x000d__x000a_\par }\pard\plain \ltrpar\s22\qc \li0\ri0\sb240\sa240\nowidctlpar\wrapdefault\aspalpha\aspnum\faauto\adjustright\rin0\lin0\itap0\pararsid2502938 \rtlch\fcs1 \af0\afs20\alang1025 \ltrch\fcs0 \i\fs24\lang1029\langfe2057\cgrid\langnp1029\langfenp2057 {_x000d__x000a_\rtlch\fcs1 \af0 \ltrch\fcs0 \cs17\i0\v\fs20\cf9\lang1024\langfe1024\loch\af1\hich\af1\dbch\af31501\noproof\insrsid2502938\charrsid9897960 \hich\af1\dbch\af31501\loch\f1 &lt;OptDel&gt;}{\rtlch\fcs1 \af0 \ltrch\fcs0 \insrsid2502938\charrsid9897960 #}{_x000d__x000a_\rtlch\fcs1 \af1 \ltrch\fcs0 \cs18\v\f1\fs20\cf15\insrsid2502938\charrsid9897960 MNU[CROSSREFNO][CROSSREFYES]@CHOICE@}{\rtlch\fcs1 \af0 \ltrch\fcs0 \insrsid2502938\charrsid9897960 #}{\rtlch\fcs1 \af0 \ltrch\fcs0 _x000d__x000a_\cs17\i0\v\fs20\cf9\lang1024\langfe1024\loch\af1\hich\af1\dbch\af31501\noproof\insrsid2502938\charrsid9897960 \hich\af1\dbch\af31501\loch\f1 &lt;/OptDel&gt;}{\rtlch\fcs1 \af0 \ltrch\fcs0 \insrsid2502938\charrsid9897960 _x000d__x000a_\par }\pard\plain \ltrpar\s23\qc \li0\ri0\sb240\sa240\keepn\nowidctlpar\wrapdefault\aspalpha\aspnum\faauto\adjustright\rin0\lin0\itap0\pararsid2502938 \rtlch\fcs1 \af0\afs20\alang1025 \ltrch\fcs0 \i\fs24\lang1029\langfe2057\cgrid\langnp1029\langfenp2057 {_x000d__x000a_\rtlch\fcs1 \af0 \ltrch\fcs0 \cs17\i0\v\fs20\cf9\lang1024\langfe1024\loch\af1\hich\af1\dbch\af31501\noproof\insrsid2502938\charrsid9897960 \hich\af1\dbch\af31501\loch\f1 &lt;TitreJust&gt;}{\rtlch\fcs1 \af305 \ltrch\fcs0 \f305\insrsid2502938\charrsid9897960 Od_x000d__x000a_\'f9vodn\'ecn\'ed}{\rtlch\fcs1 \af0 \ltrch\fcs0 \cs17\i0\v\fs20\cf9\lang1024\langfe1024\loch\af1\hich\af1\dbch\af31501\noproof\insrsid2502938\charrsid9897960 \hich\af1\dbch\af31501\loch\f1 &lt;/TitreJust&gt;}{\rtlch\fcs1 \af0 \ltrch\fcs0 _x000d__x000a_\insrsid2502938\charrsid9897960 _x000d__x000a_\par }\pard\plain \ltrpar\s21\ql \li0\ri0\sa240\nowidctlpar\wrapdefault\aspalpha\aspnum\faauto\adjustright\rin0\lin0\itap0\pararsid2502938 \rtlch\fcs1 \af0\afs20\alang1025 \ltrch\fcs0 \i\fs24\lang1029\langfe2057\cgrid\langnp1029\langfenp2057 {\rtlch\fcs1 \af0 _x000d__x000a_\ltrch\fcs0 \cs17\i0\v\fs20\cf9\lang1024\langfe1024\loch\af1\hich\af1\dbch\af31501\noproof\insrsid2502938\charrsid9897960 \hich\af1\dbch\af31501\loch\f1 &lt;OptDelPrev&gt;}{\rtlch\fcs1 \af0 \ltrch\fcs0 \insrsid2502938\charrsid9897960 #}{\rtlch\fcs1 \af1 _x000d__x000a_\ltrch\fcs0 \cs18\v\f1\fs20\cf15\insrsid2502938\charrsid9897960 MNU[TEXTJUSTYES][TEXTJUSTNO]@CHOICE@}{\rtlch\fcs1 \af0 \ltrch\fcs0 \insrsid2502938\charrsid9897960 #}{\rtlch\fcs1 \af0 \ltrch\fcs0 _x000d__x000a_\cs17\i0\v\fs20\cf9\lang1024\langfe1024\loch\af1\hich\af1\dbch\af31501\noproof\insrsid2502938\charrsid9897960 \hich\af1\dbch\af31501\loch\f1 &lt;/OptDelPrev&gt;}{\rtlch\fcs1 \af0 \ltrch\fcs0 \insrsid2502938\charrsid9897960 _x000d__x000a_\par }\pard\plain \ltrpar\ql \li0\ri0\widctlpar\wrapdefault\aspalpha\aspnum\faauto\adjustright\rin0\lin0\itap0\pararsid2502938 \rtlch\fcs1 \af0\afs20\alang1025 \ltrch\fcs0 \fs24\lang2057\langfe2057\cgrid\langnp2057\langfenp2057 {\rtlch\fcs1 \af0 \ltrch\fcs0 _x000d__x000a_\cs17\v\fs20\cf9\lang1024\langfe1024\loch\af1\hich\af1\dbch\af31501\noproof\langnp1029\insrsid2502938\charrsid989796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1_x000d__x000a_60628c1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9"/>
    <w:docVar w:name="TXTAUTHOR" w:val="Francisco Guerreiro"/>
    <w:docVar w:name="TXTLANGUE" w:val="CS"/>
    <w:docVar w:name="TXTLANGUEMIN" w:val="cs"/>
    <w:docVar w:name="TXTNRC" w:val="0221/2023"/>
    <w:docVar w:name="TXTNRCOD" w:val="2023/0206"/>
    <w:docVar w:name="TXTNRCOM" w:val="(2023)"/>
    <w:docVar w:name="TXTNRPE" w:val="756.019"/>
    <w:docVar w:name="TXTPEorAP" w:val="PE"/>
    <w:docVar w:name="TXTROUTE" w:val="PR\1289738CS.docx"/>
    <w:docVar w:name="TXTTITLE" w:val="kterým se stanoví opatření pro zachování, řízení a kontrolu platná v oblasti vymezené Úmluvou o budoucí multilaterální spolupráci při rybolovu v severovýchodním Atlantiku, mění nařízení Evropského parlamentu a Rady (EU) 2019/1241 a nařízení Rady (ES) č. 1224/2009 a zrušují nařízení Rady (EHS) č. 1899/85 a nařízení (EU) č. 1236/2010"/>
    <w:docVar w:name="TXTVERSION" w:val="01-00"/>
  </w:docVars>
  <w:rsids>
    <w:rsidRoot w:val="004E0E48"/>
    <w:rsid w:val="00011AAB"/>
    <w:rsid w:val="00012351"/>
    <w:rsid w:val="000139E5"/>
    <w:rsid w:val="000445B8"/>
    <w:rsid w:val="00084DD2"/>
    <w:rsid w:val="00084E89"/>
    <w:rsid w:val="000B7489"/>
    <w:rsid w:val="000C31E2"/>
    <w:rsid w:val="000F1096"/>
    <w:rsid w:val="00120948"/>
    <w:rsid w:val="00123DD5"/>
    <w:rsid w:val="001277AE"/>
    <w:rsid w:val="00142215"/>
    <w:rsid w:val="001767E2"/>
    <w:rsid w:val="00187008"/>
    <w:rsid w:val="001B3829"/>
    <w:rsid w:val="001C5592"/>
    <w:rsid w:val="001C5B44"/>
    <w:rsid w:val="001C6FFC"/>
    <w:rsid w:val="001F7C7C"/>
    <w:rsid w:val="00212B84"/>
    <w:rsid w:val="002346B0"/>
    <w:rsid w:val="002667C3"/>
    <w:rsid w:val="002669B6"/>
    <w:rsid w:val="00290BED"/>
    <w:rsid w:val="00291397"/>
    <w:rsid w:val="002D13EE"/>
    <w:rsid w:val="002D5E56"/>
    <w:rsid w:val="002E33EE"/>
    <w:rsid w:val="002F40BB"/>
    <w:rsid w:val="002F4B02"/>
    <w:rsid w:val="003112AB"/>
    <w:rsid w:val="00323EF8"/>
    <w:rsid w:val="003316DD"/>
    <w:rsid w:val="00366A46"/>
    <w:rsid w:val="00370AC3"/>
    <w:rsid w:val="003824EE"/>
    <w:rsid w:val="003B4689"/>
    <w:rsid w:val="003C2068"/>
    <w:rsid w:val="003C37CF"/>
    <w:rsid w:val="004100B1"/>
    <w:rsid w:val="00426E47"/>
    <w:rsid w:val="00432B3D"/>
    <w:rsid w:val="00455743"/>
    <w:rsid w:val="00461601"/>
    <w:rsid w:val="004C0915"/>
    <w:rsid w:val="004D424E"/>
    <w:rsid w:val="004E0E48"/>
    <w:rsid w:val="004E42C8"/>
    <w:rsid w:val="004E733D"/>
    <w:rsid w:val="004F3FA5"/>
    <w:rsid w:val="004F7E2E"/>
    <w:rsid w:val="0051271F"/>
    <w:rsid w:val="00521F46"/>
    <w:rsid w:val="00551111"/>
    <w:rsid w:val="00551123"/>
    <w:rsid w:val="00570A6A"/>
    <w:rsid w:val="0057760C"/>
    <w:rsid w:val="00586E50"/>
    <w:rsid w:val="0059240D"/>
    <w:rsid w:val="0059583D"/>
    <w:rsid w:val="005A42D9"/>
    <w:rsid w:val="005C2BEF"/>
    <w:rsid w:val="005D1A99"/>
    <w:rsid w:val="005D7609"/>
    <w:rsid w:val="005D7EE8"/>
    <w:rsid w:val="00632E30"/>
    <w:rsid w:val="00642325"/>
    <w:rsid w:val="0069092A"/>
    <w:rsid w:val="006A2F5D"/>
    <w:rsid w:val="006A64AD"/>
    <w:rsid w:val="006F7907"/>
    <w:rsid w:val="00740116"/>
    <w:rsid w:val="00743189"/>
    <w:rsid w:val="00743D33"/>
    <w:rsid w:val="007846BB"/>
    <w:rsid w:val="007932B3"/>
    <w:rsid w:val="00793EA9"/>
    <w:rsid w:val="007D6F68"/>
    <w:rsid w:val="00817843"/>
    <w:rsid w:val="00823E6B"/>
    <w:rsid w:val="00826780"/>
    <w:rsid w:val="00837CCD"/>
    <w:rsid w:val="008633CC"/>
    <w:rsid w:val="00865190"/>
    <w:rsid w:val="008719B9"/>
    <w:rsid w:val="00894923"/>
    <w:rsid w:val="00894ECE"/>
    <w:rsid w:val="00896BB4"/>
    <w:rsid w:val="008A7FB8"/>
    <w:rsid w:val="008F1BC6"/>
    <w:rsid w:val="009022B8"/>
    <w:rsid w:val="00914537"/>
    <w:rsid w:val="00917CC4"/>
    <w:rsid w:val="009763DA"/>
    <w:rsid w:val="009975B3"/>
    <w:rsid w:val="009A216D"/>
    <w:rsid w:val="009A2DF6"/>
    <w:rsid w:val="009B4B93"/>
    <w:rsid w:val="009F24BE"/>
    <w:rsid w:val="009F6C2F"/>
    <w:rsid w:val="009F767A"/>
    <w:rsid w:val="00A22533"/>
    <w:rsid w:val="00A26F46"/>
    <w:rsid w:val="00A33471"/>
    <w:rsid w:val="00A34FD3"/>
    <w:rsid w:val="00A36929"/>
    <w:rsid w:val="00A50548"/>
    <w:rsid w:val="00A60EE7"/>
    <w:rsid w:val="00A910C9"/>
    <w:rsid w:val="00AA35B0"/>
    <w:rsid w:val="00AA7E4C"/>
    <w:rsid w:val="00AD18C8"/>
    <w:rsid w:val="00AD7FA6"/>
    <w:rsid w:val="00AE4643"/>
    <w:rsid w:val="00AF0416"/>
    <w:rsid w:val="00B10CB4"/>
    <w:rsid w:val="00B13D6F"/>
    <w:rsid w:val="00B23B72"/>
    <w:rsid w:val="00B42702"/>
    <w:rsid w:val="00B57B8B"/>
    <w:rsid w:val="00B85407"/>
    <w:rsid w:val="00B95702"/>
    <w:rsid w:val="00BC6489"/>
    <w:rsid w:val="00BD480C"/>
    <w:rsid w:val="00C20954"/>
    <w:rsid w:val="00C23324"/>
    <w:rsid w:val="00C42A41"/>
    <w:rsid w:val="00C47E74"/>
    <w:rsid w:val="00C57A72"/>
    <w:rsid w:val="00C73602"/>
    <w:rsid w:val="00C85D0F"/>
    <w:rsid w:val="00CE449B"/>
    <w:rsid w:val="00CF60C8"/>
    <w:rsid w:val="00D30DE2"/>
    <w:rsid w:val="00D32924"/>
    <w:rsid w:val="00D503A3"/>
    <w:rsid w:val="00DA6ED0"/>
    <w:rsid w:val="00DC5011"/>
    <w:rsid w:val="00E171B6"/>
    <w:rsid w:val="00E72695"/>
    <w:rsid w:val="00EB1753"/>
    <w:rsid w:val="00EB6CFF"/>
    <w:rsid w:val="00EE3996"/>
    <w:rsid w:val="00F07062"/>
    <w:rsid w:val="00F23CFC"/>
    <w:rsid w:val="00F433E2"/>
    <w:rsid w:val="00F46C37"/>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B21B1C"/>
  <w15:chartTrackingRefBased/>
  <w15:docId w15:val="{926ECC43-768B-4E8B-AFAF-3933A7403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4F7E2E"/>
    <w:pPr>
      <w:tabs>
        <w:tab w:val="right" w:pos="454"/>
        <w:tab w:val="left" w:pos="737"/>
      </w:tabs>
      <w:ind w:left="737" w:hanging="737"/>
    </w:pPr>
    <w:rPr>
      <w:snapToGrid w:val="0"/>
      <w:sz w:val="18"/>
      <w:lang w:eastAsia="en-US"/>
    </w:rPr>
  </w:style>
  <w:style w:type="paragraph" w:customStyle="1" w:styleId="Lgendetitre">
    <w:name w:val="Légende titre"/>
    <w:basedOn w:val="Normal"/>
    <w:rsid w:val="004F7E2E"/>
    <w:pPr>
      <w:spacing w:before="240" w:after="240"/>
    </w:pPr>
    <w:rPr>
      <w:b/>
      <w:i/>
      <w:snapToGrid w:val="0"/>
      <w:lang w:eastAsia="en-US"/>
    </w:rPr>
  </w:style>
  <w:style w:type="paragraph" w:customStyle="1" w:styleId="Lgendestandard">
    <w:name w:val="Légende standard"/>
    <w:basedOn w:val="Normal"/>
    <w:rsid w:val="004F7E2E"/>
    <w:rPr>
      <w:sz w:val="18"/>
    </w:rPr>
  </w:style>
  <w:style w:type="paragraph" w:styleId="FootnoteText">
    <w:name w:val="footnote text"/>
    <w:basedOn w:val="Normal"/>
    <w:link w:val="FootnoteTextChar"/>
    <w:rsid w:val="004F7E2E"/>
    <w:rPr>
      <w:sz w:val="20"/>
    </w:rPr>
  </w:style>
  <w:style w:type="character" w:customStyle="1" w:styleId="FootnoteTextChar">
    <w:name w:val="Footnote Text Char"/>
    <w:basedOn w:val="DefaultParagraphFont"/>
    <w:link w:val="FootnoteText"/>
    <w:rsid w:val="004F7E2E"/>
  </w:style>
  <w:style w:type="character" w:styleId="FootnoteReference">
    <w:name w:val="footnote reference"/>
    <w:basedOn w:val="DefaultParagraphFont"/>
    <w:rsid w:val="004F7E2E"/>
    <w:rPr>
      <w:vertAlign w:val="superscript"/>
    </w:rPr>
  </w:style>
  <w:style w:type="character" w:customStyle="1" w:styleId="Normal6Char">
    <w:name w:val="Normal6 Char"/>
    <w:basedOn w:val="DefaultParagraphFont"/>
    <w:link w:val="Normal6"/>
    <w:locked/>
    <w:rsid w:val="004F7E2E"/>
    <w:rPr>
      <w:sz w:val="24"/>
      <w:lang w:val="cs-CZ"/>
    </w:rPr>
  </w:style>
  <w:style w:type="paragraph" w:customStyle="1" w:styleId="Normal6">
    <w:name w:val="Normal6"/>
    <w:basedOn w:val="Normal"/>
    <w:link w:val="Normal6Char"/>
    <w:rsid w:val="004F7E2E"/>
    <w:pPr>
      <w:spacing w:after="120"/>
    </w:pPr>
  </w:style>
  <w:style w:type="character" w:customStyle="1" w:styleId="NormalBoldChar">
    <w:name w:val="NormalBold Char"/>
    <w:basedOn w:val="DefaultParagraphFont"/>
    <w:link w:val="NormalBold"/>
    <w:locked/>
    <w:rsid w:val="004F7E2E"/>
    <w:rPr>
      <w:b/>
      <w:sz w:val="24"/>
      <w:lang w:val="cs-CZ"/>
    </w:rPr>
  </w:style>
  <w:style w:type="paragraph" w:customStyle="1" w:styleId="ColumnHeading">
    <w:name w:val="ColumnHeading"/>
    <w:basedOn w:val="Normal"/>
    <w:rsid w:val="004F7E2E"/>
    <w:pPr>
      <w:spacing w:after="240"/>
      <w:jc w:val="center"/>
    </w:pPr>
    <w:rPr>
      <w:i/>
    </w:rPr>
  </w:style>
  <w:style w:type="paragraph" w:customStyle="1" w:styleId="AMNumberTabs0">
    <w:name w:val="AMNumberTabs"/>
    <w:basedOn w:val="Normal"/>
    <w:rsid w:val="004F7E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4F7E2E"/>
    <w:pPr>
      <w:jc w:val="right"/>
    </w:pPr>
  </w:style>
  <w:style w:type="paragraph" w:styleId="NormalWeb">
    <w:name w:val="Normal (Web)"/>
    <w:basedOn w:val="Normal"/>
    <w:uiPriority w:val="99"/>
    <w:unhideWhenUsed/>
    <w:rsid w:val="004F7E2E"/>
    <w:pPr>
      <w:widowControl/>
      <w:spacing w:before="100" w:beforeAutospacing="1" w:after="100" w:afterAutospacing="1"/>
    </w:pPr>
    <w:rPr>
      <w:szCs w:val="24"/>
    </w:rPr>
  </w:style>
  <w:style w:type="paragraph" w:styleId="Footer">
    <w:name w:val="footer"/>
    <w:basedOn w:val="Normal"/>
    <w:link w:val="FooterChar"/>
    <w:semiHidden/>
    <w:rsid w:val="004F7E2E"/>
    <w:pPr>
      <w:tabs>
        <w:tab w:val="center" w:pos="4513"/>
        <w:tab w:val="right" w:pos="9026"/>
      </w:tabs>
    </w:pPr>
  </w:style>
  <w:style w:type="character" w:customStyle="1" w:styleId="FooterChar">
    <w:name w:val="Footer Char"/>
    <w:basedOn w:val="DefaultParagraphFont"/>
    <w:link w:val="Footer"/>
    <w:semiHidden/>
    <w:rsid w:val="004F7E2E"/>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61B169-D221-44E2-A9DC-A83617D7E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1679</Words>
  <Characters>9711</Characters>
  <Application>Microsoft Office Word</Application>
  <DocSecurity>0</DocSecurity>
  <Lines>303</Lines>
  <Paragraphs>126</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SODOMKOVA Renata</dc:creator>
  <cp:lastModifiedBy>GOESSINGER SKLENAROVA Ruzena</cp:lastModifiedBy>
  <cp:revision>2</cp:revision>
  <cp:lastPrinted>2004-11-04T09:41:00Z</cp:lastPrinted>
  <dcterms:created xsi:type="dcterms:W3CDTF">2023-11-22T15:05:00Z</dcterms:created>
  <dcterms:modified xsi:type="dcterms:W3CDTF">2023-11-22T15:05:00Z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1289738</vt:lpwstr>
  </property>
  <property fmtid="{D5CDD505-2E9C-101B-9397-08002B2CF9AE}" pid="4" name="&lt;Model&gt;">
    <vt:lpwstr>PR_COD_1amCom</vt:lpwstr>
  </property>
  <property fmtid="{D5CDD505-2E9C-101B-9397-08002B2CF9AE}" pid="5" name="&lt;ModelCod&gt;">
    <vt:lpwstr>\\eiciLUXpr1\pdocep$\DocEP\DOCS\General\PR\PR_Leg\COD\COD_1st\PR_COD_1amCom.dotx(17/04/2020 18:27:09)</vt:lpwstr>
  </property>
  <property fmtid="{D5CDD505-2E9C-101B-9397-08002B2CF9AE}" pid="6" name="&lt;ModelTra&gt;">
    <vt:lpwstr>\\eiciLUXpr1\pdocep$\DocEP\TRANSFIL\CS\PR_COD_1amCom.CS(29/06/2022 09:20:42)</vt:lpwstr>
  </property>
  <property fmtid="{D5CDD505-2E9C-101B-9397-08002B2CF9AE}" pid="7" name="&lt;Type&gt;">
    <vt:lpwstr>PR</vt:lpwstr>
  </property>
  <property fmtid="{D5CDD505-2E9C-101B-9397-08002B2CF9AE}" pid="8" name="Bookout">
    <vt:lpwstr>OK - 2023/11/22 16:05</vt:lpwstr>
  </property>
  <property fmtid="{D5CDD505-2E9C-101B-9397-08002B2CF9AE}" pid="9" name="Created with">
    <vt:lpwstr>9.16.1 Build [20230915]</vt:lpwstr>
  </property>
  <property fmtid="{D5CDD505-2E9C-101B-9397-08002B2CF9AE}" pid="10" name="FooterPath">
    <vt:lpwstr>PR\1289738CS.docx</vt:lpwstr>
  </property>
  <property fmtid="{D5CDD505-2E9C-101B-9397-08002B2CF9AE}" pid="11" name="LastEdited with">
    <vt:lpwstr>9.16.1 Build [20230915]</vt:lpwstr>
  </property>
  <property fmtid="{D5CDD505-2E9C-101B-9397-08002B2CF9AE}" pid="12" name="PE number">
    <vt:lpwstr>756.019</vt:lpwstr>
  </property>
  <property fmtid="{D5CDD505-2E9C-101B-9397-08002B2CF9AE}" pid="13" name="SDLStudio">
    <vt:lpwstr/>
  </property>
</Properties>
</file>