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741EB" w:rsidRPr="00FB0D6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B0D6F" w:rsidRDefault="00EC4F2E" w:rsidP="00C85D0F">
            <w:pPr>
              <w:pStyle w:val="EPName"/>
            </w:pPr>
            <w:r w:rsidRPr="00FB0D6F">
              <w:t>Europaparlamentet</w:t>
            </w:r>
          </w:p>
          <w:p w:rsidR="00B13D6F" w:rsidRPr="00FB0D6F" w:rsidRDefault="00EC4F2E" w:rsidP="00BA132B">
            <w:pPr>
              <w:pStyle w:val="EPTerm"/>
            </w:pPr>
            <w:r w:rsidRPr="00FB0D6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B0D6F" w:rsidRDefault="00EC4F2E" w:rsidP="00C85D0F">
            <w:pPr>
              <w:pStyle w:val="EPLogo"/>
            </w:pPr>
            <w:r w:rsidRPr="00FB0D6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B0D6F" w:rsidRDefault="00461601" w:rsidP="00461601">
      <w:pPr>
        <w:pStyle w:val="LineTop"/>
      </w:pPr>
    </w:p>
    <w:p w:rsidR="00461601" w:rsidRPr="00FB0D6F" w:rsidRDefault="00EC4F2E" w:rsidP="00461601">
      <w:pPr>
        <w:pStyle w:val="EPBody"/>
      </w:pPr>
      <w:r w:rsidRPr="00FB0D6F">
        <w:rPr>
          <w:rStyle w:val="HideTWBExt"/>
        </w:rPr>
        <w:t>&lt;</w:t>
      </w:r>
      <w:r w:rsidRPr="00FB0D6F">
        <w:rPr>
          <w:rStyle w:val="HideTWBExt"/>
          <w:i w:val="0"/>
        </w:rPr>
        <w:t>Commission</w:t>
      </w:r>
      <w:r w:rsidRPr="00FB0D6F">
        <w:rPr>
          <w:rStyle w:val="HideTWBExt"/>
        </w:rPr>
        <w:t>&gt;</w:t>
      </w:r>
      <w:r w:rsidRPr="00FB0D6F">
        <w:rPr>
          <w:rStyle w:val="HideTWBInt"/>
          <w:color w:val="auto"/>
        </w:rPr>
        <w:t>{PECH}</w:t>
      </w:r>
      <w:r w:rsidRPr="00FB0D6F">
        <w:t>Fiskeriutskottet</w:t>
      </w:r>
      <w:r w:rsidRPr="00FB0D6F">
        <w:rPr>
          <w:rStyle w:val="HideTWBExt"/>
        </w:rPr>
        <w:t>&lt;/</w:t>
      </w:r>
      <w:r w:rsidRPr="00FB0D6F">
        <w:rPr>
          <w:rStyle w:val="HideTWBExt"/>
          <w:i w:val="0"/>
        </w:rPr>
        <w:t>Commission</w:t>
      </w:r>
      <w:r w:rsidRPr="00FB0D6F">
        <w:rPr>
          <w:rStyle w:val="HideTWBExt"/>
        </w:rPr>
        <w:t>&gt;</w:t>
      </w:r>
    </w:p>
    <w:p w:rsidR="00461601" w:rsidRPr="00FB0D6F" w:rsidRDefault="00461601" w:rsidP="00461601">
      <w:pPr>
        <w:pStyle w:val="LineBottom"/>
      </w:pPr>
    </w:p>
    <w:p w:rsidR="00793EA9" w:rsidRPr="00FB0D6F" w:rsidRDefault="00EC4F2E">
      <w:pPr>
        <w:pStyle w:val="CoverReference"/>
      </w:pPr>
      <w:r w:rsidRPr="00FB0D6F">
        <w:rPr>
          <w:rStyle w:val="HideTWBExt"/>
          <w:b w:val="0"/>
        </w:rPr>
        <w:t>&lt;RefProc&gt;</w:t>
      </w:r>
      <w:r w:rsidRPr="00FB0D6F">
        <w:t>2023/0206</w:t>
      </w:r>
      <w:r w:rsidRPr="00FB0D6F">
        <w:rPr>
          <w:rStyle w:val="HideTWBExt"/>
          <w:b w:val="0"/>
        </w:rPr>
        <w:t>&lt;/RefProc&gt;&lt;RefTypeProc&gt;</w:t>
      </w:r>
      <w:r w:rsidRPr="00FB0D6F">
        <w:t>(COD)</w:t>
      </w:r>
      <w:r w:rsidRPr="00FB0D6F">
        <w:rPr>
          <w:rStyle w:val="HideTWBExt"/>
          <w:b w:val="0"/>
        </w:rPr>
        <w:t>&lt;/RefTypeProc&gt;</w:t>
      </w:r>
    </w:p>
    <w:p w:rsidR="00793EA9" w:rsidRPr="00FB0D6F" w:rsidRDefault="00EC4F2E">
      <w:pPr>
        <w:pStyle w:val="CoverDate"/>
      </w:pPr>
      <w:r w:rsidRPr="00FB0D6F">
        <w:rPr>
          <w:rStyle w:val="HideTWBExt"/>
        </w:rPr>
        <w:t>&lt;Date&gt;</w:t>
      </w:r>
      <w:r w:rsidRPr="00FB0D6F">
        <w:rPr>
          <w:rStyle w:val="HideTWBInt"/>
          <w:color w:val="auto"/>
        </w:rPr>
        <w:t>{08/11/2023}</w:t>
      </w:r>
      <w:r w:rsidRPr="00FB0D6F">
        <w:t>8.11.2023</w:t>
      </w:r>
      <w:r w:rsidRPr="00FB0D6F">
        <w:rPr>
          <w:rStyle w:val="HideTWBExt"/>
        </w:rPr>
        <w:t>&lt;/Date&gt;</w:t>
      </w:r>
    </w:p>
    <w:p w:rsidR="00793EA9" w:rsidRPr="00FB0D6F" w:rsidRDefault="00EC4F2E">
      <w:pPr>
        <w:pStyle w:val="CoverDocType"/>
      </w:pPr>
      <w:r w:rsidRPr="00FB0D6F">
        <w:rPr>
          <w:rStyle w:val="HideTWBExt"/>
          <w:b w:val="0"/>
        </w:rPr>
        <w:t>&lt;RefProcLect&gt;</w:t>
      </w:r>
      <w:r w:rsidRPr="00FB0D6F">
        <w:t>***I</w:t>
      </w:r>
      <w:r w:rsidRPr="00FB0D6F">
        <w:rPr>
          <w:rStyle w:val="HideTWBExt"/>
          <w:b w:val="0"/>
        </w:rPr>
        <w:t>&lt;/RefProcLect&gt;</w:t>
      </w:r>
    </w:p>
    <w:p w:rsidR="00793EA9" w:rsidRPr="00FB0D6F" w:rsidRDefault="00EC4F2E">
      <w:pPr>
        <w:pStyle w:val="CoverDocType24a"/>
      </w:pPr>
      <w:r w:rsidRPr="00FB0D6F">
        <w:rPr>
          <w:rStyle w:val="HideTWBExt"/>
          <w:b w:val="0"/>
        </w:rPr>
        <w:t>&lt;TitreType&gt;</w:t>
      </w:r>
      <w:r w:rsidRPr="00FB0D6F">
        <w:t>FÖRSLAG TILL BETÄNKANDE</w:t>
      </w:r>
      <w:bookmarkStart w:id="0" w:name="_GoBack"/>
      <w:bookmarkEnd w:id="0"/>
      <w:r w:rsidRPr="00FB0D6F">
        <w:rPr>
          <w:rStyle w:val="HideTWBExt"/>
          <w:b w:val="0"/>
        </w:rPr>
        <w:t>&lt;/TitreType&gt;</w:t>
      </w:r>
    </w:p>
    <w:p w:rsidR="00793EA9" w:rsidRPr="00FB0D6F" w:rsidRDefault="00EC4F2E">
      <w:pPr>
        <w:pStyle w:val="CoverNormal"/>
      </w:pPr>
      <w:r w:rsidRPr="00FB0D6F">
        <w:rPr>
          <w:rStyle w:val="HideTWBExt"/>
        </w:rPr>
        <w:t>&lt;Titre&gt;</w:t>
      </w:r>
      <w:r w:rsidRPr="00FB0D6F">
        <w:t>om förslaget till Europaparlamentets och rådets förordning om fastställande av bevarande-, förvaltnings- och kontrollåtgärder för det område som omfattas av konventionen om framtida multilateralt samarbete om fisket i Nordostatlanten, om ändring av</w:t>
      </w:r>
      <w:r w:rsidRPr="00FB0D6F">
        <w:t xml:space="preserve"> Europaparlamentets och rådets förordning (EU) 2019/1241 och rådets förordning (EG) nr 1224/2009 och om upphävande av rådets förordning (EEG) nr 1899/85 och förordning (EU) nr 1236/2010</w:t>
      </w:r>
      <w:r w:rsidRPr="00FB0D6F">
        <w:rPr>
          <w:rStyle w:val="HideTWBExt"/>
        </w:rPr>
        <w:t>&lt;/Titre&gt;</w:t>
      </w:r>
    </w:p>
    <w:p w:rsidR="00793EA9" w:rsidRPr="00FB0D6F" w:rsidRDefault="00EC4F2E">
      <w:pPr>
        <w:pStyle w:val="CoverNormal24a"/>
      </w:pPr>
      <w:r w:rsidRPr="00FB0D6F">
        <w:rPr>
          <w:rStyle w:val="HideTWBExt"/>
        </w:rPr>
        <w:t>&lt;DocRef&gt;</w:t>
      </w:r>
      <w:r w:rsidRPr="00FB0D6F">
        <w:t>(COM(2023)0362 – C9</w:t>
      </w:r>
      <w:r w:rsidRPr="00FB0D6F">
        <w:noBreakHyphen/>
        <w:t>0221/2023 – 2023/0206(COD))</w:t>
      </w:r>
      <w:r w:rsidRPr="00FB0D6F">
        <w:rPr>
          <w:rStyle w:val="HideTWBExt"/>
        </w:rPr>
        <w:t>&lt;/DocRe</w:t>
      </w:r>
      <w:r w:rsidRPr="00FB0D6F">
        <w:rPr>
          <w:rStyle w:val="HideTWBExt"/>
        </w:rPr>
        <w:t>f&gt;</w:t>
      </w:r>
    </w:p>
    <w:p w:rsidR="00793EA9" w:rsidRPr="00FB0D6F" w:rsidRDefault="00EC4F2E">
      <w:pPr>
        <w:pStyle w:val="CoverNormal24a"/>
      </w:pPr>
      <w:r w:rsidRPr="00FB0D6F">
        <w:rPr>
          <w:rStyle w:val="HideTWBExt"/>
        </w:rPr>
        <w:t>&lt;Commission&gt;</w:t>
      </w:r>
      <w:r w:rsidRPr="00FB0D6F">
        <w:rPr>
          <w:rStyle w:val="HideTWBInt"/>
          <w:color w:val="auto"/>
        </w:rPr>
        <w:t>{PECH}</w:t>
      </w:r>
      <w:r w:rsidRPr="00FB0D6F">
        <w:t>Fiskeriutskottet</w:t>
      </w:r>
      <w:r w:rsidRPr="00FB0D6F">
        <w:rPr>
          <w:rStyle w:val="HideTWBExt"/>
        </w:rPr>
        <w:t>&lt;/Commission&gt;</w:t>
      </w:r>
    </w:p>
    <w:p w:rsidR="00793EA9" w:rsidRPr="00FB0D6F" w:rsidRDefault="00EC4F2E">
      <w:pPr>
        <w:pStyle w:val="CoverNormal24a"/>
      </w:pPr>
      <w:r>
        <w:t>Föredragande</w:t>
      </w:r>
      <w:r w:rsidRPr="00FB0D6F">
        <w:t xml:space="preserve">: </w:t>
      </w:r>
      <w:r w:rsidRPr="00FB0D6F">
        <w:rPr>
          <w:rStyle w:val="HideTWBExt"/>
        </w:rPr>
        <w:t>&lt;Depute&gt;</w:t>
      </w:r>
      <w:r w:rsidRPr="00FB0D6F">
        <w:t>Francisco Guerreiro</w:t>
      </w:r>
      <w:r w:rsidRPr="00FB0D6F">
        <w:rPr>
          <w:rStyle w:val="HideTWBExt"/>
        </w:rPr>
        <w:t>&lt;/Depute&gt;</w:t>
      </w:r>
    </w:p>
    <w:p w:rsidR="001C5B44" w:rsidRPr="00FB0D6F" w:rsidRDefault="001C5B44" w:rsidP="001C5B44">
      <w:pPr>
        <w:pStyle w:val="CoverNormal"/>
      </w:pPr>
    </w:p>
    <w:p w:rsidR="00BA132B" w:rsidRPr="00FB0D6F" w:rsidRDefault="00EC4F2E" w:rsidP="00894923">
      <w:r w:rsidRPr="00FB0D6F">
        <w:br w:type="page"/>
      </w:r>
      <w:r w:rsidRPr="00FB0D6F">
        <w:lastRenderedPageBreak/>
        <w:fldChar w:fldCharType="begin"/>
      </w:r>
      <w:r w:rsidRPr="00FB0D6F">
        <w:instrText xml:space="preserve"> TITLE  \* MERGEFORMAT </w:instrText>
      </w:r>
      <w:r w:rsidRPr="00FB0D6F">
        <w:fldChar w:fldCharType="separate"/>
      </w:r>
      <w:r>
        <w:t>PR_COD_1amCom</w:t>
      </w:r>
      <w:r w:rsidRPr="00FB0D6F">
        <w:fldChar w:fldCharType="end"/>
      </w:r>
    </w:p>
    <w:p w:rsidR="00BA132B" w:rsidRPr="00FB0D6F" w:rsidRDefault="00BA132B" w:rsidP="00894923"/>
    <w:p w:rsidR="00BA132B" w:rsidRPr="00FB0D6F" w:rsidRDefault="00BA132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1741EB" w:rsidRPr="00FB0D6F">
        <w:tc>
          <w:tcPr>
            <w:tcW w:w="5811" w:type="dxa"/>
          </w:tcPr>
          <w:p w:rsidR="00BA132B" w:rsidRPr="00FB0D6F" w:rsidRDefault="00EC4F2E" w:rsidP="00894923">
            <w:pPr>
              <w:pStyle w:val="Lgendetitre"/>
            </w:pPr>
            <w:r w:rsidRPr="00FB0D6F">
              <w:t>Teckenförklaring</w:t>
            </w:r>
          </w:p>
        </w:tc>
      </w:tr>
      <w:tr w:rsidR="001741EB" w:rsidRPr="00FB0D6F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BA132B" w:rsidRPr="00FB0D6F" w:rsidRDefault="00EC4F2E" w:rsidP="003506ED">
            <w:pPr>
              <w:pStyle w:val="Lgendesigne"/>
            </w:pPr>
            <w:r w:rsidRPr="00FB0D6F">
              <w:tab/>
              <w:t>*</w:t>
            </w:r>
            <w:r w:rsidRPr="00FB0D6F">
              <w:tab/>
              <w:t>Samrådsförfarande</w:t>
            </w:r>
          </w:p>
          <w:p w:rsidR="00BA132B" w:rsidRPr="00FB0D6F" w:rsidRDefault="00EC4F2E" w:rsidP="003506ED">
            <w:pPr>
              <w:pStyle w:val="Lgendesigne"/>
            </w:pPr>
            <w:r w:rsidRPr="00FB0D6F">
              <w:tab/>
              <w:t>***</w:t>
            </w:r>
            <w:r w:rsidRPr="00FB0D6F">
              <w:tab/>
              <w:t>Godkännandeförfarande</w:t>
            </w:r>
          </w:p>
          <w:p w:rsidR="00BA132B" w:rsidRPr="00FB0D6F" w:rsidRDefault="00EC4F2E" w:rsidP="003506ED">
            <w:pPr>
              <w:pStyle w:val="Lgendesigne"/>
            </w:pPr>
            <w:r w:rsidRPr="00FB0D6F">
              <w:tab/>
              <w:t>***I</w:t>
            </w:r>
            <w:r w:rsidRPr="00FB0D6F">
              <w:tab/>
              <w:t xml:space="preserve">Ordinarie </w:t>
            </w:r>
            <w:r w:rsidRPr="00FB0D6F">
              <w:t>lagstiftningsförfarande (första behandlingen)</w:t>
            </w:r>
          </w:p>
          <w:p w:rsidR="00BA132B" w:rsidRPr="00FB0D6F" w:rsidRDefault="00EC4F2E" w:rsidP="003506ED">
            <w:pPr>
              <w:pStyle w:val="Lgendesigne"/>
            </w:pPr>
            <w:r w:rsidRPr="00FB0D6F">
              <w:tab/>
              <w:t>***II</w:t>
            </w:r>
            <w:r w:rsidRPr="00FB0D6F">
              <w:tab/>
              <w:t>Ordinarie lagstiftningsförfarande (andra behandlingen)</w:t>
            </w:r>
          </w:p>
          <w:p w:rsidR="00BA132B" w:rsidRPr="00FB0D6F" w:rsidRDefault="00EC4F2E" w:rsidP="003506ED">
            <w:pPr>
              <w:pStyle w:val="Lgendesigne"/>
            </w:pPr>
            <w:r w:rsidRPr="00FB0D6F">
              <w:tab/>
              <w:t>***III</w:t>
            </w:r>
            <w:r w:rsidRPr="00FB0D6F">
              <w:tab/>
              <w:t>Ordinarie lagstiftningsförfarande (tredje behandlingen)</w:t>
            </w:r>
          </w:p>
          <w:p w:rsidR="00BA132B" w:rsidRPr="00FB0D6F" w:rsidRDefault="00BA132B" w:rsidP="003506ED">
            <w:pPr>
              <w:pStyle w:val="Lgendestandard"/>
            </w:pPr>
          </w:p>
          <w:p w:rsidR="00BA132B" w:rsidRPr="00FB0D6F" w:rsidRDefault="00EC4F2E" w:rsidP="003506ED">
            <w:pPr>
              <w:pStyle w:val="Lgendestandard"/>
            </w:pPr>
            <w:r w:rsidRPr="00FB0D6F">
              <w:t>(Det angivna förfarandet baseras på den rättsliga grund som angetts i förslaget til</w:t>
            </w:r>
            <w:r w:rsidRPr="00FB0D6F">
              <w:t>l akt.)</w:t>
            </w:r>
          </w:p>
          <w:p w:rsidR="00BA132B" w:rsidRPr="00FB0D6F" w:rsidRDefault="00BA132B" w:rsidP="00B54EAF">
            <w:pPr>
              <w:pStyle w:val="Lgendestandard"/>
            </w:pPr>
          </w:p>
        </w:tc>
      </w:tr>
    </w:tbl>
    <w:p w:rsidR="00BA132B" w:rsidRPr="00FB0D6F" w:rsidRDefault="00BA132B" w:rsidP="00894923"/>
    <w:p w:rsidR="00BA132B" w:rsidRPr="00FB0D6F" w:rsidRDefault="00BA132B" w:rsidP="00894923"/>
    <w:p w:rsidR="00BA132B" w:rsidRPr="00FB0D6F" w:rsidRDefault="00BA132B" w:rsidP="00894923"/>
    <w:p w:rsidR="00BA132B" w:rsidRPr="00FB0D6F" w:rsidRDefault="00BA132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1741EB" w:rsidRPr="00FB0D6F">
        <w:tc>
          <w:tcPr>
            <w:tcW w:w="5811" w:type="dxa"/>
          </w:tcPr>
          <w:p w:rsidR="00BA132B" w:rsidRPr="00FB0D6F" w:rsidRDefault="00EC4F2E" w:rsidP="00894923">
            <w:pPr>
              <w:pStyle w:val="Lgendetitre"/>
            </w:pPr>
            <w:r w:rsidRPr="00FB0D6F">
              <w:t>Ändringsförslag till ett förslag till akt</w:t>
            </w:r>
          </w:p>
        </w:tc>
      </w:tr>
      <w:tr w:rsidR="001741EB" w:rsidRPr="00FB0D6F" w:rsidTr="00554250">
        <w:trPr>
          <w:trHeight w:val="4496"/>
        </w:trPr>
        <w:tc>
          <w:tcPr>
            <w:tcW w:w="5811" w:type="dxa"/>
          </w:tcPr>
          <w:p w:rsidR="00BA132B" w:rsidRPr="00FB0D6F" w:rsidRDefault="00EC4F2E" w:rsidP="003506ED">
            <w:pPr>
              <w:pStyle w:val="Lgendestandard"/>
              <w:rPr>
                <w:szCs w:val="24"/>
              </w:rPr>
            </w:pPr>
            <w:r w:rsidRPr="00FB0D6F">
              <w:rPr>
                <w:b/>
              </w:rPr>
              <w:t>När parlamentets ändringsförslag utformas i två spalter gäller följande:</w:t>
            </w:r>
          </w:p>
          <w:p w:rsidR="00BA132B" w:rsidRPr="00FB0D6F" w:rsidRDefault="00BA132B" w:rsidP="003506ED">
            <w:pPr>
              <w:pStyle w:val="Lgendestandard"/>
              <w:rPr>
                <w:szCs w:val="24"/>
              </w:rPr>
            </w:pPr>
          </w:p>
          <w:p w:rsidR="00BA132B" w:rsidRPr="00FB0D6F" w:rsidRDefault="00EC4F2E" w:rsidP="003506ED">
            <w:pPr>
              <w:pStyle w:val="Lgendestandard"/>
              <w:rPr>
                <w:szCs w:val="24"/>
              </w:rPr>
            </w:pPr>
            <w:r w:rsidRPr="00FB0D6F">
              <w:t xml:space="preserve">Text som utgår markeras med </w:t>
            </w:r>
            <w:r w:rsidRPr="00FB0D6F">
              <w:rPr>
                <w:b/>
                <w:bCs/>
                <w:i/>
                <w:iCs/>
              </w:rPr>
              <w:t>fetkursiv stil</w:t>
            </w:r>
            <w:r w:rsidRPr="00FB0D6F">
              <w:t xml:space="preserve"> i vänsterspalten. Text som ersätts markeras med </w:t>
            </w:r>
            <w:r w:rsidRPr="00FB0D6F">
              <w:rPr>
                <w:b/>
                <w:bCs/>
                <w:i/>
                <w:iCs/>
              </w:rPr>
              <w:t>fetkursiv stil</w:t>
            </w:r>
            <w:r w:rsidRPr="00FB0D6F">
              <w:t xml:space="preserve"> i båda spalterna. </w:t>
            </w:r>
            <w:r w:rsidRPr="00FB0D6F">
              <w:t xml:space="preserve">Ny text markeras med </w:t>
            </w:r>
            <w:r w:rsidRPr="00FB0D6F">
              <w:rPr>
                <w:b/>
                <w:bCs/>
                <w:i/>
                <w:iCs/>
              </w:rPr>
              <w:t>fetkursiv stil</w:t>
            </w:r>
            <w:r w:rsidRPr="00FB0D6F">
              <w:t xml:space="preserve"> i högerspalten.</w:t>
            </w:r>
          </w:p>
          <w:p w:rsidR="00BA132B" w:rsidRPr="00FB0D6F" w:rsidRDefault="00BA132B" w:rsidP="003506ED">
            <w:pPr>
              <w:pStyle w:val="Lgendestandard"/>
              <w:rPr>
                <w:szCs w:val="24"/>
              </w:rPr>
            </w:pPr>
          </w:p>
          <w:p w:rsidR="00BA132B" w:rsidRPr="00FB0D6F" w:rsidRDefault="00EC4F2E" w:rsidP="003506ED">
            <w:pPr>
              <w:pStyle w:val="Lgendestandard"/>
              <w:rPr>
                <w:szCs w:val="24"/>
              </w:rPr>
            </w:pPr>
            <w:r w:rsidRPr="00FB0D6F">
              <w:t>De två första raderna i hänvisningen ovanför varje ändringsförslag anger vilket textavsnitt som avses i det förslag till akt som behandlas. Om ett ändringsförslag avser en befintlig akt som förslaget til</w:t>
            </w:r>
            <w:r w:rsidRPr="00FB0D6F">
              <w:t>l akt är avsett att ändra innehåller hänvisningen även en tredje och en fjärde rad. Den tredje raden anger den befintliga akten och den fjärde vilken bestämmelse i denna akt som ändringsförslaget avser.</w:t>
            </w:r>
          </w:p>
          <w:p w:rsidR="00BA132B" w:rsidRPr="00FB0D6F" w:rsidRDefault="00BA132B" w:rsidP="003506ED">
            <w:pPr>
              <w:pStyle w:val="Lgendestandard"/>
              <w:rPr>
                <w:szCs w:val="24"/>
              </w:rPr>
            </w:pPr>
          </w:p>
          <w:p w:rsidR="00BA132B" w:rsidRPr="00FB0D6F" w:rsidRDefault="00EC4F2E" w:rsidP="003506ED">
            <w:pPr>
              <w:pStyle w:val="Lgendestandard"/>
              <w:rPr>
                <w:b/>
                <w:szCs w:val="24"/>
              </w:rPr>
            </w:pPr>
            <w:r w:rsidRPr="00FB0D6F">
              <w:rPr>
                <w:b/>
              </w:rPr>
              <w:t>När parlamentets ändringsförslag utformas som en kon</w:t>
            </w:r>
            <w:r w:rsidRPr="00FB0D6F">
              <w:rPr>
                <w:b/>
              </w:rPr>
              <w:t>soliderad text gäller följande:</w:t>
            </w:r>
          </w:p>
          <w:p w:rsidR="00BA132B" w:rsidRPr="00FB0D6F" w:rsidRDefault="00BA132B" w:rsidP="003506ED">
            <w:pPr>
              <w:pStyle w:val="Lgendestandard"/>
              <w:rPr>
                <w:szCs w:val="24"/>
              </w:rPr>
            </w:pPr>
          </w:p>
          <w:p w:rsidR="00BA132B" w:rsidRPr="00FB0D6F" w:rsidRDefault="00EC4F2E" w:rsidP="003506ED">
            <w:pPr>
              <w:pStyle w:val="Lgendestandard"/>
              <w:rPr>
                <w:szCs w:val="24"/>
              </w:rPr>
            </w:pPr>
            <w:r w:rsidRPr="00FB0D6F">
              <w:t xml:space="preserve">Nya textdelar markeras med </w:t>
            </w:r>
            <w:r w:rsidRPr="00FB0D6F">
              <w:rPr>
                <w:b/>
                <w:bCs/>
                <w:i/>
                <w:iCs/>
              </w:rPr>
              <w:t>fetkursiv stil</w:t>
            </w:r>
            <w:r w:rsidRPr="00FB0D6F">
              <w:t xml:space="preserve">. Textdelar som utgår markeras med symbolen ▌eller med genomstrykning. Textdelar som ersätts anges genom att ny text markeras med </w:t>
            </w:r>
            <w:r w:rsidRPr="00FB0D6F">
              <w:rPr>
                <w:b/>
                <w:bCs/>
                <w:i/>
                <w:iCs/>
              </w:rPr>
              <w:t>fetkursiv stil</w:t>
            </w:r>
            <w:r w:rsidRPr="00FB0D6F">
              <w:t xml:space="preserve"> och text som utgår stryks eller marke</w:t>
            </w:r>
            <w:r w:rsidRPr="00FB0D6F">
              <w:t xml:space="preserve">ras med genomstrykning. </w:t>
            </w:r>
          </w:p>
          <w:p w:rsidR="00BA132B" w:rsidRPr="00FB0D6F" w:rsidRDefault="00EC4F2E" w:rsidP="003506ED">
            <w:pPr>
              <w:pStyle w:val="Lgendestandard"/>
            </w:pPr>
            <w:r w:rsidRPr="00FB0D6F">
              <w:t>Sådana ändringar som endast är tekniska och som gjorts av de berörda avdelningarna vid färdigställandet av den slutliga texten markeras däremot inte.</w:t>
            </w:r>
          </w:p>
          <w:p w:rsidR="00BA132B" w:rsidRPr="00FB0D6F" w:rsidRDefault="00BA132B" w:rsidP="0069092A">
            <w:pPr>
              <w:pStyle w:val="Lgendestandard"/>
            </w:pPr>
          </w:p>
        </w:tc>
      </w:tr>
    </w:tbl>
    <w:p w:rsidR="00BA132B" w:rsidRPr="00FB0D6F" w:rsidRDefault="00BA132B" w:rsidP="00894923"/>
    <w:p w:rsidR="00793EA9" w:rsidRPr="00FB0D6F" w:rsidRDefault="00793EA9" w:rsidP="00012351">
      <w:pPr>
        <w:widowControl/>
        <w:tabs>
          <w:tab w:val="center" w:pos="4677"/>
        </w:tabs>
      </w:pPr>
    </w:p>
    <w:p w:rsidR="00793EA9" w:rsidRPr="00FB0D6F" w:rsidRDefault="00EC4F2E">
      <w:pPr>
        <w:pStyle w:val="TOCHeading"/>
      </w:pPr>
      <w:r w:rsidRPr="00FB0D6F">
        <w:br w:type="page"/>
      </w:r>
      <w:r w:rsidRPr="00FB0D6F">
        <w:lastRenderedPageBreak/>
        <w:t>INNEHÅLL</w:t>
      </w:r>
    </w:p>
    <w:p w:rsidR="00793EA9" w:rsidRPr="00FB0D6F" w:rsidRDefault="00EC4F2E">
      <w:pPr>
        <w:pStyle w:val="TOCPage"/>
      </w:pPr>
      <w:r w:rsidRPr="00FB0D6F">
        <w:t>Sida</w:t>
      </w:r>
    </w:p>
    <w:p w:rsidR="00EC4F2E" w:rsidRDefault="00EC4F2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B0D6F">
        <w:rPr>
          <w:b/>
        </w:rPr>
        <w:fldChar w:fldCharType="begin"/>
      </w:r>
      <w:r w:rsidRPr="00FB0D6F">
        <w:rPr>
          <w:b/>
        </w:rPr>
        <w:instrText xml:space="preserve"> TOC \t "PageHeading</w:instrText>
      </w:r>
      <w:r w:rsidR="001D58A4" w:rsidRPr="00FB0D6F">
        <w:rPr>
          <w:b/>
        </w:rPr>
        <w:instrText>;</w:instrText>
      </w:r>
      <w:r w:rsidRPr="00FB0D6F">
        <w:rPr>
          <w:b/>
        </w:rPr>
        <w:instrText xml:space="preserve">1" </w:instrText>
      </w:r>
      <w:r w:rsidRPr="00FB0D6F">
        <w:rPr>
          <w:b/>
        </w:rPr>
        <w:fldChar w:fldCharType="separate"/>
      </w:r>
      <w:r>
        <w:rPr>
          <w:noProof/>
        </w:rPr>
        <w:t>FÖRSLAG TILL EUROPAPARLAMENTETS LAGSTIFTNINGSRESOLUTION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_Toc151472774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4F2E" w:rsidRDefault="00EC4F2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MOTIVERING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_Toc151472775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346B0" w:rsidRPr="00FB0D6F" w:rsidRDefault="00EC4F2E" w:rsidP="00C23324">
      <w:r w:rsidRPr="00FB0D6F">
        <w:rPr>
          <w:b/>
        </w:rPr>
        <w:fldChar w:fldCharType="end"/>
      </w:r>
    </w:p>
    <w:p w:rsidR="00793EA9" w:rsidRPr="00FB0D6F" w:rsidRDefault="00EC4F2E">
      <w:pPr>
        <w:pStyle w:val="PageHeading"/>
      </w:pPr>
      <w:r w:rsidRPr="00FB0D6F">
        <w:br w:type="page"/>
      </w:r>
      <w:r w:rsidRPr="00FB0D6F">
        <w:lastRenderedPageBreak/>
        <w:br w:type="page"/>
      </w:r>
      <w:bookmarkStart w:id="1" w:name="_Toc151472774"/>
      <w:r w:rsidRPr="00FB0D6F">
        <w:lastRenderedPageBreak/>
        <w:t>FÖRSLAG TILL EUROPAPARLAMENTETS LAGSTIFTNINGSRESOLUTION</w:t>
      </w:r>
      <w:bookmarkEnd w:id="1"/>
    </w:p>
    <w:p w:rsidR="00793EA9" w:rsidRPr="00FB0D6F" w:rsidRDefault="00EC4F2E">
      <w:pPr>
        <w:pStyle w:val="NormalBold"/>
      </w:pPr>
      <w:r w:rsidRPr="00FB0D6F">
        <w:t>om förslaget till Europaparlamentets och rådets förordning om fastställande av bevarande-, förvaltnings- och kontrollåtgärder för</w:t>
      </w:r>
      <w:r w:rsidRPr="00FB0D6F">
        <w:t xml:space="preserve"> det område som omfattas av konventionen om framtida multilateralt samarbete om fisket i Nordostatlanten, om ändring av Europaparlamentets och rådets förordning (EU) 2019/1241 och rådets förordning (EG) nr 1224/2009 och om upphävande av rådets förordning (</w:t>
      </w:r>
      <w:r w:rsidRPr="00FB0D6F">
        <w:t>EEG) nr 1899/85 och förordning (EU) nr 1236/2010</w:t>
      </w:r>
    </w:p>
    <w:p w:rsidR="00793EA9" w:rsidRPr="00FB0D6F" w:rsidRDefault="00EC4F2E">
      <w:pPr>
        <w:pStyle w:val="NormalBold12a"/>
      </w:pPr>
      <w:r w:rsidRPr="00FB0D6F">
        <w:t>(COM(2023)0362 – C9</w:t>
      </w:r>
      <w:r w:rsidRPr="00FB0D6F">
        <w:noBreakHyphen/>
        <w:t>0221/2023 – 2023/0206(COD))</w:t>
      </w:r>
    </w:p>
    <w:p w:rsidR="00793EA9" w:rsidRPr="00FB0D6F" w:rsidRDefault="00EC4F2E" w:rsidP="00A910C9">
      <w:pPr>
        <w:pStyle w:val="NormalBold"/>
      </w:pPr>
      <w:r w:rsidRPr="00FB0D6F">
        <w:t>(Ordinarie lagstiftningsförfarande: första behandlingen)</w:t>
      </w:r>
    </w:p>
    <w:p w:rsidR="00793EA9" w:rsidRPr="00FB0D6F" w:rsidRDefault="00EC4F2E" w:rsidP="00A910C9">
      <w:pPr>
        <w:pStyle w:val="EPComma"/>
      </w:pPr>
      <w:r w:rsidRPr="00FB0D6F">
        <w:rPr>
          <w:i/>
          <w:iCs/>
        </w:rPr>
        <w:t>Europaparlamentet utfärdar denna resolution</w:t>
      </w:r>
    </w:p>
    <w:p w:rsidR="00793EA9" w:rsidRPr="00FB0D6F" w:rsidRDefault="00EC4F2E">
      <w:pPr>
        <w:pStyle w:val="NormalHanging12a"/>
      </w:pPr>
      <w:r w:rsidRPr="00FB0D6F">
        <w:t>–</w:t>
      </w:r>
      <w:r w:rsidRPr="00FB0D6F">
        <w:tab/>
        <w:t>med beaktande av kommissionens förslag till Europaparlam</w:t>
      </w:r>
      <w:r w:rsidRPr="00FB0D6F">
        <w:t>entet och rådet (COM(2023)0362),</w:t>
      </w:r>
    </w:p>
    <w:p w:rsidR="00793EA9" w:rsidRPr="00FB0D6F" w:rsidRDefault="00EC4F2E">
      <w:pPr>
        <w:pStyle w:val="NormalHanging12a"/>
      </w:pPr>
      <w:r w:rsidRPr="00FB0D6F">
        <w:t>–</w:t>
      </w:r>
      <w:r w:rsidRPr="00FB0D6F">
        <w:tab/>
        <w:t>med beaktande av artiklarna 294.2 och 43.2 i fördraget om Europeiska unionens funktionssätt, i enlighet med vilka kommissionen har lagt fram sitt förslag för parlamentet (C9</w:t>
      </w:r>
      <w:r w:rsidRPr="00FB0D6F">
        <w:noBreakHyphen/>
        <w:t>0221/2023),</w:t>
      </w:r>
    </w:p>
    <w:p w:rsidR="00A26F46" w:rsidRPr="00FB0D6F" w:rsidRDefault="00EC4F2E" w:rsidP="00A26F46">
      <w:pPr>
        <w:pStyle w:val="NormalHanging12a"/>
      </w:pPr>
      <w:r w:rsidRPr="00FB0D6F">
        <w:t>–</w:t>
      </w:r>
      <w:r w:rsidRPr="00FB0D6F">
        <w:tab/>
        <w:t xml:space="preserve">med beaktande av artikel 294.3 i </w:t>
      </w:r>
      <w:r w:rsidRPr="00FB0D6F">
        <w:t>fördraget om Europeiska unionens funktionssätt,</w:t>
      </w:r>
    </w:p>
    <w:p w:rsidR="00BA132B" w:rsidRPr="00FB0D6F" w:rsidRDefault="00EC4F2E" w:rsidP="00AD7FA6">
      <w:pPr>
        <w:pStyle w:val="NormalHanging12a"/>
      </w:pPr>
      <w:r w:rsidRPr="00FB0D6F">
        <w:t>–</w:t>
      </w:r>
      <w:r w:rsidRPr="00FB0D6F">
        <w:tab/>
        <w:t>med beaktande av Europeiska ekonomiska och sociala kommitténs yttrande av den</w:t>
      </w:r>
      <w:r>
        <w:t> </w:t>
      </w:r>
      <w:r w:rsidRPr="00FB0D6F">
        <w:t>20</w:t>
      </w:r>
      <w:r>
        <w:t> </w:t>
      </w:r>
      <w:r w:rsidRPr="00FB0D6F">
        <w:t>september 2023</w:t>
      </w:r>
      <w:r w:rsidRPr="00FB0D6F">
        <w:rPr>
          <w:rStyle w:val="FootnoteReference"/>
        </w:rPr>
        <w:footnoteReference w:id="1"/>
      </w:r>
      <w:r w:rsidRPr="00FB0D6F">
        <w:t>,</w:t>
      </w:r>
    </w:p>
    <w:p w:rsidR="00793EA9" w:rsidRPr="00FB0D6F" w:rsidRDefault="00EC4F2E">
      <w:pPr>
        <w:pStyle w:val="NormalHanging12a"/>
      </w:pPr>
      <w:r w:rsidRPr="00FB0D6F">
        <w:t>–</w:t>
      </w:r>
      <w:r w:rsidRPr="00FB0D6F">
        <w:tab/>
        <w:t>med beaktande av artikel 59 i arbetsordningen,</w:t>
      </w:r>
    </w:p>
    <w:p w:rsidR="006A2F5D" w:rsidRPr="00FB0D6F" w:rsidRDefault="00EC4F2E" w:rsidP="006A2F5D">
      <w:pPr>
        <w:pStyle w:val="NormalHanging12a"/>
      </w:pPr>
      <w:r w:rsidRPr="00FB0D6F">
        <w:t>–</w:t>
      </w:r>
      <w:r w:rsidRPr="00FB0D6F">
        <w:tab/>
        <w:t>med beaktande av betänkandet fiskeriutskottet (A9</w:t>
      </w:r>
      <w:r w:rsidRPr="00FB0D6F">
        <w:noBreakHyphen/>
        <w:t>0000/20</w:t>
      </w:r>
      <w:r>
        <w:t>23).</w:t>
      </w:r>
    </w:p>
    <w:p w:rsidR="009F6C2F" w:rsidRPr="00FB0D6F" w:rsidRDefault="00EC4F2E" w:rsidP="009F6C2F">
      <w:pPr>
        <w:pStyle w:val="NormalHanging12a"/>
      </w:pPr>
      <w:r w:rsidRPr="00FB0D6F">
        <w:t>1.</w:t>
      </w:r>
      <w:r w:rsidRPr="00FB0D6F">
        <w:tab/>
        <w:t>Europaparlamentet antar nedanstående ståndpunkt vid första behandlingen.</w:t>
      </w:r>
    </w:p>
    <w:p w:rsidR="009F6C2F" w:rsidRPr="00FB0D6F" w:rsidRDefault="00EC4F2E" w:rsidP="009F6C2F">
      <w:pPr>
        <w:pStyle w:val="NormalHanging12a"/>
      </w:pPr>
      <w:r w:rsidRPr="00FB0D6F">
        <w:t>2.</w:t>
      </w:r>
      <w:r w:rsidRPr="00FB0D6F">
        <w:tab/>
        <w:t>Europaparlamentet uppmanar kommissionen att på nytt lägga fram ärendet för parlamentet om den ersätter, väsentligt ändrar eller har för avsikt att väsentligt ändra sitt för</w:t>
      </w:r>
      <w:r w:rsidRPr="00FB0D6F">
        <w:t>slag.</w:t>
      </w:r>
    </w:p>
    <w:p w:rsidR="009F6C2F" w:rsidRPr="00FB0D6F" w:rsidRDefault="00EC4F2E" w:rsidP="009F6C2F">
      <w:pPr>
        <w:pStyle w:val="NormalHanging12a"/>
      </w:pPr>
      <w:r w:rsidRPr="00FB0D6F">
        <w:t>3.</w:t>
      </w:r>
      <w:r w:rsidRPr="00FB0D6F">
        <w:tab/>
        <w:t>Europaparlamentet uppdrar åt talmannen att översända parlamentets ståndpunkt till rådet, kommissionen och de nationella parlamenten.</w:t>
      </w:r>
    </w:p>
    <w:p w:rsidR="00D30DE2" w:rsidRPr="00FB0D6F" w:rsidRDefault="00D30DE2" w:rsidP="00D30DE2"/>
    <w:p w:rsidR="0003479C" w:rsidRPr="00FB0D6F" w:rsidRDefault="00EC4F2E" w:rsidP="0003479C">
      <w:pPr>
        <w:pStyle w:val="AMNumberTabs0"/>
        <w:keepNext/>
      </w:pPr>
      <w:r w:rsidRPr="00FB0D6F">
        <w:rPr>
          <w:rStyle w:val="HideTWBExt"/>
          <w:b w:val="0"/>
        </w:rPr>
        <w:t>&lt;RepeatBlock-Amend&gt;&lt;Amend&gt;</w:t>
      </w:r>
      <w:r w:rsidRPr="00FB0D6F">
        <w:t>Ändringsförslag</w:t>
      </w:r>
      <w:r w:rsidRPr="00FB0D6F">
        <w:tab/>
      </w:r>
      <w:r w:rsidRPr="00FB0D6F">
        <w:tab/>
      </w:r>
      <w:r w:rsidRPr="00FB0D6F">
        <w:rPr>
          <w:rStyle w:val="HideTWBExt"/>
          <w:b w:val="0"/>
        </w:rPr>
        <w:t>&lt;NumAm&gt;</w:t>
      </w:r>
      <w:r w:rsidRPr="00FB0D6F">
        <w:t>1</w:t>
      </w:r>
      <w:r w:rsidRPr="00FB0D6F">
        <w:rPr>
          <w:rStyle w:val="HideTWBExt"/>
          <w:b w:val="0"/>
        </w:rPr>
        <w:t>&lt;/NumAm&gt;</w:t>
      </w:r>
    </w:p>
    <w:p w:rsidR="0003479C" w:rsidRPr="00FB0D6F" w:rsidRDefault="00EC4F2E" w:rsidP="0003479C">
      <w:pPr>
        <w:pStyle w:val="NormalBold12b"/>
        <w:keepNext/>
      </w:pPr>
      <w:r w:rsidRPr="00FB0D6F">
        <w:rPr>
          <w:rStyle w:val="HideTWBExt"/>
          <w:b w:val="0"/>
        </w:rPr>
        <w:t>&lt;DocAmend&gt;</w:t>
      </w:r>
      <w:r w:rsidRPr="00FB0D6F">
        <w:t>Förslag till förordning</w:t>
      </w:r>
      <w:r w:rsidRPr="00FB0D6F">
        <w:rPr>
          <w:rStyle w:val="HideTWBExt"/>
          <w:b w:val="0"/>
        </w:rPr>
        <w:t>&lt;/DocAmend&gt;</w:t>
      </w:r>
    </w:p>
    <w:p w:rsidR="0003479C" w:rsidRPr="00FB0D6F" w:rsidRDefault="00EC4F2E" w:rsidP="0003479C">
      <w:pPr>
        <w:pStyle w:val="NormalBold"/>
      </w:pPr>
      <w:r w:rsidRPr="00FB0D6F">
        <w:rPr>
          <w:rStyle w:val="HideTWBExt"/>
          <w:b w:val="0"/>
        </w:rPr>
        <w:t>&lt;Article</w:t>
      </w:r>
      <w:r w:rsidRPr="00FB0D6F">
        <w:rPr>
          <w:rStyle w:val="HideTWBExt"/>
          <w:b w:val="0"/>
        </w:rPr>
        <w:t>&gt;</w:t>
      </w:r>
      <w:r w:rsidRPr="00FB0D6F">
        <w:t>Artikel 1 – punkt 2</w:t>
      </w:r>
      <w:r w:rsidRPr="00FB0D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41EB" w:rsidRPr="00FB0D6F" w:rsidTr="0003479C">
        <w:trPr>
          <w:jc w:val="center"/>
        </w:trPr>
        <w:tc>
          <w:tcPr>
            <w:tcW w:w="9752" w:type="dxa"/>
            <w:gridSpan w:val="2"/>
          </w:tcPr>
          <w:p w:rsidR="0003479C" w:rsidRPr="00FB0D6F" w:rsidRDefault="0003479C">
            <w:pPr>
              <w:keepNext/>
            </w:pP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Kommissionens förslag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Ändringsförslag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2.</w:t>
            </w:r>
            <w:r w:rsidRPr="00FB0D6F">
              <w:tab/>
              <w:t xml:space="preserve">Denna förordning ska tillämpas </w:t>
            </w:r>
            <w:r w:rsidRPr="00FB0D6F">
              <w:rPr>
                <w:b/>
                <w:bCs/>
                <w:i/>
                <w:iCs/>
              </w:rPr>
              <w:t>utan att det påverkar tillämpningen av</w:t>
            </w:r>
            <w:r w:rsidRPr="00FB0D6F">
              <w:t xml:space="preserve"> skyldigheter som fastställs i befintliga förordningar inom fiskerisektorn, särskilt Europaparlamentets och rådets förordning (EU) 2017/2403</w:t>
            </w:r>
            <w:r w:rsidRPr="00FB0D6F">
              <w:rPr>
                <w:vertAlign w:val="superscript"/>
              </w:rPr>
              <w:t>42</w:t>
            </w:r>
            <w:r w:rsidRPr="00FB0D6F">
              <w:t xml:space="preserve"> och rådets förordningar (EG) nr 1005/2008</w:t>
            </w:r>
            <w:r w:rsidRPr="00FB0D6F">
              <w:rPr>
                <w:vertAlign w:val="superscript"/>
              </w:rPr>
              <w:t>43</w:t>
            </w:r>
            <w:r w:rsidRPr="00FB0D6F">
              <w:t xml:space="preserve"> och (EG) nr 1224/2009.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t>2.</w:t>
            </w:r>
            <w:r w:rsidRPr="00FB0D6F">
              <w:tab/>
              <w:t xml:space="preserve">Denna förordning ska tillämpas </w:t>
            </w:r>
            <w:r w:rsidRPr="00FB0D6F">
              <w:rPr>
                <w:b/>
                <w:bCs/>
                <w:i/>
                <w:iCs/>
              </w:rPr>
              <w:t xml:space="preserve">utan hinder </w:t>
            </w:r>
            <w:r w:rsidRPr="00FB0D6F">
              <w:rPr>
                <w:b/>
                <w:bCs/>
                <w:i/>
                <w:iCs/>
              </w:rPr>
              <w:t>av</w:t>
            </w:r>
            <w:r w:rsidRPr="00FB0D6F">
              <w:t xml:space="preserve"> skyldigheter som fastställs i befintliga förordningar inom fiskerisektorn, särskilt Europaparlamentets och rådets förordning (EU) 2017/2403</w:t>
            </w:r>
            <w:r w:rsidRPr="00FB0D6F">
              <w:rPr>
                <w:vertAlign w:val="superscript"/>
              </w:rPr>
              <w:t>42</w:t>
            </w:r>
            <w:r w:rsidRPr="00FB0D6F">
              <w:t xml:space="preserve"> och rådets förordningar (EG) nr 1005/2008</w:t>
            </w:r>
            <w:r w:rsidRPr="00FB0D6F">
              <w:rPr>
                <w:vertAlign w:val="superscript"/>
              </w:rPr>
              <w:t>43</w:t>
            </w:r>
            <w:r w:rsidRPr="00FB0D6F">
              <w:t xml:space="preserve"> och (EG) nr 1224/2009.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__________________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t>__________________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rPr>
                <w:vertAlign w:val="superscript"/>
              </w:rPr>
              <w:t xml:space="preserve">42 </w:t>
            </w:r>
            <w:r w:rsidRPr="00FB0D6F">
              <w:t>E</w:t>
            </w:r>
            <w:r w:rsidRPr="00FB0D6F">
              <w:t>uropaparlamentets och rådets förordning (EU) 2017/2403 av den 12 december 2017 om hållbar förvaltning av externa fiskeflottor och om upphävande av rådets förordning (EG) nr 1006/2008 (EUT L 347, 28.12.2017, s. 81).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rPr>
                <w:vertAlign w:val="superscript"/>
              </w:rPr>
              <w:t xml:space="preserve">42 </w:t>
            </w:r>
            <w:r w:rsidRPr="00FB0D6F">
              <w:t>Europaparlamentets och rådets förordni</w:t>
            </w:r>
            <w:r w:rsidRPr="00FB0D6F">
              <w:t>ng (EU) 2017/2403 av den 12 december 2017 om hållbar förvaltning av externa fiskeflottor och om upphävande av rådets förordning (EG) nr 1006/2008 (EUT L 347, 28.12.2017, s. 81).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rPr>
                <w:vertAlign w:val="superscript"/>
              </w:rPr>
              <w:t xml:space="preserve">43 </w:t>
            </w:r>
            <w:r w:rsidRPr="00FB0D6F">
              <w:t>Rådets förordning (EG) nr 1005/2008 av den 29 september 2008 om upprättand</w:t>
            </w:r>
            <w:r w:rsidRPr="00FB0D6F">
              <w:t>e av ett gemenskapssystem för att förebygga, motverka och undanröja olagligt, orapporterat och oreglerat fiske och om ändring av förordningarna (EEG) nr 2847/93, (EG) nr 1936/2001 och (EG) nr 601/2004 samt om upphävande av förordningarna (EG) nr 1093/94 oc</w:t>
            </w:r>
            <w:r w:rsidRPr="00FB0D6F">
              <w:t>h (EG) nr 1447/1999 (EUT L 286, 29.10.2008, s. 1).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rPr>
                <w:vertAlign w:val="superscript"/>
              </w:rPr>
              <w:t xml:space="preserve">43 </w:t>
            </w:r>
            <w:r w:rsidRPr="00FB0D6F">
              <w:t>Rådets förordning (EG) nr 1005/2008 av den 29 september 2008 om upprättande av ett gemenskapssystem för att förebygga, motverka och undanröja olagligt, orapporterat och oreglerat fiske och om ändring av</w:t>
            </w:r>
            <w:r w:rsidRPr="00FB0D6F">
              <w:t xml:space="preserve"> förordningarna (EEG) nr 2847/93, (EG) nr 1936/2001 och (EG) nr 601/2004 samt om upphävande av förordningarna (EG) nr 1093/94 och (EG) nr 1447/1999 (EUT L 286, 29.10.2008, s. 1).</w:t>
            </w:r>
          </w:p>
        </w:tc>
      </w:tr>
    </w:tbl>
    <w:p w:rsidR="0003479C" w:rsidRPr="00FB0D6F" w:rsidRDefault="00EC4F2E" w:rsidP="0003479C">
      <w:pPr>
        <w:pStyle w:val="Olang"/>
        <w:rPr>
          <w:sz w:val="24"/>
          <w:szCs w:val="24"/>
        </w:rPr>
      </w:pPr>
      <w:r w:rsidRPr="00FB0D6F">
        <w:rPr>
          <w:sz w:val="24"/>
          <w:szCs w:val="24"/>
        </w:rPr>
        <w:t xml:space="preserve">Or. </w:t>
      </w:r>
      <w:r w:rsidRPr="00FB0D6F">
        <w:rPr>
          <w:rStyle w:val="HideTWBExt"/>
        </w:rPr>
        <w:t>&lt;Original&gt;</w:t>
      </w:r>
      <w:r w:rsidRPr="00FB0D6F">
        <w:rPr>
          <w:rStyle w:val="HideTWBInt"/>
          <w:sz w:val="24"/>
          <w:szCs w:val="24"/>
        </w:rPr>
        <w:t>{EN}</w:t>
      </w:r>
      <w:r w:rsidRPr="00FB0D6F">
        <w:rPr>
          <w:sz w:val="24"/>
          <w:szCs w:val="24"/>
        </w:rPr>
        <w:t>en</w:t>
      </w:r>
      <w:r w:rsidRPr="00FB0D6F">
        <w:rPr>
          <w:rStyle w:val="HideTWBExt"/>
        </w:rPr>
        <w:t>&lt;/Original&gt;</w:t>
      </w:r>
    </w:p>
    <w:p w:rsidR="0003479C" w:rsidRPr="00FB0D6F" w:rsidRDefault="00EC4F2E" w:rsidP="0003479C">
      <w:pPr>
        <w:rPr>
          <w:szCs w:val="24"/>
        </w:rPr>
      </w:pPr>
      <w:r w:rsidRPr="00FB0D6F">
        <w:rPr>
          <w:rStyle w:val="HideTWBExt"/>
        </w:rPr>
        <w:t>&lt;/Amend&gt;</w:t>
      </w:r>
    </w:p>
    <w:p w:rsidR="0003479C" w:rsidRPr="00FB0D6F" w:rsidRDefault="00EC4F2E" w:rsidP="0003479C">
      <w:pPr>
        <w:pStyle w:val="AMNumberTabs0"/>
        <w:keepNext/>
      </w:pPr>
      <w:r w:rsidRPr="00FB0D6F">
        <w:rPr>
          <w:rStyle w:val="HideTWBExt"/>
          <w:b w:val="0"/>
        </w:rPr>
        <w:t>&lt;Amend&gt;</w:t>
      </w:r>
      <w:r w:rsidRPr="00FB0D6F">
        <w:t>Ändringsförslag</w:t>
      </w:r>
      <w:r w:rsidRPr="00FB0D6F">
        <w:tab/>
      </w:r>
      <w:r w:rsidRPr="00FB0D6F">
        <w:tab/>
      </w:r>
      <w:r w:rsidRPr="00FB0D6F">
        <w:rPr>
          <w:rStyle w:val="HideTWBExt"/>
          <w:b w:val="0"/>
        </w:rPr>
        <w:t>&lt;NumAm&gt;</w:t>
      </w:r>
      <w:r w:rsidRPr="00FB0D6F">
        <w:t>2</w:t>
      </w:r>
      <w:r w:rsidRPr="00FB0D6F">
        <w:rPr>
          <w:rStyle w:val="HideTWBExt"/>
          <w:b w:val="0"/>
        </w:rPr>
        <w:t>&lt;/N</w:t>
      </w:r>
      <w:r w:rsidRPr="00FB0D6F">
        <w:rPr>
          <w:rStyle w:val="HideTWBExt"/>
          <w:b w:val="0"/>
        </w:rPr>
        <w:t>umAm&gt;</w:t>
      </w:r>
    </w:p>
    <w:p w:rsidR="0003479C" w:rsidRPr="00FB0D6F" w:rsidRDefault="00EC4F2E" w:rsidP="0003479C">
      <w:pPr>
        <w:pStyle w:val="NormalBold12b"/>
        <w:keepNext/>
      </w:pPr>
      <w:r w:rsidRPr="00FB0D6F">
        <w:rPr>
          <w:rStyle w:val="HideTWBExt"/>
          <w:b w:val="0"/>
        </w:rPr>
        <w:t>&lt;DocAmend&gt;</w:t>
      </w:r>
      <w:r w:rsidRPr="00FB0D6F">
        <w:t>Förslag till förordning</w:t>
      </w:r>
      <w:r w:rsidRPr="00FB0D6F">
        <w:rPr>
          <w:rStyle w:val="HideTWBExt"/>
          <w:b w:val="0"/>
        </w:rPr>
        <w:t>&lt;/DocAmend&gt;</w:t>
      </w:r>
    </w:p>
    <w:p w:rsidR="0003479C" w:rsidRPr="00FB0D6F" w:rsidRDefault="00EC4F2E" w:rsidP="0003479C">
      <w:pPr>
        <w:pStyle w:val="NormalBold"/>
      </w:pPr>
      <w:r w:rsidRPr="00FB0D6F">
        <w:rPr>
          <w:rStyle w:val="HideTWBExt"/>
          <w:b w:val="0"/>
        </w:rPr>
        <w:t>&lt;Article&gt;</w:t>
      </w:r>
      <w:r w:rsidRPr="00FB0D6F">
        <w:t>Artikel 11 – rubriken</w:t>
      </w:r>
      <w:r w:rsidRPr="00FB0D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41EB" w:rsidRPr="00FB0D6F" w:rsidTr="0003479C">
        <w:trPr>
          <w:jc w:val="center"/>
        </w:trPr>
        <w:tc>
          <w:tcPr>
            <w:tcW w:w="9752" w:type="dxa"/>
            <w:gridSpan w:val="2"/>
          </w:tcPr>
          <w:p w:rsidR="0003479C" w:rsidRPr="00FB0D6F" w:rsidRDefault="0003479C">
            <w:pPr>
              <w:keepNext/>
            </w:pP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Kommissionens förslag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Ändringsförslag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rPr>
                <w:b/>
                <w:bCs/>
                <w:i/>
                <w:iCs/>
              </w:rPr>
              <w:t>Skräp</w:t>
            </w:r>
            <w:r w:rsidRPr="00FB0D6F">
              <w:t xml:space="preserve"> till havs och bärgning av förlorade redskap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rPr>
                <w:b/>
                <w:bCs/>
                <w:i/>
                <w:iCs/>
              </w:rPr>
              <w:t>Avfall</w:t>
            </w:r>
            <w:r w:rsidRPr="00FB0D6F">
              <w:rPr>
                <w:i/>
                <w:iCs/>
              </w:rPr>
              <w:t xml:space="preserve"> </w:t>
            </w:r>
            <w:r w:rsidRPr="00FB0D6F">
              <w:t>till havs och bärgning av förlorade redskap</w:t>
            </w:r>
          </w:p>
        </w:tc>
      </w:tr>
    </w:tbl>
    <w:p w:rsidR="0003479C" w:rsidRPr="00FB0D6F" w:rsidRDefault="00EC4F2E" w:rsidP="0003479C">
      <w:pPr>
        <w:pStyle w:val="Olang"/>
        <w:rPr>
          <w:sz w:val="24"/>
          <w:szCs w:val="24"/>
        </w:rPr>
      </w:pPr>
      <w:r w:rsidRPr="00FB0D6F">
        <w:rPr>
          <w:sz w:val="24"/>
          <w:szCs w:val="24"/>
        </w:rPr>
        <w:t xml:space="preserve">Or. </w:t>
      </w:r>
      <w:r w:rsidRPr="00FB0D6F">
        <w:rPr>
          <w:rStyle w:val="HideTWBExt"/>
        </w:rPr>
        <w:t>&lt;Original&gt;</w:t>
      </w:r>
      <w:r w:rsidRPr="00FB0D6F">
        <w:rPr>
          <w:rStyle w:val="HideTWBInt"/>
          <w:sz w:val="24"/>
          <w:szCs w:val="24"/>
        </w:rPr>
        <w:t>{EN}</w:t>
      </w:r>
      <w:r w:rsidRPr="00FB0D6F">
        <w:rPr>
          <w:sz w:val="24"/>
          <w:szCs w:val="24"/>
        </w:rPr>
        <w:t>en</w:t>
      </w:r>
      <w:r w:rsidRPr="00FB0D6F">
        <w:rPr>
          <w:rStyle w:val="HideTWBExt"/>
        </w:rPr>
        <w:t>&lt;/Original&gt;</w:t>
      </w:r>
    </w:p>
    <w:p w:rsidR="0003479C" w:rsidRPr="00FB0D6F" w:rsidRDefault="00EC4F2E" w:rsidP="0003479C">
      <w:pPr>
        <w:rPr>
          <w:szCs w:val="24"/>
        </w:rPr>
      </w:pPr>
      <w:r w:rsidRPr="00FB0D6F">
        <w:rPr>
          <w:rStyle w:val="HideTWBExt"/>
        </w:rPr>
        <w:t>&lt;/Amend&gt;</w:t>
      </w:r>
    </w:p>
    <w:p w:rsidR="0003479C" w:rsidRPr="00FB0D6F" w:rsidRDefault="00EC4F2E" w:rsidP="0003479C">
      <w:pPr>
        <w:pStyle w:val="AMNumberTabs0"/>
        <w:keepNext/>
      </w:pPr>
      <w:r w:rsidRPr="00FB0D6F">
        <w:rPr>
          <w:rStyle w:val="HideTWBExt"/>
          <w:b w:val="0"/>
        </w:rPr>
        <w:lastRenderedPageBreak/>
        <w:t>&lt;Amend&gt;</w:t>
      </w:r>
      <w:r w:rsidRPr="00FB0D6F">
        <w:t>Ändringsförslag</w:t>
      </w:r>
      <w:r w:rsidRPr="00FB0D6F">
        <w:tab/>
      </w:r>
      <w:r w:rsidRPr="00FB0D6F">
        <w:tab/>
      </w:r>
      <w:r w:rsidRPr="00FB0D6F">
        <w:rPr>
          <w:rStyle w:val="HideTWBExt"/>
          <w:b w:val="0"/>
        </w:rPr>
        <w:t>&lt;NumAm&gt;</w:t>
      </w:r>
      <w:r w:rsidRPr="00FB0D6F">
        <w:t>3</w:t>
      </w:r>
      <w:r w:rsidRPr="00FB0D6F">
        <w:rPr>
          <w:rStyle w:val="HideTWBExt"/>
          <w:b w:val="0"/>
        </w:rPr>
        <w:t>&lt;/NumAm&gt;</w:t>
      </w:r>
    </w:p>
    <w:p w:rsidR="0003479C" w:rsidRPr="00FB0D6F" w:rsidRDefault="00EC4F2E" w:rsidP="0003479C">
      <w:pPr>
        <w:pStyle w:val="NormalBold12b"/>
        <w:keepNext/>
      </w:pPr>
      <w:r w:rsidRPr="00FB0D6F">
        <w:rPr>
          <w:rStyle w:val="HideTWBExt"/>
          <w:b w:val="0"/>
        </w:rPr>
        <w:t>&lt;DocAmend&gt;</w:t>
      </w:r>
      <w:r w:rsidRPr="00FB0D6F">
        <w:t>Förslag till förordning</w:t>
      </w:r>
      <w:r w:rsidRPr="00FB0D6F">
        <w:rPr>
          <w:rStyle w:val="HideTWBExt"/>
          <w:b w:val="0"/>
        </w:rPr>
        <w:t>&lt;/DocAmend&gt;</w:t>
      </w:r>
    </w:p>
    <w:p w:rsidR="0003479C" w:rsidRPr="00FB0D6F" w:rsidRDefault="00EC4F2E" w:rsidP="0003479C">
      <w:pPr>
        <w:pStyle w:val="NormalBold"/>
      </w:pPr>
      <w:r w:rsidRPr="00FB0D6F">
        <w:rPr>
          <w:rStyle w:val="HideTWBExt"/>
          <w:b w:val="0"/>
        </w:rPr>
        <w:t>&lt;Article&gt;</w:t>
      </w:r>
      <w:r w:rsidRPr="00FB0D6F">
        <w:t>Artikel 11 – punkt 1</w:t>
      </w:r>
      <w:r w:rsidRPr="00FB0D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41EB" w:rsidRPr="00FB0D6F" w:rsidTr="0003479C">
        <w:trPr>
          <w:jc w:val="center"/>
        </w:trPr>
        <w:tc>
          <w:tcPr>
            <w:tcW w:w="9752" w:type="dxa"/>
            <w:gridSpan w:val="2"/>
          </w:tcPr>
          <w:p w:rsidR="0003479C" w:rsidRPr="00FB0D6F" w:rsidRDefault="0003479C">
            <w:pPr>
              <w:keepNext/>
            </w:pP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Kommissionens förslag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Ändringsförslag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1.</w:t>
            </w:r>
            <w:r w:rsidRPr="00FB0D6F">
              <w:tab/>
            </w:r>
            <w:r w:rsidRPr="00FB0D6F">
              <w:rPr>
                <w:b/>
                <w:bCs/>
                <w:i/>
                <w:iCs/>
              </w:rPr>
              <w:t>Det ska vara</w:t>
            </w:r>
            <w:r w:rsidRPr="00FB0D6F">
              <w:t xml:space="preserve"> </w:t>
            </w:r>
            <w:r w:rsidRPr="00FB0D6F">
              <w:rPr>
                <w:b/>
                <w:bCs/>
                <w:i/>
                <w:iCs/>
              </w:rPr>
              <w:t>förbjudet för</w:t>
            </w:r>
            <w:r w:rsidRPr="00FB0D6F">
              <w:t xml:space="preserve"> befälhavare på unionsfiskefartyg </w:t>
            </w:r>
            <w:r w:rsidRPr="00FB0D6F">
              <w:rPr>
                <w:b/>
                <w:bCs/>
                <w:i/>
                <w:iCs/>
              </w:rPr>
              <w:t xml:space="preserve">att </w:t>
            </w:r>
            <w:r w:rsidRPr="00FB0D6F">
              <w:t>avsiktligt</w:t>
            </w:r>
            <w:r w:rsidRPr="00FB0D6F">
              <w:rPr>
                <w:b/>
                <w:bCs/>
                <w:i/>
                <w:iCs/>
              </w:rPr>
              <w:t xml:space="preserve"> överge eller kasta</w:t>
            </w:r>
            <w:r w:rsidRPr="00FB0D6F">
              <w:t xml:space="preserve"> fiskeredskap överbord </w:t>
            </w:r>
            <w:r w:rsidRPr="00FB0D6F">
              <w:rPr>
                <w:b/>
                <w:bCs/>
                <w:i/>
                <w:iCs/>
              </w:rPr>
              <w:t>och att släppa ut</w:t>
            </w:r>
            <w:r w:rsidRPr="00FB0D6F">
              <w:t xml:space="preserve"> avfall från fartyg enligt definitionen i Europaparlamentets och rådets direktiv (EU) 2019/883</w:t>
            </w:r>
            <w:r w:rsidRPr="00FB0D6F">
              <w:rPr>
                <w:vertAlign w:val="superscript"/>
              </w:rPr>
              <w:t>48</w:t>
            </w:r>
            <w:r w:rsidRPr="00FB0D6F">
              <w:t xml:space="preserve"> i havet, i enlighet med Marpolkonventionens bilaga V om bestämmelser för förhindrande av utsläpp av avfall från fartyg.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t>1.</w:t>
            </w:r>
            <w:r w:rsidRPr="00FB0D6F">
              <w:tab/>
              <w:t xml:space="preserve">Befälhavare på unionsfiskefartyg </w:t>
            </w:r>
            <w:r w:rsidRPr="00FB0D6F">
              <w:rPr>
                <w:b/>
                <w:bCs/>
                <w:i/>
                <w:iCs/>
              </w:rPr>
              <w:t xml:space="preserve">är juridiskt ansvariga för att säkerställa att de inte </w:t>
            </w:r>
            <w:r w:rsidRPr="00FB0D6F">
              <w:t xml:space="preserve">avsiktligt </w:t>
            </w:r>
            <w:r w:rsidRPr="00FB0D6F">
              <w:rPr>
                <w:b/>
                <w:bCs/>
                <w:i/>
                <w:iCs/>
              </w:rPr>
              <w:t>överger eller kastar</w:t>
            </w:r>
            <w:r w:rsidRPr="00FB0D6F">
              <w:t xml:space="preserve"> fiskeredskap</w:t>
            </w:r>
            <w:r w:rsidRPr="00FB0D6F">
              <w:t xml:space="preserve"> överbord eller </w:t>
            </w:r>
            <w:r w:rsidRPr="00FB0D6F">
              <w:rPr>
                <w:b/>
                <w:bCs/>
                <w:i/>
                <w:iCs/>
              </w:rPr>
              <w:t>släpper ut någon typ av</w:t>
            </w:r>
            <w:r w:rsidRPr="00FB0D6F">
              <w:t xml:space="preserve"> avfall från </w:t>
            </w:r>
            <w:r w:rsidRPr="00FB0D6F">
              <w:rPr>
                <w:b/>
                <w:bCs/>
                <w:i/>
                <w:iCs/>
              </w:rPr>
              <w:t>sina</w:t>
            </w:r>
            <w:r w:rsidRPr="00FB0D6F">
              <w:rPr>
                <w:i/>
                <w:iCs/>
              </w:rPr>
              <w:t xml:space="preserve"> </w:t>
            </w:r>
            <w:r w:rsidRPr="00FB0D6F">
              <w:t>fartyg enligt definitionen i Europaparlamentets och rådets direktiv (EU) 2019/883</w:t>
            </w:r>
            <w:r w:rsidRPr="00FB0D6F">
              <w:rPr>
                <w:vertAlign w:val="superscript"/>
              </w:rPr>
              <w:t>48</w:t>
            </w:r>
            <w:r w:rsidRPr="00FB0D6F">
              <w:t xml:space="preserve"> i havet, i enlighet med Marpolkonventionens bilaga V om bestämmelser för förhindrande av utsläpp av avfall från far</w:t>
            </w:r>
            <w:r w:rsidRPr="00FB0D6F">
              <w:t>tyg.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__________________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t>__________________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rPr>
                <w:vertAlign w:val="superscript"/>
              </w:rPr>
              <w:t xml:space="preserve">48 </w:t>
            </w:r>
            <w:r w:rsidRPr="00FB0D6F">
              <w:t>Europaparlamentets och rådets direktiv (EU) 2019/883 av den 17 april 2019 om mottagningsanordningar i hamn för avlämning av avfall från fartyg, om ändring av direktiv 2010/65/EU och upphävande av direktiv 200</w:t>
            </w:r>
            <w:r w:rsidRPr="00FB0D6F">
              <w:t>0/59/EG (EUT L 151, 7.6.2019, s. 116).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rPr>
                <w:vertAlign w:val="superscript"/>
              </w:rPr>
              <w:t xml:space="preserve">48 </w:t>
            </w:r>
            <w:r w:rsidRPr="00FB0D6F">
              <w:t>Europaparlamentets och rådets direktiv (EU) 2019/883 av den 17 april 2019 om mottagningsanordningar i hamn för avlämning av avfall från fartyg, om ändring av direktiv 2010/65/EU och upphävande av direktiv 2000/59/E</w:t>
            </w:r>
            <w:r w:rsidRPr="00FB0D6F">
              <w:t>G (EUT L 151, 7.6.2019, s. 116).</w:t>
            </w:r>
          </w:p>
        </w:tc>
      </w:tr>
    </w:tbl>
    <w:p w:rsidR="0003479C" w:rsidRPr="00FB0D6F" w:rsidRDefault="00EC4F2E" w:rsidP="0003479C">
      <w:pPr>
        <w:pStyle w:val="Olang"/>
        <w:rPr>
          <w:sz w:val="24"/>
          <w:szCs w:val="24"/>
        </w:rPr>
      </w:pPr>
      <w:r w:rsidRPr="00FB0D6F">
        <w:rPr>
          <w:sz w:val="24"/>
          <w:szCs w:val="24"/>
        </w:rPr>
        <w:t xml:space="preserve">Or. </w:t>
      </w:r>
      <w:r w:rsidRPr="00FB0D6F">
        <w:rPr>
          <w:rStyle w:val="HideTWBExt"/>
        </w:rPr>
        <w:t>&lt;Original&gt;</w:t>
      </w:r>
      <w:r w:rsidRPr="00FB0D6F">
        <w:rPr>
          <w:rStyle w:val="HideTWBInt"/>
          <w:sz w:val="24"/>
          <w:szCs w:val="24"/>
        </w:rPr>
        <w:t>{EN}</w:t>
      </w:r>
      <w:r w:rsidRPr="00FB0D6F">
        <w:rPr>
          <w:sz w:val="24"/>
          <w:szCs w:val="24"/>
        </w:rPr>
        <w:t>en</w:t>
      </w:r>
      <w:r w:rsidRPr="00FB0D6F">
        <w:rPr>
          <w:rStyle w:val="HideTWBExt"/>
        </w:rPr>
        <w:t>&lt;/Original&gt;</w:t>
      </w:r>
    </w:p>
    <w:p w:rsidR="0003479C" w:rsidRPr="00FB0D6F" w:rsidRDefault="00EC4F2E" w:rsidP="0003479C">
      <w:pPr>
        <w:rPr>
          <w:szCs w:val="24"/>
        </w:rPr>
      </w:pPr>
      <w:r w:rsidRPr="00FB0D6F">
        <w:rPr>
          <w:rStyle w:val="HideTWBExt"/>
        </w:rPr>
        <w:t>&lt;/Amend&gt;</w:t>
      </w:r>
    </w:p>
    <w:p w:rsidR="0003479C" w:rsidRPr="00FB0D6F" w:rsidRDefault="00EC4F2E" w:rsidP="0003479C">
      <w:pPr>
        <w:pStyle w:val="AMNumberTabs0"/>
        <w:keepNext/>
      </w:pPr>
      <w:r w:rsidRPr="00FB0D6F">
        <w:rPr>
          <w:rStyle w:val="HideTWBExt"/>
          <w:b w:val="0"/>
        </w:rPr>
        <w:t>&lt;Amend&gt;</w:t>
      </w:r>
      <w:r w:rsidRPr="00FB0D6F">
        <w:t>Ändringsförslag</w:t>
      </w:r>
      <w:r w:rsidRPr="00FB0D6F">
        <w:tab/>
      </w:r>
      <w:r w:rsidRPr="00FB0D6F">
        <w:tab/>
      </w:r>
      <w:r w:rsidRPr="00FB0D6F">
        <w:rPr>
          <w:rStyle w:val="HideTWBExt"/>
          <w:b w:val="0"/>
        </w:rPr>
        <w:t>&lt;NumAm&gt;</w:t>
      </w:r>
      <w:r w:rsidRPr="00FB0D6F">
        <w:t>4</w:t>
      </w:r>
      <w:r w:rsidRPr="00FB0D6F">
        <w:rPr>
          <w:rStyle w:val="HideTWBExt"/>
          <w:b w:val="0"/>
        </w:rPr>
        <w:t>&lt;/NumAm&gt;</w:t>
      </w:r>
    </w:p>
    <w:p w:rsidR="0003479C" w:rsidRPr="00FB0D6F" w:rsidRDefault="00EC4F2E" w:rsidP="0003479C">
      <w:pPr>
        <w:pStyle w:val="NormalBold12b"/>
        <w:keepNext/>
      </w:pPr>
      <w:r w:rsidRPr="00FB0D6F">
        <w:rPr>
          <w:rStyle w:val="HideTWBExt"/>
          <w:b w:val="0"/>
        </w:rPr>
        <w:t>&lt;DocAmend&gt;</w:t>
      </w:r>
      <w:r w:rsidRPr="00FB0D6F">
        <w:t>Förslag till förordning</w:t>
      </w:r>
      <w:r w:rsidRPr="00FB0D6F">
        <w:rPr>
          <w:rStyle w:val="HideTWBExt"/>
          <w:b w:val="0"/>
        </w:rPr>
        <w:t>&lt;/DocAmend&gt;</w:t>
      </w:r>
    </w:p>
    <w:p w:rsidR="0003479C" w:rsidRPr="00FB0D6F" w:rsidRDefault="00EC4F2E" w:rsidP="0003479C">
      <w:pPr>
        <w:pStyle w:val="NormalBold"/>
      </w:pPr>
      <w:r w:rsidRPr="00FB0D6F">
        <w:rPr>
          <w:rStyle w:val="HideTWBExt"/>
          <w:b w:val="0"/>
        </w:rPr>
        <w:t>&lt;Article&gt;</w:t>
      </w:r>
      <w:r w:rsidRPr="00FB0D6F">
        <w:t>Artikel 52 – punkt 1</w:t>
      </w:r>
      <w:r w:rsidRPr="00FB0D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41EB" w:rsidRPr="00FB0D6F" w:rsidTr="0003479C">
        <w:trPr>
          <w:jc w:val="center"/>
        </w:trPr>
        <w:tc>
          <w:tcPr>
            <w:tcW w:w="9752" w:type="dxa"/>
            <w:gridSpan w:val="2"/>
          </w:tcPr>
          <w:p w:rsidR="0003479C" w:rsidRPr="00FB0D6F" w:rsidRDefault="0003479C">
            <w:pPr>
              <w:keepNext/>
            </w:pP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Kommissionens förslag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Ändringsförslag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1.</w:t>
            </w:r>
            <w:r w:rsidRPr="00FB0D6F">
              <w:tab/>
            </w:r>
            <w:r w:rsidRPr="00FB0D6F">
              <w:t>Hamnmedlemsstaterna ska säkerställa att kamera- och sensorteknik används för att övervaka landnings- och bearbetningsanläggningar där vägning sker av mer än 3 000 ton per år av de arter som avses i artikel 48.</w:t>
            </w:r>
          </w:p>
        </w:tc>
        <w:tc>
          <w:tcPr>
            <w:tcW w:w="4876" w:type="dxa"/>
            <w:hideMark/>
          </w:tcPr>
          <w:p w:rsidR="0003479C" w:rsidRPr="00FB0D6F" w:rsidRDefault="00EC4F2E" w:rsidP="005D3478">
            <w:pPr>
              <w:pStyle w:val="Normal6"/>
              <w:rPr>
                <w:szCs w:val="24"/>
              </w:rPr>
            </w:pPr>
            <w:r w:rsidRPr="00FB0D6F">
              <w:t>1.</w:t>
            </w:r>
            <w:r w:rsidRPr="00FB0D6F">
              <w:tab/>
              <w:t xml:space="preserve">Hamnmedlemsstaterna ska säkerställa att </w:t>
            </w:r>
            <w:r w:rsidRPr="00FB0D6F">
              <w:t xml:space="preserve">kamera- och sensorteknik används för att övervaka landnings- och bearbetningsanläggningar där vägning sker av mer än 3 000 ton per år av de arter som avses i artikel 48. </w:t>
            </w:r>
            <w:r w:rsidRPr="00FB0D6F">
              <w:rPr>
                <w:b/>
                <w:i/>
              </w:rPr>
              <w:t>Dessa åtgärder ska tillämpas på landningar som överstiger 10 ton av dessa arter.</w:t>
            </w:r>
          </w:p>
        </w:tc>
      </w:tr>
    </w:tbl>
    <w:p w:rsidR="0003479C" w:rsidRPr="00FB0D6F" w:rsidRDefault="00EC4F2E" w:rsidP="0003479C">
      <w:pPr>
        <w:pStyle w:val="Olang"/>
        <w:rPr>
          <w:sz w:val="24"/>
          <w:szCs w:val="24"/>
        </w:rPr>
      </w:pPr>
      <w:r w:rsidRPr="00FB0D6F">
        <w:rPr>
          <w:sz w:val="24"/>
          <w:szCs w:val="24"/>
        </w:rPr>
        <w:t xml:space="preserve">Or. </w:t>
      </w:r>
      <w:r w:rsidRPr="00FB0D6F">
        <w:rPr>
          <w:rStyle w:val="HideTWBExt"/>
        </w:rPr>
        <w:t>&lt;Original&gt;</w:t>
      </w:r>
      <w:r w:rsidRPr="00FB0D6F">
        <w:rPr>
          <w:rStyle w:val="HideTWBInt"/>
          <w:sz w:val="24"/>
          <w:szCs w:val="24"/>
        </w:rPr>
        <w:t>{EN}</w:t>
      </w:r>
      <w:r w:rsidRPr="00FB0D6F">
        <w:rPr>
          <w:sz w:val="24"/>
          <w:szCs w:val="24"/>
        </w:rPr>
        <w:t>en</w:t>
      </w:r>
      <w:r w:rsidRPr="00FB0D6F">
        <w:rPr>
          <w:rStyle w:val="HideTWBExt"/>
        </w:rPr>
        <w:t>&lt;/Original&gt;</w:t>
      </w:r>
    </w:p>
    <w:p w:rsidR="0003479C" w:rsidRPr="00FB0D6F" w:rsidRDefault="00EC4F2E" w:rsidP="0003479C">
      <w:pPr>
        <w:rPr>
          <w:szCs w:val="24"/>
        </w:rPr>
      </w:pPr>
      <w:r w:rsidRPr="00FB0D6F">
        <w:rPr>
          <w:rStyle w:val="HideTWBExt"/>
        </w:rPr>
        <w:t>&lt;/Amend&gt;</w:t>
      </w:r>
    </w:p>
    <w:p w:rsidR="0003479C" w:rsidRPr="00FB0D6F" w:rsidRDefault="00EC4F2E" w:rsidP="0003479C">
      <w:pPr>
        <w:pStyle w:val="AMNumberTabs0"/>
        <w:keepNext/>
      </w:pPr>
      <w:r w:rsidRPr="00FB0D6F">
        <w:rPr>
          <w:rStyle w:val="HideTWBExt"/>
          <w:b w:val="0"/>
        </w:rPr>
        <w:lastRenderedPageBreak/>
        <w:t>&lt;Amend&gt;</w:t>
      </w:r>
      <w:r w:rsidRPr="00FB0D6F">
        <w:t>Ändringsförslag</w:t>
      </w:r>
      <w:r w:rsidRPr="00FB0D6F">
        <w:tab/>
      </w:r>
      <w:r w:rsidRPr="00FB0D6F">
        <w:tab/>
      </w:r>
      <w:r w:rsidRPr="00FB0D6F">
        <w:rPr>
          <w:rStyle w:val="HideTWBExt"/>
          <w:b w:val="0"/>
        </w:rPr>
        <w:t>&lt;NumAm&gt;</w:t>
      </w:r>
      <w:r w:rsidRPr="00FB0D6F">
        <w:t>5</w:t>
      </w:r>
      <w:r w:rsidRPr="00FB0D6F">
        <w:rPr>
          <w:rStyle w:val="HideTWBExt"/>
          <w:b w:val="0"/>
        </w:rPr>
        <w:t>&lt;/NumAm&gt;</w:t>
      </w:r>
    </w:p>
    <w:p w:rsidR="0003479C" w:rsidRPr="00FB0D6F" w:rsidRDefault="00EC4F2E" w:rsidP="0003479C">
      <w:pPr>
        <w:pStyle w:val="NormalBold12b"/>
        <w:keepNext/>
      </w:pPr>
      <w:r w:rsidRPr="00FB0D6F">
        <w:rPr>
          <w:rStyle w:val="HideTWBExt"/>
          <w:b w:val="0"/>
        </w:rPr>
        <w:t>&lt;DocAmend&gt;</w:t>
      </w:r>
      <w:r w:rsidRPr="00FB0D6F">
        <w:t>Förslag till förordning</w:t>
      </w:r>
      <w:r w:rsidRPr="00FB0D6F">
        <w:rPr>
          <w:rStyle w:val="HideTWBExt"/>
          <w:b w:val="0"/>
        </w:rPr>
        <w:t>&lt;/DocAmend&gt;</w:t>
      </w:r>
    </w:p>
    <w:p w:rsidR="0003479C" w:rsidRPr="00FB0D6F" w:rsidRDefault="00EC4F2E" w:rsidP="0003479C">
      <w:pPr>
        <w:pStyle w:val="NormalBold"/>
      </w:pPr>
      <w:r w:rsidRPr="00FB0D6F">
        <w:rPr>
          <w:rStyle w:val="HideTWBExt"/>
          <w:b w:val="0"/>
        </w:rPr>
        <w:t>&lt;Article&gt;</w:t>
      </w:r>
      <w:r w:rsidRPr="00FB0D6F">
        <w:t>Artikel 54 – punkt 1 – inledningen</w:t>
      </w:r>
      <w:r w:rsidRPr="00FB0D6F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41EB" w:rsidRPr="00FB0D6F" w:rsidTr="0003479C">
        <w:trPr>
          <w:jc w:val="center"/>
        </w:trPr>
        <w:tc>
          <w:tcPr>
            <w:tcW w:w="9752" w:type="dxa"/>
            <w:gridSpan w:val="2"/>
          </w:tcPr>
          <w:p w:rsidR="0003479C" w:rsidRPr="00FB0D6F" w:rsidRDefault="0003479C">
            <w:pPr>
              <w:keepNext/>
            </w:pP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Kommissionens förslag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ColumnHeading"/>
              <w:keepNext/>
            </w:pPr>
            <w:r w:rsidRPr="00FB0D6F">
              <w:t>Ändringsförslag</w:t>
            </w:r>
          </w:p>
        </w:tc>
      </w:tr>
      <w:tr w:rsidR="001741EB" w:rsidRPr="00FB0D6F" w:rsidTr="0003479C">
        <w:trPr>
          <w:jc w:val="center"/>
        </w:trPr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</w:pPr>
            <w:r w:rsidRPr="00FB0D6F">
              <w:t>1.</w:t>
            </w:r>
            <w:r w:rsidRPr="00FB0D6F">
              <w:tab/>
            </w:r>
            <w:r w:rsidRPr="00FB0D6F">
              <w:t xml:space="preserve">Kommissionen ges befogenhet att anta delegerade akter i enlighet med artikel 55 med avseende på åtgärder som antas av NEAFC </w:t>
            </w:r>
            <w:r w:rsidRPr="00FB0D6F">
              <w:rPr>
                <w:b/>
                <w:bCs/>
                <w:i/>
                <w:iCs/>
              </w:rPr>
              <w:t>rörande</w:t>
            </w:r>
          </w:p>
        </w:tc>
        <w:tc>
          <w:tcPr>
            <w:tcW w:w="4876" w:type="dxa"/>
            <w:hideMark/>
          </w:tcPr>
          <w:p w:rsidR="0003479C" w:rsidRPr="00FB0D6F" w:rsidRDefault="00EC4F2E">
            <w:pPr>
              <w:pStyle w:val="Normal6"/>
              <w:rPr>
                <w:szCs w:val="24"/>
              </w:rPr>
            </w:pPr>
            <w:r w:rsidRPr="00FB0D6F">
              <w:t>1.</w:t>
            </w:r>
            <w:r w:rsidRPr="00FB0D6F">
              <w:tab/>
              <w:t>Kommissionen ges befogenhet att anta delegerade akter i enlighet med artikel 55 med avseende på åtgärder som antas av NEA</w:t>
            </w:r>
            <w:r w:rsidRPr="00FB0D6F">
              <w:t xml:space="preserve">FC </w:t>
            </w:r>
            <w:r w:rsidRPr="00FB0D6F">
              <w:rPr>
                <w:b/>
                <w:bCs/>
                <w:i/>
                <w:iCs/>
              </w:rPr>
              <w:t>med avseende på</w:t>
            </w:r>
          </w:p>
        </w:tc>
      </w:tr>
    </w:tbl>
    <w:p w:rsidR="0003479C" w:rsidRPr="00FB0D6F" w:rsidRDefault="00EC4F2E" w:rsidP="0003479C">
      <w:pPr>
        <w:pStyle w:val="Olang"/>
        <w:rPr>
          <w:sz w:val="24"/>
          <w:szCs w:val="24"/>
        </w:rPr>
      </w:pPr>
      <w:r w:rsidRPr="00FB0D6F">
        <w:rPr>
          <w:sz w:val="24"/>
          <w:szCs w:val="24"/>
        </w:rPr>
        <w:t xml:space="preserve">Or. </w:t>
      </w:r>
      <w:r w:rsidRPr="00FB0D6F">
        <w:rPr>
          <w:rStyle w:val="HideTWBExt"/>
        </w:rPr>
        <w:t>&lt;Original&gt;</w:t>
      </w:r>
      <w:r w:rsidRPr="00FB0D6F">
        <w:rPr>
          <w:rStyle w:val="HideTWBInt"/>
          <w:sz w:val="24"/>
          <w:szCs w:val="24"/>
        </w:rPr>
        <w:t>{EN}</w:t>
      </w:r>
      <w:r w:rsidRPr="00FB0D6F">
        <w:rPr>
          <w:sz w:val="24"/>
          <w:szCs w:val="24"/>
        </w:rPr>
        <w:t>en</w:t>
      </w:r>
      <w:r w:rsidRPr="00FB0D6F">
        <w:rPr>
          <w:rStyle w:val="HideTWBExt"/>
        </w:rPr>
        <w:t>&lt;/Original&gt;</w:t>
      </w:r>
    </w:p>
    <w:p w:rsidR="0003479C" w:rsidRPr="00FB0D6F" w:rsidRDefault="00EC4F2E" w:rsidP="0003479C">
      <w:pPr>
        <w:rPr>
          <w:szCs w:val="24"/>
        </w:rPr>
      </w:pPr>
      <w:r w:rsidRPr="00FB0D6F">
        <w:rPr>
          <w:rStyle w:val="HideTWBExt"/>
        </w:rPr>
        <w:t>&lt;/Amend&gt;&lt;/RepeatBlock-Amend&gt;</w:t>
      </w:r>
    </w:p>
    <w:p w:rsidR="0003479C" w:rsidRPr="00FB0D6F" w:rsidRDefault="0003479C" w:rsidP="0003479C"/>
    <w:p w:rsidR="0003479C" w:rsidRPr="00FB0D6F" w:rsidRDefault="00EC4F2E">
      <w:pPr>
        <w:widowControl/>
      </w:pPr>
      <w:r w:rsidRPr="00FB0D6F">
        <w:br w:type="page"/>
      </w:r>
    </w:p>
    <w:p w:rsidR="002669B6" w:rsidRPr="00FB0D6F" w:rsidRDefault="00EC4F2E" w:rsidP="0003479C">
      <w:pPr>
        <w:pStyle w:val="PageHeading"/>
      </w:pPr>
      <w:bookmarkStart w:id="2" w:name="_Toc151472775"/>
      <w:r w:rsidRPr="00FB0D6F">
        <w:lastRenderedPageBreak/>
        <w:t>MOTIVERING</w:t>
      </w:r>
      <w:bookmarkEnd w:id="2"/>
    </w:p>
    <w:p w:rsidR="0003479C" w:rsidRPr="00FB0D6F" w:rsidRDefault="00EC4F2E" w:rsidP="00EC4F2E">
      <w:pPr>
        <w:pStyle w:val="NormalWeb"/>
        <w:spacing w:before="240" w:beforeAutospacing="0" w:after="240" w:afterAutospacing="0"/>
        <w:rPr>
          <w:sz w:val="28"/>
        </w:rPr>
      </w:pPr>
      <w:r w:rsidRPr="00FB0D6F">
        <w:rPr>
          <w:color w:val="000000"/>
        </w:rPr>
        <w:t xml:space="preserve">Föredraganden välkomnar det förslag till förordning som sammanställer och genomför de bevarande-, förvaltnings- och kontrollåtgärder som antagits av </w:t>
      </w:r>
      <w:r w:rsidRPr="00FB0D6F">
        <w:rPr>
          <w:color w:val="000000"/>
        </w:rPr>
        <w:t xml:space="preserve">Nordostatlantiska fiskerikommissionen (NEAFC) i unionsrätten. För att säkerställa ett hållbart utnyttjande av marina biologiska resurser och lika villkor inom NEAFC:s konventionsområde, bör införlivandet av rekommendationerna i EU-lagstiftningen slutföras </w:t>
      </w:r>
      <w:r w:rsidRPr="00FB0D6F">
        <w:rPr>
          <w:color w:val="000000"/>
        </w:rPr>
        <w:t>snabbt.</w:t>
      </w:r>
    </w:p>
    <w:p w:rsidR="0003479C" w:rsidRPr="00FB0D6F" w:rsidRDefault="00EC4F2E" w:rsidP="00EC4F2E">
      <w:pPr>
        <w:pStyle w:val="NormalWeb"/>
        <w:spacing w:before="240" w:beforeAutospacing="0" w:after="240" w:afterAutospacing="0"/>
        <w:rPr>
          <w:sz w:val="28"/>
        </w:rPr>
      </w:pPr>
      <w:r w:rsidRPr="00FB0D6F">
        <w:rPr>
          <w:color w:val="000000"/>
        </w:rPr>
        <w:t xml:space="preserve">NEAFC spelar en viktig roll när det gäller att reglera och bevara de marina resurserna, övervaka fiskeverksamheten och skydda de ömtåliga ekosystemen i detta område. Genom att införliva NEAFC:s rekommendationer i unionslagstiftningen kan </w:t>
      </w:r>
      <w:r w:rsidRPr="00FB0D6F">
        <w:rPr>
          <w:color w:val="000000"/>
        </w:rPr>
        <w:t>EU-fartygen säkerställa att deras fiskemetoder överensstämmer med internationella avtal och åtaganden och främja en ansvarsfull och miljövänlig fiskeriförvaltning. Införlivandet underlättar samarbetet mellan EU:s medlemsstater och internationella partner o</w:t>
      </w:r>
      <w:r w:rsidRPr="00FB0D6F">
        <w:rPr>
          <w:color w:val="000000"/>
        </w:rPr>
        <w:t>ch stärker vårt gemensamma engagemang för att bekämpa överfiske, skydda sårbara arter och ekosystem och upprätthålla fiskets långsiktiga livskraft i Nordatlantens östra del.</w:t>
      </w:r>
    </w:p>
    <w:p w:rsidR="0003479C" w:rsidRPr="00FB0D6F" w:rsidRDefault="00EC4F2E" w:rsidP="00EC4F2E">
      <w:pPr>
        <w:pStyle w:val="NormalWeb"/>
        <w:spacing w:before="240" w:beforeAutospacing="0" w:after="240" w:afterAutospacing="0"/>
        <w:rPr>
          <w:sz w:val="28"/>
        </w:rPr>
      </w:pPr>
      <w:r w:rsidRPr="00FB0D6F">
        <w:rPr>
          <w:color w:val="000000"/>
        </w:rPr>
        <w:t>Föredraganden vill också betona vikten av målen för den gemensamma fiskeripolitike</w:t>
      </w:r>
      <w:r w:rsidRPr="00FB0D6F">
        <w:rPr>
          <w:color w:val="000000"/>
        </w:rPr>
        <w:t>n, särskilt de miljöåtaganden som gäller när EU-fartyg är verksamma i vatten utanför EU och efterlevnaden av respektive regionala fiskeriförvaltningsorganisationers regler. Om reglerna för den gemensamma fiskeripolitiken genomförs på ett korrekt sätt utgör</w:t>
      </w:r>
      <w:r w:rsidRPr="00FB0D6F">
        <w:rPr>
          <w:color w:val="000000"/>
        </w:rPr>
        <w:t xml:space="preserve"> de en ambitiös och hållbar strategi för fiskeriförvaltningen.</w:t>
      </w:r>
    </w:p>
    <w:p w:rsidR="0003479C" w:rsidRPr="00FB0D6F" w:rsidRDefault="00EC4F2E" w:rsidP="00EC4F2E">
      <w:pPr>
        <w:pStyle w:val="NormalWeb"/>
        <w:spacing w:before="240" w:beforeAutospacing="0" w:after="240" w:afterAutospacing="0"/>
        <w:rPr>
          <w:sz w:val="28"/>
        </w:rPr>
      </w:pPr>
      <w:r w:rsidRPr="00FB0D6F">
        <w:rPr>
          <w:color w:val="000000"/>
        </w:rPr>
        <w:t>År 2022 hade unionen 301 fiskefartyg som hade tillstånd att bedriva fiske i det område som regleras av NEAFC, det vill säga utanför de vatten som står under de avtalsslutande parternas fiskerij</w:t>
      </w:r>
      <w:r w:rsidRPr="00FB0D6F">
        <w:rPr>
          <w:color w:val="000000"/>
        </w:rPr>
        <w:t>urisdiktion. Unionens faktiska fiskeinsatser har dock varit ganska begränsade, och Litauen, Lettland och Estland har i nuläget den mest betydande fiskeverksamheten i de internationella vattnen i Barents hav. Vissa unionsfartyg från Portugal, Spanien, Frank</w:t>
      </w:r>
      <w:r w:rsidRPr="00FB0D6F">
        <w:rPr>
          <w:color w:val="000000"/>
        </w:rPr>
        <w:t>rike och Nederländerna fiskar också i andra områden i mindre utsträckning. Den allra största delen av fiskeverksamheten är därmed koncentrerad till unionens vatten.</w:t>
      </w:r>
    </w:p>
    <w:p w:rsidR="0003479C" w:rsidRPr="00FB0D6F" w:rsidRDefault="00EC4F2E" w:rsidP="00EC4F2E">
      <w:pPr>
        <w:pStyle w:val="NormalWeb"/>
        <w:spacing w:before="240" w:beforeAutospacing="0" w:after="240" w:afterAutospacing="0"/>
        <w:rPr>
          <w:color w:val="000000"/>
          <w:szCs w:val="22"/>
        </w:rPr>
      </w:pPr>
      <w:r w:rsidRPr="00FB0D6F">
        <w:rPr>
          <w:color w:val="000000"/>
        </w:rPr>
        <w:t>Föredraganden noterar att avdelning III i förslaget till förordning genomför fiskesamrådens</w:t>
      </w:r>
      <w:r w:rsidRPr="00FB0D6F">
        <w:rPr>
          <w:color w:val="000000"/>
        </w:rPr>
        <w:t xml:space="preserve"> överenskomna slutsatser mellan Norge, EU, Färöarna, Grönland, Island och Förenade kungariket om kontrollåtgärder för pelagiska bestånd i Nordatlantens östra del från november 2022. Fem av de sex NEAFC:s avtalsslutande parter har enats om att stödja att ka</w:t>
      </w:r>
      <w:r w:rsidRPr="00FB0D6F">
        <w:rPr>
          <w:color w:val="000000"/>
        </w:rPr>
        <w:t>mera- och sensorteknik används för att övervaka landningar vid ett begränsat antal landnings- och beredningsanläggningar där mer än 3 000 ton per år av vissa arter vägs. Det är därför logiskt att även införliva dessa bestämmelser i denna förordning för att</w:t>
      </w:r>
      <w:r w:rsidRPr="00FB0D6F">
        <w:rPr>
          <w:color w:val="000000"/>
        </w:rPr>
        <w:t xml:space="preserve"> undvika förseningar och för att säkerställa att hamnmedlemsstaterna har tillräckligt med tid för att förbereda genomförandet av de redan överenskomna åtgärderna innan de börjar tillämpas, det vill säga den 1 januari 2026. Dessutom främjar den inte bara li</w:t>
      </w:r>
      <w:r w:rsidRPr="00FB0D6F">
        <w:rPr>
          <w:color w:val="000000"/>
        </w:rPr>
        <w:t>ka villkor, utan fungerar också som ett bevis på EU:s åtagande att fullgöra sina internationella skyldigheter gentemot våra globala partner.</w:t>
      </w:r>
    </w:p>
    <w:sectPr w:rsidR="0003479C" w:rsidRPr="00FB0D6F" w:rsidSect="00FB0D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B0D6F" w:rsidRDefault="00EC4F2E">
      <w:r w:rsidRPr="00FB0D6F">
        <w:separator/>
      </w:r>
    </w:p>
  </w:endnote>
  <w:endnote w:type="continuationSeparator" w:id="0">
    <w:p w:rsidR="00000000" w:rsidRPr="00FB0D6F" w:rsidRDefault="00EC4F2E">
      <w:r w:rsidRPr="00FB0D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D6F" w:rsidRPr="00FB0D6F" w:rsidRDefault="00FB0D6F" w:rsidP="00FB0D6F">
    <w:pPr>
      <w:pStyle w:val="EPFooter"/>
    </w:pPr>
    <w:r w:rsidRPr="00FB0D6F">
      <w:t>PE</w:t>
    </w:r>
    <w:r w:rsidRPr="00FB0D6F">
      <w:rPr>
        <w:rStyle w:val="HideTWBExt"/>
      </w:rPr>
      <w:t>&lt;NoPE&gt;</w:t>
    </w:r>
    <w:r w:rsidRPr="00FB0D6F">
      <w:t>756.019</w:t>
    </w:r>
    <w:r w:rsidRPr="00FB0D6F">
      <w:rPr>
        <w:rStyle w:val="HideTWBExt"/>
      </w:rPr>
      <w:t>&lt;/NoPE&gt;&lt;Version&gt;</w:t>
    </w:r>
    <w:r w:rsidRPr="00FB0D6F">
      <w:t>v01-00</w:t>
    </w:r>
    <w:r w:rsidRPr="00FB0D6F">
      <w:rPr>
        <w:rStyle w:val="HideTWBExt"/>
      </w:rPr>
      <w:t>&lt;/Version&gt;</w:t>
    </w:r>
    <w:r w:rsidRPr="00FB0D6F">
      <w:tab/>
    </w:r>
    <w:r w:rsidRPr="00FB0D6F">
      <w:fldChar w:fldCharType="begin"/>
    </w:r>
    <w:r w:rsidRPr="00FB0D6F">
      <w:instrText xml:space="preserve"> PAGE  \* MERGEFORMAT </w:instrText>
    </w:r>
    <w:r w:rsidRPr="00FB0D6F">
      <w:fldChar w:fldCharType="separate"/>
    </w:r>
    <w:r w:rsidR="00EC4F2E">
      <w:rPr>
        <w:noProof/>
      </w:rPr>
      <w:t>2</w:t>
    </w:r>
    <w:r w:rsidRPr="00FB0D6F">
      <w:fldChar w:fldCharType="end"/>
    </w:r>
    <w:r w:rsidRPr="00FB0D6F">
      <w:t>/</w:t>
    </w:r>
    <w:fldSimple w:instr=" NUMPAGES  \* MERGEFORMAT ">
      <w:r w:rsidR="00EC4F2E">
        <w:rPr>
          <w:noProof/>
        </w:rPr>
        <w:t>9</w:t>
      </w:r>
    </w:fldSimple>
    <w:r w:rsidRPr="00FB0D6F">
      <w:tab/>
    </w:r>
    <w:r w:rsidRPr="00FB0D6F">
      <w:rPr>
        <w:rStyle w:val="HideTWBExt"/>
      </w:rPr>
      <w:t>&lt;PathFdR&gt;</w:t>
    </w:r>
    <w:r w:rsidRPr="00FB0D6F">
      <w:t>PR\1289738SV.docx</w:t>
    </w:r>
    <w:r w:rsidRPr="00FB0D6F">
      <w:rPr>
        <w:rStyle w:val="HideTWBExt"/>
      </w:rPr>
      <w:t>&lt;/PathFdR&gt;</w:t>
    </w:r>
  </w:p>
  <w:p w:rsidR="00FB52FE" w:rsidRPr="00FB0D6F" w:rsidRDefault="00FB0D6F" w:rsidP="00FB0D6F">
    <w:pPr>
      <w:pStyle w:val="EPFooter2"/>
    </w:pPr>
    <w:r w:rsidRPr="00FB0D6F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D6F" w:rsidRPr="00FB0D6F" w:rsidRDefault="00FB0D6F" w:rsidP="00FB0D6F">
    <w:pPr>
      <w:pStyle w:val="EPFooter"/>
    </w:pPr>
    <w:r w:rsidRPr="00FB0D6F">
      <w:rPr>
        <w:rStyle w:val="HideTWBExt"/>
      </w:rPr>
      <w:t>&lt;PathFdR&gt;</w:t>
    </w:r>
    <w:r w:rsidRPr="00FB0D6F">
      <w:t>PR\1289738SV.docx</w:t>
    </w:r>
    <w:r w:rsidRPr="00FB0D6F">
      <w:rPr>
        <w:rStyle w:val="HideTWBExt"/>
      </w:rPr>
      <w:t>&lt;/PathFdR&gt;</w:t>
    </w:r>
    <w:r w:rsidRPr="00FB0D6F">
      <w:tab/>
    </w:r>
    <w:r w:rsidRPr="00FB0D6F">
      <w:fldChar w:fldCharType="begin"/>
    </w:r>
    <w:r w:rsidRPr="00FB0D6F">
      <w:instrText xml:space="preserve"> PAGE  \* MERGEFORMAT </w:instrText>
    </w:r>
    <w:r w:rsidRPr="00FB0D6F">
      <w:fldChar w:fldCharType="separate"/>
    </w:r>
    <w:r w:rsidR="00EC4F2E">
      <w:rPr>
        <w:noProof/>
      </w:rPr>
      <w:t>7</w:t>
    </w:r>
    <w:r w:rsidRPr="00FB0D6F">
      <w:fldChar w:fldCharType="end"/>
    </w:r>
    <w:r w:rsidRPr="00FB0D6F">
      <w:t>/</w:t>
    </w:r>
    <w:fldSimple w:instr=" NUMPAGES  \* MERGEFORMAT ">
      <w:r w:rsidR="00EC4F2E">
        <w:rPr>
          <w:noProof/>
        </w:rPr>
        <w:t>9</w:t>
      </w:r>
    </w:fldSimple>
    <w:r w:rsidRPr="00FB0D6F">
      <w:tab/>
      <w:t>PE</w:t>
    </w:r>
    <w:r w:rsidRPr="00FB0D6F">
      <w:rPr>
        <w:rStyle w:val="HideTWBExt"/>
      </w:rPr>
      <w:t>&lt;NoPE&gt;</w:t>
    </w:r>
    <w:r w:rsidRPr="00FB0D6F">
      <w:t>756.019</w:t>
    </w:r>
    <w:r w:rsidRPr="00FB0D6F">
      <w:rPr>
        <w:rStyle w:val="HideTWBExt"/>
      </w:rPr>
      <w:t>&lt;/NoPE&gt;&lt;Version&gt;</w:t>
    </w:r>
    <w:r w:rsidRPr="00FB0D6F">
      <w:t>v01-00</w:t>
    </w:r>
    <w:r w:rsidRPr="00FB0D6F">
      <w:rPr>
        <w:rStyle w:val="HideTWBExt"/>
      </w:rPr>
      <w:t>&lt;/Version&gt;</w:t>
    </w:r>
  </w:p>
  <w:p w:rsidR="00FB52FE" w:rsidRPr="00FB0D6F" w:rsidRDefault="00FB0D6F" w:rsidP="00FB0D6F">
    <w:pPr>
      <w:pStyle w:val="EPFooter2"/>
    </w:pPr>
    <w:r w:rsidRPr="00FB0D6F">
      <w:tab/>
    </w:r>
    <w:r w:rsidRPr="00FB0D6F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D6F" w:rsidRPr="00FB0D6F" w:rsidRDefault="00FB0D6F" w:rsidP="00FB0D6F">
    <w:pPr>
      <w:pStyle w:val="EPFooter"/>
    </w:pPr>
    <w:r w:rsidRPr="00FB0D6F">
      <w:rPr>
        <w:rStyle w:val="HideTWBExt"/>
      </w:rPr>
      <w:t>&lt;PathFdR&gt;</w:t>
    </w:r>
    <w:r w:rsidRPr="00FB0D6F">
      <w:t>PR\1289738SV.docx</w:t>
    </w:r>
    <w:r w:rsidRPr="00FB0D6F">
      <w:rPr>
        <w:rStyle w:val="HideTWBExt"/>
      </w:rPr>
      <w:t>&lt;/PathFdR&gt;</w:t>
    </w:r>
    <w:r w:rsidRPr="00FB0D6F">
      <w:tab/>
    </w:r>
    <w:r w:rsidRPr="00FB0D6F">
      <w:tab/>
      <w:t>PE</w:t>
    </w:r>
    <w:r w:rsidRPr="00FB0D6F">
      <w:rPr>
        <w:rStyle w:val="HideTWBExt"/>
      </w:rPr>
      <w:t>&lt;NoPE&gt;</w:t>
    </w:r>
    <w:r w:rsidRPr="00FB0D6F">
      <w:t>756.019</w:t>
    </w:r>
    <w:r w:rsidRPr="00FB0D6F">
      <w:rPr>
        <w:rStyle w:val="HideTWBExt"/>
      </w:rPr>
      <w:t>&lt;/NoPE&gt;&lt;Version&gt;</w:t>
    </w:r>
    <w:r w:rsidRPr="00FB0D6F">
      <w:t>v01-00</w:t>
    </w:r>
    <w:r w:rsidRPr="00FB0D6F">
      <w:rPr>
        <w:rStyle w:val="HideTWBExt"/>
      </w:rPr>
      <w:t>&lt;/Version&gt;</w:t>
    </w:r>
  </w:p>
  <w:p w:rsidR="00FB52FE" w:rsidRPr="00FB0D6F" w:rsidRDefault="00FB0D6F" w:rsidP="00FB0D6F">
    <w:pPr>
      <w:pStyle w:val="EPFooter2"/>
    </w:pPr>
    <w:r w:rsidRPr="00FB0D6F">
      <w:t>SV</w:t>
    </w:r>
    <w:r w:rsidRPr="00FB0D6F">
      <w:tab/>
    </w:r>
    <w:r w:rsidRPr="00FB0D6F">
      <w:rPr>
        <w:b w:val="0"/>
        <w:i/>
        <w:color w:val="C0C0C0"/>
        <w:sz w:val="22"/>
      </w:rPr>
      <w:t>Förenade i mångfalden</w:t>
    </w:r>
    <w:r w:rsidRPr="00FB0D6F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F5B" w:rsidRPr="00FB0D6F" w:rsidRDefault="00EC4F2E">
      <w:r w:rsidRPr="00FB0D6F">
        <w:separator/>
      </w:r>
    </w:p>
  </w:footnote>
  <w:footnote w:type="continuationSeparator" w:id="0">
    <w:p w:rsidR="00B07F5B" w:rsidRPr="00FB0D6F" w:rsidRDefault="00EC4F2E">
      <w:r w:rsidRPr="00FB0D6F">
        <w:continuationSeparator/>
      </w:r>
    </w:p>
  </w:footnote>
  <w:footnote w:id="1">
    <w:p w:rsidR="008F47DD" w:rsidRPr="00FB0D6F" w:rsidRDefault="00EC4F2E">
      <w:pPr>
        <w:pStyle w:val="FootnoteText"/>
      </w:pPr>
      <w:r w:rsidRPr="00FB0D6F">
        <w:rPr>
          <w:rStyle w:val="FootnoteReference"/>
        </w:rPr>
        <w:footnoteRef/>
      </w:r>
      <w:r w:rsidRPr="00FB0D6F">
        <w:t xml:space="preserve"> Ännu ej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F2E" w:rsidRDefault="00EC4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F2E" w:rsidRDefault="00EC4F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F2E" w:rsidRDefault="00EC4F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PECH"/>
    <w:docVar w:name="CopyToNetwork" w:val="-1"/>
    <w:docVar w:name="CVar" w:val="3"/>
    <w:docVar w:name="DOCMNU" w:val=" 1"/>
    <w:docVar w:name="EPSTATMNU" w:val=" 5"/>
    <w:docVar w:name="iNoAmend" w:val="3"/>
    <w:docVar w:name="INSTITUTIONSMNU" w:val=" 1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477072 HideTWBExt;}{\*\cs18 \additive \v\f1\fs20\cf15 _x000d__x000a_\spriority0 \styrsid15477072 HideTWBInt;}{\s19\ql \li0\ri0\sa120\nowidctlpar\wrapdefault\aspalpha\aspnum\faauto\adjustright\rin0\lin0\itap0 \rtlch\fcs1 \af0\afs20\alang1025 \ltrch\fcs0 \fs24\lang2057\langfe2057\cgrid\langnp2057\langfenp2057 _x000d__x000a_\sbasedon0 \snext19 \spriority0 \styrsid15477072 Normal6a;}{\s20\ql \li0\ri0\nowidctlpar\wrapdefault\aspalpha\aspnum\faauto\adjustright\rin0\lin0\itap0 \rtlch\fcs1 \af0\afs20\alang1025 \ltrch\fcs0 \b\fs24\lang2057\langfe2057\cgrid\langnp2057\langfenp2057 _x000d__x000a_\sbasedon0 \snext20 \spriority0 \styrsid15477072 NormalBold;}{\s21\ql \li0\ri0\sa240\nowidctlpar\wrapdefault\aspalpha\aspnum\faauto\adjustright\rin0\lin0\itap0 \rtlch\fcs1 \af0\afs20\alang1025 \ltrch\fcs0 _x000d__x000a_\i\fs24\lang2057\langfe2057\cgrid\langnp2057\langfenp2057 \sbasedon0 \snext21 \spriority0 \styrsid15477072 AmJustText;}{\s22\qc \li0\ri0\sb240\sa240\nowidctlpar\wrapdefault\aspalpha\aspnum\faauto\adjustright\rin0\lin0\itap0 \rtlch\fcs1 _x000d__x000a_\af0\afs20\alang1025 \ltrch\fcs0 \i\fs24\lang2057\langfe2057\cgrid\langnp2057\langfenp2057 \sbasedon0 \snext22 \spriority0 \styrsid1547707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477072 AmJustTitle;}{\s24\qr \li0\ri0\sb240\sa240\nowidctlpar\wrapdefault\aspalpha\aspnum\faauto\adjustright\rin0\lin0\itap0 \rtlch\fcs1 \af0\afs20\alang1025 \ltrch\fcs0 _x000d__x000a_\fs24\lang2057\langfe2057\cgrid\langnp2057\langfenp2057 \sbasedon0 \snext24 \spriority0 \styrsid15477072 AmOrLang;}{\s25\qc \li0\ri0\sa240\nowidctlpar\wrapdefault\aspalpha\aspnum\faauto\adjustright\rin0\lin0\itap0 \rtlch\fcs1 \af0\afs20\alang1025 _x000d__x000a_\ltrch\fcs0 \i\fs24\lang2057\langfe2057\cgrid\langnp2057\langfenp2057 \sbasedon0 \snext25 \spriority0 \styrsid1547707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477072 AmNumberTabs;}{\s27\ql \li0\ri0\sb240\nowidctlpar\wrapdefault\aspalpha\aspnum\faauto\adjustright\rin0\lin0\itap0 \rtlch\fcs1 _x000d__x000a_\af0\afs20\alang1025 \ltrch\fcs0 \b\fs24\lang2057\langfe2057\cgrid\langnp2057\langfenp2057 \sbasedon0 \snext27 \spriority0 \styrsid15477072 NormalBold12b;}}{\*\rsidtbl \rsid24658\rsid223860\rsid735077\rsid1004911\rsid1718133\rsid2892074\rsid3565327_x000d__x000a_\rsid4666813\rsid6641733\rsid7823322\rsid9636012\rsid10377208\rsid11215221\rsid11549030\rsid12154954\rsid14382809\rsid14424199\rsid15204470\rsid15285974\rsid15477072\rsid15950462\rsid16324206\rsid16662270}{\mmathPr\mmathFont34\mbrkBin0\mbrkBinSub0_x000d__x000a_\msmallFrac0\mdispDef1\mlMargin0\mrMargin0\mdefJc1\mwrapIndent1440\mintLim0\mnaryLim1}{\info{\author BARSTYTE Lina}{\operator BARSTYTE Lina}{\creatim\yr2023\mo11\dy7\hr17\min9}{\revtim\yr2023\mo11\dy7\hr17\min9}{\version1}{\edmins0}{\nofpages1}_x000d__x000a_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7707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BAR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049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049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049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049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477072 \rtlch\fcs1 _x000d__x000a_\af0\afs20\alang1025 \ltrch\fcs0 \b\fs24\lang2057\langfe2057\cgrid\langnp2057\langfenp2057 {\rtlch\fcs1 \af0 \ltrch\fcs0 \cs17\b0\v\fs20\cf9\lang1024\langfe1024\loch\af1\hich\af1\dbch\af31501\noproof\insrsid15477072\charrsid11566939 {\*\bkmkstart restart}_x000d__x000a_\hich\af1\dbch\af31501\loch\f1 &lt;Amend&gt;}{\rtlch\fcs1 \af0 \ltrch\fcs0 \insrsid15477072\charrsid11566939 Amendment\tab \tab }{\rtlch\fcs1 \af0 \ltrch\fcs0 _x000d__x000a_\cs17\b0\v\fs20\cf9\lang1024\langfe1024\loch\af1\hich\af1\dbch\af31501\noproof\insrsid15477072\charrsid11566939 \hich\af1\dbch\af31501\loch\f1 &lt;NumAm&gt;}{\rtlch\fcs1 \af0 \ltrch\fcs0 \insrsid15477072\charrsid11566939 #}{\rtlch\fcs1 \af1 \ltrch\fcs0 _x000d__x000a_\cs18\v\f1\fs20\cf15\insrsid15477072\charrsid11566939 ENMIENDA@NRAM@}{\rtlch\fcs1 \af0 \ltrch\fcs0 \insrsid15477072\charrsid11566939 #}{\rtlch\fcs1 \af0 \ltrch\fcs0 _x000d__x000a_\cs17\b0\v\fs20\cf9\lang1024\langfe1024\loch\af1\hich\af1\dbch\af31501\noproof\insrsid15477072\charrsid11566939 \hich\af1\dbch\af31501\loch\f1 &lt;/NumAm&gt;}{\rtlch\fcs1 \af0 \ltrch\fcs0 \insrsid15477072\charrsid11566939 _x000d__x000a_\par }\pard\plain \ltrpar\s27\ql \li0\ri0\sb240\keepn\nowidctlpar\wrapdefault\aspalpha\aspnum\faauto\adjustright\rin0\lin0\itap0\pararsid15477072 \rtlch\fcs1 \af0\afs20\alang1025 \ltrch\fcs0 \b\fs24\lang2057\langfe2057\cgrid\langnp2057\langfenp2057 {_x000d__x000a_\rtlch\fcs1 \af0 \ltrch\fcs0 \cs17\b0\v\fs20\cf9\lang1024\langfe1024\loch\af1\hich\af1\dbch\af31501\noproof\insrsid15477072\charrsid11566939 \hich\af1\dbch\af31501\loch\f1 &lt;DocAmend&gt;}{\rtlch\fcs1 \af0 \ltrch\fcs0 \insrsid15477072\charrsid11566939 _x000d__x000a_Proposal for a #}{\rtlch\fcs1 \af1 \ltrch\fcs0 \cs18\v\f1\fs20\cf15\insrsid15477072\charrsid11566939 MNU[DOC1][DOC2][DOC3]@DOCMSG@DOCMNU}{\rtlch\fcs1 \af0 \ltrch\fcs0 \insrsid15477072\charrsid11566939 ##}{\rtlch\fcs1 \af1 \ltrch\fcs0 _x000d__x000a_\cs18\v\f1\fs20\cf15\insrsid15477072\charrsid11566939 MNU[AMACTYES][NOTAPP]@CHOICE@AMACTMNU}{\rtlch\fcs1 \af0 \ltrch\fcs0 \insrsid15477072\charrsid11566939 #}{\rtlch\fcs1 \af0 \ltrch\fcs0 _x000d__x000a_\cs17\b0\v\fs20\cf9\lang1024\langfe1024\loch\af1\hich\af1\dbch\af31501\noproof\insrsid15477072\charrsid11566939 \hich\af1\dbch\af31501\loch\f1 &lt;/DocAmend&gt;}{\rtlch\fcs1 \af0 \ltrch\fcs0 \insrsid15477072\charrsid11566939 _x000d__x000a_\par }\pard\plain \ltrpar\s20\ql \li0\ri0\keepn\nowidctlpar\wrapdefault\aspalpha\aspnum\faauto\adjustright\rin0\lin0\itap0\pararsid15477072 \rtlch\fcs1 \af0\afs20\alang1025 \ltrch\fcs0 \b\fs24\lang2057\langfe2057\cgrid\langnp2057\langfenp2057 {\rtlch\fcs1 _x000d__x000a_\af0 \ltrch\fcs0 \cs17\b0\v\fs20\cf9\lang1024\langfe1024\loch\af1\hich\af1\dbch\af31501\noproof\insrsid15477072\charrsid11566939 \hich\af1\dbch\af31501\loch\f1 &lt;Article&gt;}{\rtlch\fcs1 \af0 \ltrch\fcs0 \insrsid15477072\charrsid11566939 #}{\rtlch\fcs1 \af1 _x000d__x000a_\ltrch\fcs0 \cs18\v\f1\fs20\cf15\insrsid15477072\charrsid11566939 MNU[AMACTPARTYES][AMACTPARTNO]@CHOICE@AMACTMNU}{\rtlch\fcs1 \af0 \ltrch\fcs0 \insrsid15477072\charrsid11566939 #}{\rtlch\fcs1 \af0 \ltrch\fcs0 _x000d__x000a_\cs17\b0\v\fs20\cf9\lang1024\langfe1024\loch\af1\hich\af1\dbch\af31501\noproof\insrsid15477072\charrsid11566939 \hich\af1\dbch\af31501\loch\f1 &lt;/Article&gt;}{\rtlch\fcs1 \af0 \ltrch\fcs0 \insrsid15477072\charrsid11566939 _x000d__x000a_\par }\pard\plain \ltrpar\ql \li0\ri0\keepn\widctlpar\wrapdefault\aspalpha\aspnum\faauto\adjustright\rin0\lin0\itap0\pararsid15477072 \rtlch\fcs1 \af0\afs20\alang1025 \ltrch\fcs0 \fs24\lang2057\langfe2057\cgrid\langnp2057\langfenp2057 {\rtlch\fcs1 \af0 _x000d__x000a_\ltrch\fcs0 \cs17\v\fs20\cf9\lang1024\langfe1024\loch\af1\hich\af1\dbch\af31501\noproof\insrsid15477072\charrsid11566939 \hich\af1\dbch\af31501\loch\f1 &lt;DocAmend2&gt;&lt;OptDel&gt;}{\rtlch\fcs1 \af0 \ltrch\fcs0 \insrsid15477072\charrsid11566939 #}{\rtlch\fcs1 _x000d__x000a_\af1 \ltrch\fcs0 \cs18\v\f1\fs20\cf15\insrsid15477072\charrsid11566939 MNU[OPTNRACTYES][NOTAPP]@CHOICE@AMACTMNU}{\rtlch\fcs1 \af0 \ltrch\fcs0 \insrsid15477072\charrsid11566939 #}{\rtlch\fcs1 \af0 \ltrch\fcs0 _x000d__x000a_\cs17\v\fs20\cf9\lang1024\langfe1024\loch\af1\hich\af1\dbch\af31501\noproof\insrsid15477072\charrsid11566939 \hich\af1\dbch\af31501\loch\f1 &lt;/OptDel&gt;&lt;/DocAmend2&gt;}{\rtlch\fcs1 \af0 \ltrch\fcs0 \insrsid15477072\charrsid11566939 _x000d__x000a_\par }\pard \ltrpar\ql \li0\ri0\widctlpar\wrapdefault\aspalpha\aspnum\faauto\adjustright\rin0\lin0\itap0\pararsid15477072 {\rtlch\fcs1 \af0 \ltrch\fcs0 _x000d__x000a_\cs17\v\fs20\cf9\lang1024\langfe1024\loch\af1\hich\af1\dbch\af31501\noproof\insrsid15477072\charrsid11566939 \hich\af1\dbch\af31501\loch\f1 &lt;Article2&gt;&lt;OptDel&gt;}{\rtlch\fcs1 \af0 \ltrch\fcs0 \insrsid15477072\charrsid11566939 #}{\rtlch\fcs1 \af1 \ltrch\fcs0 _x000d__x000a_\cs18\v\f1\fs20\cf15\insrsid15477072\charrsid11566939 MNU[OPTACTPARTYES][NOTAPP]@CHOICE@AMACTMNU}{\rtlch\fcs1 \af0 \ltrch\fcs0 \insrsid15477072\charrsid11566939 #}{\rtlch\fcs1 \af0 \ltrch\fcs0 _x000d__x000a_\cs17\v\fs20\cf9\lang1024\langfe1024\loch\af1\hich\af1\dbch\af31501\noproof\insrsid15477072\charrsid11566939 \hich\af1\dbch\af31501\loch\f1 &lt;/OptDel&gt;&lt;/Article2&gt;}{\rtlch\fcs1 \af0 \ltrch\fcs0 \insrsid15477072\charrsid11566939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5477072\charrsid11566939 \cell }\pard\plain \ltrpar\ql \li0\ri0\widctlpar\intbl\wrapdefault\aspalpha\aspnum\faauto\adjustright\rin0\lin0 _x000d__x000a_\rtlch\fcs1 \af0\afs20\alang1025 \ltrch\fcs0 \fs24\lang2057\langfe2057\cgrid\langnp2057\langfenp2057 {\rtlch\fcs1 \af0 \ltrch\fcs0 \insrsid15477072\charrsid11566939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5477072\charrsid11566939 #}{\rtlch\fcs1 \af1 \ltrch\fcs0 \cs18\v\f1\fs20\cf15\insrsid15477072\charrsid11566939 MNU[OPTLEFTAMACT][LEFTPROP]@CHOICE@AMACTMNU}{\rtlch\fcs1 \af0 \ltrch\fcs0 \insrsid15477072\charrsid11566939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5477072\charrsid11566939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5477072\charrsid11566939 ##\cell ##}{\rtlch\fcs1 \af0\afs24 \ltrch\fcs0 \insrsid15477072\charrsid11566939 \cell }\pard\plain \ltrpar\ql \li0\ri0\widctlpar\intbl\wrapdefault\aspalpha\aspnum\faauto\adjustright\rin0\lin0 \rtlch\fcs1 _x000d__x000a_\af0\afs20\alang1025 \ltrch\fcs0 \fs24\lang2057\langfe2057\cgrid\langnp2057\langfenp2057 {\rtlch\fcs1 \af0 \ltrch\fcs0 \insrsid15477072\charrsid11566939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477072 \rtlch\fcs1 \af0\afs20\alang1025 \ltrch\fcs0 \fs24\lang2057\langfe2057\cgrid\langnp2057\langfenp2057 {\rtlch\fcs1 \af0 \ltrch\fcs0 _x000d__x000a_\insrsid15477072\charrsid11566939 Or. }{\rtlch\fcs1 \af0 \ltrch\fcs0 \cs17\v\fs20\cf9\lang1024\langfe1024\loch\af1\hich\af1\dbch\af31501\noproof\insrsid15477072\charrsid11566939 \hich\af1\dbch\af31501\loch\f1 &lt;Original&gt;}{\rtlch\fcs1 \af0 \ltrch\fcs0 _x000d__x000a_\insrsid15477072\charrsid11566939 #}{\rtlch\fcs1 \af1 \ltrch\fcs0 \cs18\v\f1\fs20\cf15\insrsid15477072\charrsid11566939 MNU[ORLANGONE][ORLANGMORE]@CHOICE@ORLANGMNU}{\rtlch\fcs1 \af0 \ltrch\fcs0 \insrsid15477072\charrsid11566939 #}{\rtlch\fcs1 \af0 _x000d__x000a_\ltrch\fcs0 \cs17\v\fs20\cf9\lang1024\langfe1024\loch\af1\hich\af1\dbch\af31501\noproof\insrsid15477072\charrsid11566939 \hich\af1\dbch\af31501\loch\f1 &lt;/Original&gt;}{\rtlch\fcs1 \af0 \ltrch\fcs0 \insrsid15477072\charrsid11566939 _x000d__x000a_\par }\pard\plain \ltrpar\s22\qc \li0\ri0\sb240\sa240\nowidctlpar\wrapdefault\aspalpha\aspnum\faauto\adjustright\rin0\lin0\itap0\pararsid15477072 \rtlch\fcs1 \af0\afs20\alang1025 \ltrch\fcs0 \i\fs24\lang2057\langfe2057\cgrid\langnp2057\langfenp2057 {_x000d__x000a_\rtlch\fcs1 \af0 \ltrch\fcs0 \cs17\i0\v\fs20\cf9\lang1024\langfe1024\loch\af1\hich\af1\dbch\af31501\noproof\insrsid15477072\charrsid11566939 \hich\af1\dbch\af31501\loch\f1 &lt;OptDel&gt;}{\rtlch\fcs1 \af0 \ltrch\fcs0 \insrsid15477072\charrsid11566939 #}{_x000d__x000a_\rtlch\fcs1 \af1 \ltrch\fcs0 \cs18\v\f1\fs20\cf15\insrsid15477072\charrsid11566939 MNU[CROSSREFNO][CROSSREFYES]@CHOICE@}{\rtlch\fcs1 \af0 \ltrch\fcs0 \insrsid15477072\charrsid11566939 #}{\rtlch\fcs1 \af0 \ltrch\fcs0 _x000d__x000a_\cs17\i0\v\fs20\cf9\lang1024\langfe1024\loch\af1\hich\af1\dbch\af31501\noproof\insrsid15477072\charrsid11566939 \hich\af1\dbch\af31501\loch\f1 &lt;/OptDel&gt;}{\rtlch\fcs1 \af0 \ltrch\fcs0 \insrsid15477072\charrsid11566939 _x000d__x000a_\par }\pard\plain \ltrpar\s23\qc \li0\ri0\sb240\sa240\keepn\nowidctlpar\wrapdefault\aspalpha\aspnum\faauto\adjustright\rin0\lin0\itap0\pararsid15477072 \rtlch\fcs1 \af0\afs20\alang1025 \ltrch\fcs0 \i\fs24\lang2057\langfe2057\cgrid\langnp2057\langfenp2057 {_x000d__x000a_\rtlch\fcs1 \af0 \ltrch\fcs0 \cs17\i0\v\fs20\cf9\lang1024\langfe1024\loch\af1\hich\af1\dbch\af31501\noproof\insrsid15477072\charrsid11566939 \hich\af1\dbch\af31501\loch\f1 &lt;TitreJust&gt;}{\rtlch\fcs1 \af0 \ltrch\fcs0 \insrsid15477072\charrsid11566939 _x000d__x000a_Justification}{\rtlch\fcs1 \af0 \ltrch\fcs0 \cs17\i0\v\fs20\cf9\lang1024\langfe1024\loch\af1\hich\af1\dbch\af31501\noproof\insrsid15477072\charrsid11566939 \hich\af1\dbch\af31501\loch\f1 &lt;/TitreJust&gt;}{\rtlch\fcs1 \af0 \ltrch\fcs0 _x000d__x000a_\insrsid15477072\charrsid11566939 _x000d__x000a_\par }\pard\plain \ltrpar\s21\ql \li0\ri0\sa240\nowidctlpar\wrapdefault\aspalpha\aspnum\faauto\adjustright\rin0\lin0\itap0\pararsid15477072 \rtlch\fcs1 \af0\afs20\alang1025 \ltrch\fcs0 \i\fs24\lang2057\langfe2057\cgrid\langnp2057\langfenp2057 {\rtlch\fcs1 _x000d__x000a_\af0 \ltrch\fcs0 \cs17\i0\v\fs20\cf9\lang1024\langfe1024\loch\af1\hich\af1\dbch\af31501\noproof\insrsid15477072\charrsid11566939 \hich\af1\dbch\af31501\loch\f1 &lt;OptDelPrev&gt;}{\rtlch\fcs1 \af0 \ltrch\fcs0 \insrsid15477072\charrsid11566939 #}{\rtlch\fcs1 _x000d__x000a_\af1 \ltrch\fcs0 \cs18\v\f1\fs20\cf15\insrsid15477072\charrsid11566939 MNU[TEXTJUSTYES][TEXTJUSTNO]@CHOICE@}{\rtlch\fcs1 \af0 \ltrch\fcs0 \insrsid15477072\charrsid11566939 #}{\rtlch\fcs1 \af0 \ltrch\fcs0 _x000d__x000a_\cs17\i0\v\fs20\cf9\lang1024\langfe1024\loch\af1\hich\af1\dbch\af31501\noproof\insrsid15477072\charrsid11566939 \hich\af1\dbch\af31501\loch\f1 &lt;/OptDelPrev&gt;}{\rtlch\fcs1 \af0 \ltrch\fcs0 \insrsid15477072\charrsid11566939 _x000d__x000a_\par }\pard\plain \ltrpar\ql \li0\ri0\widctlpar\wrapdefault\aspalpha\aspnum\faauto\adjustright\rin0\lin0\itap0\pararsid15477072 \rtlch\fcs1 \af0\afs20\alang1025 \ltrch\fcs0 \fs24\lang2057\langfe2057\cgrid\langnp2057\langfenp2057 {\rtlch\fcs1 \af0 \ltrch\fcs0 _x000d__x000a_\cs17\v\fs20\cf9\lang1024\langfe1024\loch\af1\hich\af1\dbch\af31501\noproof\insrsid15477072\charrsid1156693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2_x000d__x000a_66c994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9"/>
    <w:docVar w:name="TXTAUTHOR" w:val="Francisco Guerreiro"/>
    <w:docVar w:name="TXTLANGUE" w:val="EN"/>
    <w:docVar w:name="TXTLANGUEMIN" w:val="en"/>
    <w:docVar w:name="TXTNRC" w:val="0221/2023"/>
    <w:docVar w:name="TXTNRCOD" w:val="2023/0206"/>
    <w:docVar w:name="TXTNRCOM" w:val="(2023)0362"/>
    <w:docVar w:name="TXTNRFIRSTAM" w:val="1"/>
    <w:docVar w:name="TXTNRLASTAM" w:val="3"/>
    <w:docVar w:name="TXTNRPE" w:val="756.019"/>
    <w:docVar w:name="TXTPEorAP" w:val="PE"/>
    <w:docVar w:name="TXTROUTE" w:val="PR\1289738EN.docx"/>
    <w:docVar w:name="TXTTITLE" w:val="laying down conservation, management and control measures applicable in the area covered by the Convention on future multilateral cooperation in the North-East Atlantic fisheries, amending Regulation (EU) 2019/1241 of the European Parliament and of the Council and Council Regulation (EC) No 1224/2009, and repealing Council Regulation (EEC) No 1899/85 and Regulation (EU) No 1236/2010"/>
    <w:docVar w:name="TXTVERSION" w:val="01-00"/>
  </w:docVars>
  <w:rsids>
    <w:rsidRoot w:val="00B07F5B"/>
    <w:rsid w:val="00011AAB"/>
    <w:rsid w:val="00012351"/>
    <w:rsid w:val="000139E5"/>
    <w:rsid w:val="0003479C"/>
    <w:rsid w:val="00084DD2"/>
    <w:rsid w:val="00084E89"/>
    <w:rsid w:val="000B7489"/>
    <w:rsid w:val="000F1096"/>
    <w:rsid w:val="00120948"/>
    <w:rsid w:val="00123DD5"/>
    <w:rsid w:val="001277AE"/>
    <w:rsid w:val="00142215"/>
    <w:rsid w:val="001741EB"/>
    <w:rsid w:val="001767E2"/>
    <w:rsid w:val="00187008"/>
    <w:rsid w:val="00192D14"/>
    <w:rsid w:val="001B3829"/>
    <w:rsid w:val="001C061E"/>
    <w:rsid w:val="001C5592"/>
    <w:rsid w:val="001C5B44"/>
    <w:rsid w:val="001C6FFC"/>
    <w:rsid w:val="001D17AD"/>
    <w:rsid w:val="001D58A4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07571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3478"/>
    <w:rsid w:val="005D7609"/>
    <w:rsid w:val="005D7EE8"/>
    <w:rsid w:val="00642325"/>
    <w:rsid w:val="0069092A"/>
    <w:rsid w:val="006A2F5D"/>
    <w:rsid w:val="006F7907"/>
    <w:rsid w:val="00743189"/>
    <w:rsid w:val="00743D33"/>
    <w:rsid w:val="00760BFB"/>
    <w:rsid w:val="007932B3"/>
    <w:rsid w:val="00793EA9"/>
    <w:rsid w:val="007D6F6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8F47DD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3471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07F5B"/>
    <w:rsid w:val="00B10CB4"/>
    <w:rsid w:val="00B13D6F"/>
    <w:rsid w:val="00B23B72"/>
    <w:rsid w:val="00B42702"/>
    <w:rsid w:val="00B54EAF"/>
    <w:rsid w:val="00B57B8B"/>
    <w:rsid w:val="00B85407"/>
    <w:rsid w:val="00B95702"/>
    <w:rsid w:val="00BA132B"/>
    <w:rsid w:val="00BC6489"/>
    <w:rsid w:val="00BD480C"/>
    <w:rsid w:val="00C20954"/>
    <w:rsid w:val="00C23324"/>
    <w:rsid w:val="00C33F1C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246B0"/>
    <w:rsid w:val="00E72695"/>
    <w:rsid w:val="00EB1753"/>
    <w:rsid w:val="00EB6CFF"/>
    <w:rsid w:val="00EC4F2E"/>
    <w:rsid w:val="00EE3996"/>
    <w:rsid w:val="00F07062"/>
    <w:rsid w:val="00F23CFC"/>
    <w:rsid w:val="00F433E2"/>
    <w:rsid w:val="00F904AE"/>
    <w:rsid w:val="00F934F8"/>
    <w:rsid w:val="00FB0D6F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67B7F"/>
  <w15:chartTrackingRefBased/>
  <w15:docId w15:val="{7EDEFFD3-49D1-4A8E-94C5-F030D69B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A132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132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132B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3479C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3479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3479C"/>
    <w:rPr>
      <w:b/>
      <w:sz w:val="24"/>
    </w:rPr>
  </w:style>
  <w:style w:type="paragraph" w:customStyle="1" w:styleId="ColumnHeading">
    <w:name w:val="ColumnHeading"/>
    <w:basedOn w:val="Normal"/>
    <w:rsid w:val="0003479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347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3479C"/>
    <w:pPr>
      <w:jc w:val="right"/>
    </w:pPr>
  </w:style>
  <w:style w:type="paragraph" w:styleId="NormalWeb">
    <w:name w:val="Normal (Web)"/>
    <w:basedOn w:val="Normal"/>
    <w:uiPriority w:val="99"/>
    <w:unhideWhenUsed/>
    <w:rsid w:val="0003479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semiHidden/>
    <w:rsid w:val="000347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3479C"/>
    <w:rPr>
      <w:sz w:val="24"/>
    </w:rPr>
  </w:style>
  <w:style w:type="paragraph" w:styleId="FootnoteText">
    <w:name w:val="footnote text"/>
    <w:basedOn w:val="Normal"/>
    <w:link w:val="FootnoteTextChar"/>
    <w:rsid w:val="008F47D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F47DD"/>
  </w:style>
  <w:style w:type="character" w:styleId="FootnoteReference">
    <w:name w:val="footnote reference"/>
    <w:basedOn w:val="DefaultParagraphFont"/>
    <w:rsid w:val="008F47DD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192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2D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C33F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3F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3F1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3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3F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7D62C-E5A9-4FB0-8E9E-7C81662DB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1688</Words>
  <Characters>10719</Characters>
  <Application>Microsoft Office Word</Application>
  <DocSecurity>0</DocSecurity>
  <Lines>324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BARSTYTE Lina</dc:creator>
  <cp:lastModifiedBy>CANDELL Paula</cp:lastModifiedBy>
  <cp:revision>2</cp:revision>
  <cp:lastPrinted>2004-11-04T09:41:00Z</cp:lastPrinted>
  <dcterms:created xsi:type="dcterms:W3CDTF">2023-11-21T14:26:00Z</dcterms:created>
  <dcterms:modified xsi:type="dcterms:W3CDTF">2023-11-21T14:26:00Z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1289738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18:27:09)</vt:lpwstr>
  </property>
  <property fmtid="{D5CDD505-2E9C-101B-9397-08002B2CF9AE}" pid="6" name="&lt;ModelTra&gt;">
    <vt:lpwstr>\\eiciBRUpr1\pdocep$\DocEP\TRANSFIL\EN\PR_COD_1amCom.EN(29/06/2022 09:21:37)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[20230920]</vt:lpwstr>
  </property>
  <property fmtid="{D5CDD505-2E9C-101B-9397-08002B2CF9AE}" pid="9" name="FooterPath">
    <vt:lpwstr>PR\1289738SV.docx</vt:lpwstr>
  </property>
  <property fmtid="{D5CDD505-2E9C-101B-9397-08002B2CF9AE}" pid="10" name="LastEdited with">
    <vt:lpwstr>9.16.1 Build [20230920]</vt:lpwstr>
  </property>
  <property fmtid="{D5CDD505-2E9C-101B-9397-08002B2CF9AE}" pid="11" name="PE number">
    <vt:lpwstr>756.019</vt:lpwstr>
  </property>
  <property fmtid="{D5CDD505-2E9C-101B-9397-08002B2CF9AE}" pid="12" name="SDLStudio">
    <vt:lpwstr/>
  </property>
  <property fmtid="{D5CDD505-2E9C-101B-9397-08002B2CF9AE}" pid="13" name="SendToEpades">
    <vt:lpwstr>OK - 2023/11/08 16:06</vt:lpwstr>
  </property>
  <property fmtid="{D5CDD505-2E9C-101B-9397-08002B2CF9AE}" pid="14" name="Bookout">
    <vt:lpwstr>OK - 2023/11/21 15:25</vt:lpwstr>
  </property>
</Properties>
</file>