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900501" w:rsidTr="00C85D0F">
        <w:trPr>
          <w:trHeight w:hRule="exact" w:val="1418"/>
        </w:trPr>
        <w:tc>
          <w:tcPr>
            <w:tcW w:w="6804" w:type="dxa"/>
            <w:shd w:val="clear" w:color="auto" w:fill="auto"/>
            <w:vAlign w:val="center"/>
          </w:tcPr>
          <w:p w:rsidR="00C05DD8" w:rsidRPr="00900501" w:rsidRDefault="00900501" w:rsidP="00C85D0F">
            <w:pPr>
              <w:pStyle w:val="EPName"/>
            </w:pPr>
            <w:bookmarkStart w:id="0" w:name="_GoBack"/>
            <w:bookmarkEnd w:id="0"/>
            <w:r>
              <w:t>Evropský parlament</w:t>
            </w:r>
          </w:p>
          <w:p w:rsidR="00C05DD8" w:rsidRPr="00DE2CD5" w:rsidRDefault="00DE2CD5" w:rsidP="00DE2CD5">
            <w:pPr>
              <w:pStyle w:val="EPTerm"/>
            </w:pPr>
            <w:r>
              <w:t>2019-2024</w:t>
            </w:r>
          </w:p>
        </w:tc>
        <w:tc>
          <w:tcPr>
            <w:tcW w:w="2268" w:type="dxa"/>
            <w:shd w:val="clear" w:color="auto" w:fill="auto"/>
          </w:tcPr>
          <w:p w:rsidR="00C05DD8" w:rsidRPr="00900501" w:rsidRDefault="00C05DD8" w:rsidP="00C85D0F">
            <w:pPr>
              <w:pStyle w:val="EPLogo"/>
            </w:pPr>
            <w:r w:rsidRPr="00900501">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900501" w:rsidRDefault="009612AA" w:rsidP="009612AA">
      <w:pPr>
        <w:pStyle w:val="LineTop"/>
      </w:pPr>
    </w:p>
    <w:p w:rsidR="009612AA" w:rsidRPr="00900501" w:rsidRDefault="009612AA" w:rsidP="009612AA">
      <w:pPr>
        <w:pStyle w:val="EPBody"/>
      </w:pPr>
      <w:r>
        <w:rPr>
          <w:rStyle w:val="HideTWBExt"/>
        </w:rPr>
        <w:t>&lt;</w:t>
      </w:r>
      <w:r>
        <w:rPr>
          <w:rStyle w:val="HideTWBExt"/>
          <w:i w:val="0"/>
        </w:rPr>
        <w:t>Commission</w:t>
      </w:r>
      <w:r>
        <w:rPr>
          <w:rStyle w:val="HideTWBExt"/>
        </w:rPr>
        <w:t>&gt;</w:t>
      </w:r>
      <w:r>
        <w:rPr>
          <w:rStyle w:val="HideTWBInt"/>
        </w:rPr>
        <w:t>{PECH}</w:t>
      </w:r>
      <w:r>
        <w:t>Výbor pro rybolov</w:t>
      </w:r>
      <w:r>
        <w:rPr>
          <w:rStyle w:val="HideTWBExt"/>
        </w:rPr>
        <w:t>&lt;/</w:t>
      </w:r>
      <w:r>
        <w:rPr>
          <w:rStyle w:val="HideTWBExt"/>
          <w:i w:val="0"/>
        </w:rPr>
        <w:t>Commission</w:t>
      </w:r>
      <w:r>
        <w:rPr>
          <w:rStyle w:val="HideTWBExt"/>
        </w:rPr>
        <w:t>&gt;</w:t>
      </w:r>
    </w:p>
    <w:p w:rsidR="009612AA" w:rsidRPr="00900501" w:rsidRDefault="009612AA" w:rsidP="009612AA">
      <w:pPr>
        <w:pStyle w:val="LineBottom"/>
      </w:pPr>
    </w:p>
    <w:p w:rsidR="00363B94" w:rsidRPr="00900501" w:rsidRDefault="00363B94">
      <w:pPr>
        <w:pStyle w:val="CoverReference"/>
      </w:pPr>
      <w:r>
        <w:rPr>
          <w:rStyle w:val="HideTWBExt"/>
          <w:b w:val="0"/>
        </w:rPr>
        <w:t>&lt;RefProc&gt;</w:t>
      </w:r>
      <w:r>
        <w:t>2022/0362</w:t>
      </w:r>
      <w:r>
        <w:rPr>
          <w:rStyle w:val="HideTWBExt"/>
          <w:b w:val="0"/>
        </w:rPr>
        <w:t>&lt;/RefProc&gt;&lt;RefTypeProc&gt;</w:t>
      </w:r>
      <w:r>
        <w:t>(NLE)</w:t>
      </w:r>
      <w:r>
        <w:rPr>
          <w:rStyle w:val="HideTWBExt"/>
          <w:b w:val="0"/>
        </w:rPr>
        <w:t>&lt;/RefTypeProc&gt;</w:t>
      </w:r>
    </w:p>
    <w:p w:rsidR="00363B94" w:rsidRPr="00900501" w:rsidRDefault="00363B94">
      <w:pPr>
        <w:pStyle w:val="CoverDate"/>
      </w:pPr>
      <w:r>
        <w:rPr>
          <w:rStyle w:val="HideTWBExt"/>
        </w:rPr>
        <w:t>&lt;Date&gt;</w:t>
      </w:r>
      <w:r>
        <w:rPr>
          <w:rStyle w:val="HideTWBInt"/>
        </w:rPr>
        <w:t>{18/12/2023}</w:t>
      </w:r>
      <w:r>
        <w:t>18.12.2023</w:t>
      </w:r>
      <w:r>
        <w:rPr>
          <w:rStyle w:val="HideTWBExt"/>
        </w:rPr>
        <w:t>&lt;/Date&gt;</w:t>
      </w:r>
    </w:p>
    <w:p w:rsidR="00363B94" w:rsidRPr="00900501" w:rsidRDefault="00363B94">
      <w:pPr>
        <w:pStyle w:val="CoverDocType"/>
      </w:pPr>
      <w:r>
        <w:rPr>
          <w:rStyle w:val="HideTWBExt"/>
          <w:b w:val="0"/>
        </w:rPr>
        <w:t>&lt;RefProcLect&gt;</w:t>
      </w:r>
      <w:r>
        <w:t>***</w:t>
      </w:r>
      <w:r>
        <w:rPr>
          <w:rStyle w:val="HideTWBExt"/>
          <w:b w:val="0"/>
        </w:rPr>
        <w:t>&lt;/RefProcLect&gt;</w:t>
      </w:r>
    </w:p>
    <w:p w:rsidR="00363B94" w:rsidRPr="00900501" w:rsidRDefault="00363B94">
      <w:pPr>
        <w:pStyle w:val="CoverDocType24a"/>
      </w:pPr>
      <w:r>
        <w:rPr>
          <w:rStyle w:val="HideTWBExt"/>
          <w:b w:val="0"/>
        </w:rPr>
        <w:t>&lt;TitreType&gt;</w:t>
      </w:r>
      <w:r>
        <w:t>NÁVRH DOPORUČENÍ</w:t>
      </w:r>
      <w:r>
        <w:rPr>
          <w:rStyle w:val="HideTWBExt"/>
          <w:b w:val="0"/>
        </w:rPr>
        <w:t>&lt;/TitreType&gt;</w:t>
      </w:r>
    </w:p>
    <w:p w:rsidR="00363B94" w:rsidRPr="00963D07" w:rsidRDefault="00363B94">
      <w:pPr>
        <w:pStyle w:val="CoverNormal"/>
      </w:pPr>
      <w:r>
        <w:rPr>
          <w:rStyle w:val="HideTWBExt"/>
        </w:rPr>
        <w:t>&lt;Titre&gt;</w:t>
      </w:r>
      <w:r>
        <w:t>k návrhu rozhodnutí Rady o uzavření Dohody mezi Evropskou unií a Seychelskou republikou o přístupu seychelských rybářských plavidel do vod ostrova Mayotte jménem Evropské unie</w:t>
      </w:r>
      <w:r>
        <w:rPr>
          <w:rStyle w:val="HideTWBExt"/>
        </w:rPr>
        <w:t>&lt;/Titre&gt;</w:t>
      </w:r>
    </w:p>
    <w:p w:rsidR="00363B94" w:rsidRPr="00900501" w:rsidRDefault="00DE2CD5">
      <w:pPr>
        <w:pStyle w:val="CoverNormal24a"/>
      </w:pPr>
      <w:r>
        <w:rPr>
          <w:rStyle w:val="HideTWBExt"/>
        </w:rPr>
        <w:t>&lt;DocRef&gt;</w:t>
      </w:r>
      <w:r>
        <w:t>(15048/2022 – C9</w:t>
      </w:r>
      <w:r>
        <w:noBreakHyphen/>
        <w:t>0051/2023 – 2022/0362(NLE))</w:t>
      </w:r>
      <w:r>
        <w:rPr>
          <w:rStyle w:val="HideTWBExt"/>
        </w:rPr>
        <w:t>&lt;/DocRef&gt;</w:t>
      </w:r>
    </w:p>
    <w:p w:rsidR="00363B94" w:rsidRPr="00900501" w:rsidRDefault="00363B94">
      <w:pPr>
        <w:pStyle w:val="CoverNormal24a"/>
      </w:pPr>
      <w:r>
        <w:rPr>
          <w:rStyle w:val="HideTWBExt"/>
        </w:rPr>
        <w:t>&lt;Commission&gt;</w:t>
      </w:r>
      <w:r>
        <w:rPr>
          <w:rStyle w:val="HideTWBInt"/>
        </w:rPr>
        <w:t>{PECH}</w:t>
      </w:r>
      <w:r>
        <w:t>Výbor pro rybolov</w:t>
      </w:r>
      <w:r>
        <w:rPr>
          <w:rStyle w:val="HideTWBExt"/>
        </w:rPr>
        <w:t>&lt;/Commission&gt;</w:t>
      </w:r>
    </w:p>
    <w:p w:rsidR="00363B94" w:rsidRPr="00900501" w:rsidRDefault="00DE2CD5">
      <w:pPr>
        <w:pStyle w:val="CoverNormal24a"/>
      </w:pPr>
      <w:r>
        <w:t xml:space="preserve">Zpravodaj: </w:t>
      </w:r>
      <w:r>
        <w:rPr>
          <w:rStyle w:val="HideTWBExt"/>
        </w:rPr>
        <w:t>&lt;Depute&gt;</w:t>
      </w:r>
      <w:r>
        <w:t>Gabriel Mato</w:t>
      </w:r>
      <w:r>
        <w:rPr>
          <w:rStyle w:val="HideTWBExt"/>
        </w:rPr>
        <w:t>&lt;/Depute&gt;</w:t>
      </w:r>
    </w:p>
    <w:p w:rsidR="00B42885" w:rsidRPr="00900501" w:rsidRDefault="00B42885" w:rsidP="00B42885">
      <w:pPr>
        <w:pStyle w:val="CoverNormal"/>
      </w:pPr>
    </w:p>
    <w:p w:rsidR="00DE2CD5" w:rsidRDefault="00363B94" w:rsidP="00016E55">
      <w:r>
        <w:br w:type="page"/>
      </w:r>
      <w:fldSimple w:instr=" TITLE  \* MERGEFORMAT ">
        <w:r w:rsidR="000D1514" w:rsidRPr="000D1514">
          <w:rPr>
            <w:lang w:val="fr-FR"/>
          </w:rPr>
          <w:t>PR_NLE-AP_Agreement</w:t>
        </w:r>
      </w:fldSimple>
    </w:p>
    <w:p w:rsidR="00DE2CD5" w:rsidRDefault="00DE2CD5" w:rsidP="00016E55">
      <w:pPr>
        <w:rPr>
          <w:lang w:val="fr-FR"/>
        </w:rPr>
      </w:pPr>
    </w:p>
    <w:p w:rsidR="00DE2CD5" w:rsidRDefault="00DE2CD5" w:rsidP="00016E55">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E2CD5">
        <w:tc>
          <w:tcPr>
            <w:tcW w:w="5811" w:type="dxa"/>
          </w:tcPr>
          <w:p w:rsidR="00DE2CD5" w:rsidRDefault="00DE2CD5" w:rsidP="00016E55">
            <w:pPr>
              <w:pStyle w:val="Lgendetitre"/>
            </w:pPr>
            <w:r>
              <w:t>Vysvětlivky</w:t>
            </w:r>
          </w:p>
        </w:tc>
      </w:tr>
      <w:tr w:rsidR="00DE2CD5" w:rsidTr="00114A3C">
        <w:trPr>
          <w:cantSplit/>
          <w:trHeight w:val="1807"/>
        </w:trPr>
        <w:tc>
          <w:tcPr>
            <w:tcW w:w="5811" w:type="dxa"/>
            <w:tcBorders>
              <w:bottom w:val="single" w:sz="4" w:space="0" w:color="auto"/>
            </w:tcBorders>
          </w:tcPr>
          <w:p w:rsidR="00DE2CD5" w:rsidRDefault="00DE2CD5" w:rsidP="00343C61">
            <w:pPr>
              <w:pStyle w:val="Lgendesigne"/>
            </w:pPr>
            <w:r>
              <w:tab/>
              <w:t>*</w:t>
            </w:r>
            <w:r>
              <w:tab/>
              <w:t>Postup konzultace</w:t>
            </w:r>
            <w:r>
              <w:tab/>
            </w:r>
          </w:p>
          <w:p w:rsidR="00DE2CD5" w:rsidRDefault="00DE2CD5" w:rsidP="00343C61">
            <w:pPr>
              <w:pStyle w:val="Lgendesigne"/>
            </w:pPr>
            <w:r>
              <w:tab/>
              <w:t>***</w:t>
            </w:r>
            <w:r>
              <w:tab/>
              <w:t>Postup souhlasu</w:t>
            </w:r>
          </w:p>
          <w:p w:rsidR="00DE2CD5" w:rsidRDefault="00DE2CD5" w:rsidP="00343C61">
            <w:pPr>
              <w:pStyle w:val="Lgendesigne"/>
            </w:pPr>
            <w:r>
              <w:tab/>
              <w:t>***I</w:t>
            </w:r>
            <w:r>
              <w:tab/>
              <w:t>Řádný legislativní postup (první čtení)</w:t>
            </w:r>
          </w:p>
          <w:p w:rsidR="00DE2CD5" w:rsidRDefault="00DE2CD5" w:rsidP="00343C61">
            <w:pPr>
              <w:pStyle w:val="Lgendesigne"/>
            </w:pPr>
            <w:r>
              <w:tab/>
              <w:t>***II</w:t>
            </w:r>
            <w:r>
              <w:tab/>
              <w:t>Řádný legislativní postup (druhé čtení)</w:t>
            </w:r>
          </w:p>
          <w:p w:rsidR="00DE2CD5" w:rsidRDefault="00DE2CD5" w:rsidP="00343C61">
            <w:pPr>
              <w:pStyle w:val="Lgendesigne"/>
              <w:rPr>
                <w:noProof/>
              </w:rPr>
            </w:pPr>
            <w:r>
              <w:tab/>
              <w:t>***III</w:t>
            </w:r>
            <w:r>
              <w:tab/>
              <w:t>Řádný legislativní postup (třetí čtení)</w:t>
            </w:r>
          </w:p>
          <w:p w:rsidR="00DE2CD5" w:rsidRDefault="00DE2CD5" w:rsidP="00016E55">
            <w:pPr>
              <w:pStyle w:val="Lgendestandard"/>
            </w:pPr>
          </w:p>
          <w:p w:rsidR="00DE2CD5" w:rsidRDefault="00DE2CD5" w:rsidP="00016E55">
            <w:pPr>
              <w:pStyle w:val="Lgendestandard"/>
            </w:pPr>
            <w:r>
              <w:t>(Druh postupu závisí na právním základu navrženém v návrhu aktu.)</w:t>
            </w:r>
          </w:p>
          <w:p w:rsidR="00DE2CD5" w:rsidRDefault="00DE2CD5" w:rsidP="002B1E3A">
            <w:pPr>
              <w:pStyle w:val="Lgendestandard"/>
            </w:pPr>
          </w:p>
        </w:tc>
      </w:tr>
    </w:tbl>
    <w:p w:rsidR="00DE2CD5" w:rsidRDefault="00DE2CD5" w:rsidP="00016E55">
      <w:pPr>
        <w:rPr>
          <w:lang w:val="fr-FR"/>
        </w:rPr>
      </w:pPr>
    </w:p>
    <w:p w:rsidR="00363B94" w:rsidRPr="00DE2CD5" w:rsidRDefault="00363B94" w:rsidP="00613F2E">
      <w:pPr>
        <w:widowControl/>
        <w:tabs>
          <w:tab w:val="center" w:pos="4677"/>
        </w:tabs>
      </w:pPr>
    </w:p>
    <w:p w:rsidR="00363B94" w:rsidRPr="00900501" w:rsidRDefault="00363B94">
      <w:pPr>
        <w:pStyle w:val="TOCHeading"/>
      </w:pPr>
      <w:r>
        <w:br w:type="page"/>
      </w:r>
      <w:r>
        <w:lastRenderedPageBreak/>
        <w:t>OBSAH</w:t>
      </w:r>
    </w:p>
    <w:p w:rsidR="00363B94" w:rsidRPr="00900501" w:rsidRDefault="00900501">
      <w:pPr>
        <w:pStyle w:val="TOCPage"/>
      </w:pPr>
      <w:r>
        <w:t>Strana</w:t>
      </w:r>
    </w:p>
    <w:p w:rsidR="000D1514" w:rsidRDefault="00EF48F2">
      <w:pPr>
        <w:pStyle w:val="TOC1"/>
        <w:tabs>
          <w:tab w:val="right" w:leader="dot" w:pos="9060"/>
        </w:tabs>
        <w:rPr>
          <w:rFonts w:asciiTheme="minorHAnsi" w:eastAsiaTheme="minorEastAsia" w:hAnsiTheme="minorHAnsi" w:cstheme="minorBidi"/>
          <w:noProof/>
          <w:sz w:val="22"/>
          <w:szCs w:val="22"/>
          <w:lang w:val="en-GB"/>
        </w:rPr>
      </w:pPr>
      <w:r w:rsidRPr="00900501">
        <w:fldChar w:fldCharType="begin"/>
      </w:r>
      <w:r w:rsidRPr="00900501">
        <w:instrText xml:space="preserve"> TOC \t "PageHeading</w:instrText>
      </w:r>
      <w:r w:rsidR="000D1514">
        <w:instrText>;</w:instrText>
      </w:r>
      <w:r w:rsidRPr="00900501">
        <w:instrText xml:space="preserve">1" </w:instrText>
      </w:r>
      <w:r w:rsidRPr="00900501">
        <w:fldChar w:fldCharType="separate"/>
      </w:r>
      <w:r w:rsidR="000D1514">
        <w:rPr>
          <w:noProof/>
        </w:rPr>
        <w:t>NÁVRH LEGISLATIVNÍHO USNESENÍ EVROPSKÉHO PARLAMENTU</w:t>
      </w:r>
      <w:r w:rsidR="000D1514">
        <w:rPr>
          <w:noProof/>
        </w:rPr>
        <w:tab/>
      </w:r>
      <w:r w:rsidR="000D1514">
        <w:rPr>
          <w:noProof/>
        </w:rPr>
        <w:fldChar w:fldCharType="begin"/>
      </w:r>
      <w:r w:rsidR="000D1514">
        <w:rPr>
          <w:noProof/>
        </w:rPr>
        <w:instrText xml:space="preserve"> PAGEREF _Toc156466354 \h </w:instrText>
      </w:r>
      <w:r w:rsidR="000D1514">
        <w:rPr>
          <w:noProof/>
        </w:rPr>
      </w:r>
      <w:r w:rsidR="000D1514">
        <w:rPr>
          <w:noProof/>
        </w:rPr>
        <w:fldChar w:fldCharType="separate"/>
      </w:r>
      <w:r w:rsidR="000D1514">
        <w:rPr>
          <w:noProof/>
        </w:rPr>
        <w:t>5</w:t>
      </w:r>
      <w:r w:rsidR="000D1514">
        <w:rPr>
          <w:noProof/>
        </w:rPr>
        <w:fldChar w:fldCharType="end"/>
      </w:r>
    </w:p>
    <w:p w:rsidR="000D1514" w:rsidRDefault="000D1514">
      <w:pPr>
        <w:pStyle w:val="TOC1"/>
        <w:tabs>
          <w:tab w:val="right" w:leader="dot" w:pos="9060"/>
        </w:tabs>
        <w:rPr>
          <w:rFonts w:asciiTheme="minorHAnsi" w:eastAsiaTheme="minorEastAsia" w:hAnsiTheme="minorHAnsi" w:cstheme="minorBidi"/>
          <w:noProof/>
          <w:sz w:val="22"/>
          <w:szCs w:val="22"/>
          <w:lang w:val="en-GB"/>
        </w:rPr>
      </w:pPr>
      <w:r>
        <w:rPr>
          <w:noProof/>
        </w:rPr>
        <w:t>VYSVĚTLUJÍCÍ PROHLÁŠENÍ</w:t>
      </w:r>
      <w:r>
        <w:rPr>
          <w:noProof/>
        </w:rPr>
        <w:tab/>
      </w:r>
      <w:r>
        <w:rPr>
          <w:noProof/>
        </w:rPr>
        <w:fldChar w:fldCharType="begin"/>
      </w:r>
      <w:r>
        <w:rPr>
          <w:noProof/>
        </w:rPr>
        <w:instrText xml:space="preserve"> PAGEREF _Toc156466355 \h </w:instrText>
      </w:r>
      <w:r>
        <w:rPr>
          <w:noProof/>
        </w:rPr>
      </w:r>
      <w:r>
        <w:rPr>
          <w:noProof/>
        </w:rPr>
        <w:fldChar w:fldCharType="separate"/>
      </w:r>
      <w:r>
        <w:rPr>
          <w:noProof/>
        </w:rPr>
        <w:t>6</w:t>
      </w:r>
      <w:r>
        <w:rPr>
          <w:noProof/>
        </w:rPr>
        <w:fldChar w:fldCharType="end"/>
      </w:r>
    </w:p>
    <w:p w:rsidR="000D1514" w:rsidRDefault="000D1514">
      <w:pPr>
        <w:pStyle w:val="TOC1"/>
        <w:tabs>
          <w:tab w:val="right" w:leader="dot" w:pos="9060"/>
        </w:tabs>
        <w:rPr>
          <w:rFonts w:asciiTheme="minorHAnsi" w:eastAsiaTheme="minorEastAsia" w:hAnsiTheme="minorHAnsi" w:cstheme="minorBidi"/>
          <w:noProof/>
          <w:sz w:val="22"/>
          <w:szCs w:val="22"/>
          <w:lang w:val="en-GB"/>
        </w:rPr>
      </w:pPr>
      <w:r>
        <w:rPr>
          <w:noProof/>
        </w:rPr>
        <w:t>PŘÍLOHA: SUBJEKTY NEBO OSOBY, OD NICHŽ ZPRAVODAJ OBDRŽEL PODNĚTY</w:t>
      </w:r>
      <w:r>
        <w:rPr>
          <w:noProof/>
        </w:rPr>
        <w:tab/>
      </w:r>
      <w:r>
        <w:rPr>
          <w:noProof/>
        </w:rPr>
        <w:fldChar w:fldCharType="begin"/>
      </w:r>
      <w:r>
        <w:rPr>
          <w:noProof/>
        </w:rPr>
        <w:instrText xml:space="preserve"> PAGEREF _Toc156466356 \h </w:instrText>
      </w:r>
      <w:r>
        <w:rPr>
          <w:noProof/>
        </w:rPr>
      </w:r>
      <w:r>
        <w:rPr>
          <w:noProof/>
        </w:rPr>
        <w:fldChar w:fldCharType="separate"/>
      </w:r>
      <w:r>
        <w:rPr>
          <w:noProof/>
        </w:rPr>
        <w:t>8</w:t>
      </w:r>
      <w:r>
        <w:rPr>
          <w:noProof/>
        </w:rPr>
        <w:fldChar w:fldCharType="end"/>
      </w:r>
    </w:p>
    <w:p w:rsidR="004E1650" w:rsidRPr="00900501" w:rsidRDefault="00EF48F2" w:rsidP="00F04010">
      <w:r w:rsidRPr="00900501">
        <w:fldChar w:fldCharType="end"/>
      </w:r>
    </w:p>
    <w:p w:rsidR="00363B94" w:rsidRPr="00900501" w:rsidRDefault="00363B94" w:rsidP="0006167F">
      <w:pPr>
        <w:pStyle w:val="PageHeading"/>
      </w:pPr>
      <w:r>
        <w:br w:type="page"/>
      </w:r>
      <w:r>
        <w:lastRenderedPageBreak/>
        <w:br w:type="page"/>
      </w:r>
      <w:bookmarkStart w:id="1" w:name="_Toc156466354"/>
      <w:r>
        <w:lastRenderedPageBreak/>
        <w:t>NÁVRH LEGISLATIVNÍHO USNESENÍ EVROPSKÉHO PARLAMENTU</w:t>
      </w:r>
      <w:bookmarkEnd w:id="1"/>
    </w:p>
    <w:p w:rsidR="00363B94" w:rsidRPr="00900501" w:rsidRDefault="00900501">
      <w:pPr>
        <w:pStyle w:val="NormalBold"/>
      </w:pPr>
      <w:r>
        <w:t>o návrhu rozhodnutí Rady o uzavření Dohody mezi Evropskou unií a Seychelskou republikou o přístupu seychelských rybářských plavidel do vod ostrova Mayotte jménem Evropské unie</w:t>
      </w:r>
    </w:p>
    <w:p w:rsidR="00363B94" w:rsidRPr="00900501" w:rsidRDefault="00DE2CD5">
      <w:pPr>
        <w:pStyle w:val="NormalBold12a"/>
      </w:pPr>
      <w:r>
        <w:t>(15048/2022 – C9</w:t>
      </w:r>
      <w:r>
        <w:noBreakHyphen/>
        <w:t>0051/2023 – 2022/0362(NLE))</w:t>
      </w:r>
    </w:p>
    <w:p w:rsidR="00363B94" w:rsidRPr="00900501" w:rsidRDefault="00900501" w:rsidP="00893FBD">
      <w:pPr>
        <w:pStyle w:val="NormalBold"/>
      </w:pPr>
      <w:r>
        <w:t>(Souhlas)</w:t>
      </w:r>
    </w:p>
    <w:p w:rsidR="00363B94" w:rsidRPr="00900501" w:rsidRDefault="00900501">
      <w:pPr>
        <w:pStyle w:val="EPComma"/>
      </w:pPr>
      <w:r>
        <w:rPr>
          <w:i/>
        </w:rPr>
        <w:t>Evropský parlament</w:t>
      </w:r>
      <w:r>
        <w:t>,</w:t>
      </w:r>
    </w:p>
    <w:p w:rsidR="00BF7F55" w:rsidRPr="00900501" w:rsidRDefault="00BF7F55" w:rsidP="00BF7F55">
      <w:pPr>
        <w:pStyle w:val="NormalHanging12a"/>
      </w:pPr>
      <w:r>
        <w:t>–</w:t>
      </w:r>
      <w:r>
        <w:tab/>
        <w:t>s ohledem na návrh rozhodnutí Rady (15048/2022),</w:t>
      </w:r>
    </w:p>
    <w:p w:rsidR="00363B94" w:rsidRPr="00900501" w:rsidRDefault="00363B94">
      <w:pPr>
        <w:pStyle w:val="NormalHanging12a"/>
      </w:pPr>
      <w:r>
        <w:t>–</w:t>
      </w:r>
      <w:r>
        <w:tab/>
        <w:t>s ohledem na dohodu mezi Evropskou unií a Seychelskou republikou o přístupu seychelských rybářských plavidel do vod ostrova Mayotte (15088/2022),</w:t>
      </w:r>
    </w:p>
    <w:p w:rsidR="00363B94" w:rsidRPr="00900501" w:rsidRDefault="005F5D6C">
      <w:pPr>
        <w:pStyle w:val="NormalHanging12a"/>
      </w:pPr>
      <w:r>
        <w:t>–</w:t>
      </w:r>
      <w:r>
        <w:tab/>
        <w:t>s ohledem na žádost o udělení souhlasu, kterou předložila Rada v souladu s článkem 43 a čl. 218 odst. 6 druhým pododstavcem písm. a) bodem v) a čl. 218. odst. 7 Smlouvy o fungování Evropské unie (C9</w:t>
      </w:r>
      <w:r>
        <w:noBreakHyphen/>
        <w:t>0051/2023),</w:t>
      </w:r>
    </w:p>
    <w:p w:rsidR="00363B94" w:rsidRPr="00900501" w:rsidRDefault="00363B94" w:rsidP="00DE2CD5">
      <w:pPr>
        <w:pStyle w:val="NormalHanging12a"/>
      </w:pPr>
      <w:r>
        <w:t>–</w:t>
      </w:r>
      <w:r>
        <w:tab/>
        <w:t>s ohledem na čl. 105 odst. 1 a 4 a čl. 114 odst. 7 jednacího řádu,</w:t>
      </w:r>
    </w:p>
    <w:p w:rsidR="00363B94" w:rsidRPr="00900501" w:rsidRDefault="00363B94">
      <w:pPr>
        <w:pStyle w:val="NormalHanging12a"/>
      </w:pPr>
      <w:r>
        <w:t>–</w:t>
      </w:r>
      <w:r>
        <w:tab/>
        <w:t>s ohledem na doporučení Výboru pro rybolov (A9</w:t>
      </w:r>
      <w:r>
        <w:noBreakHyphen/>
        <w:t>0000/2023),</w:t>
      </w:r>
    </w:p>
    <w:p w:rsidR="00363B94" w:rsidRPr="00900501" w:rsidRDefault="00363B94">
      <w:pPr>
        <w:pStyle w:val="NormalHanging12a"/>
      </w:pPr>
      <w:r>
        <w:t>1.</w:t>
      </w:r>
      <w:r>
        <w:tab/>
        <w:t>uděluje souhlas s uzavřením dohody;</w:t>
      </w:r>
    </w:p>
    <w:p w:rsidR="00DE2CD5" w:rsidRPr="00174115" w:rsidRDefault="001D02E3" w:rsidP="00DE2CD5">
      <w:pPr>
        <w:pStyle w:val="NormalHanging12a"/>
      </w:pPr>
      <w:r>
        <w:t>2.</w:t>
      </w:r>
      <w:r>
        <w:tab/>
        <w:t>pověřuje svou předsedkyni, aby předala postoj Parlamentu Radě, Komisi, jakož i vládám a parlamentům členských států a Seychelské republiky.</w:t>
      </w:r>
    </w:p>
    <w:p w:rsidR="00DE2CD5" w:rsidRPr="00174115" w:rsidRDefault="00DE2CD5" w:rsidP="00DE2CD5">
      <w:pPr>
        <w:widowControl/>
      </w:pPr>
      <w:r>
        <w:br w:type="page"/>
      </w:r>
    </w:p>
    <w:p w:rsidR="00DE2CD5" w:rsidRPr="00174115" w:rsidRDefault="00DE2CD5" w:rsidP="00DE2CD5">
      <w:pPr>
        <w:pStyle w:val="PageHeading"/>
      </w:pPr>
      <w:bookmarkStart w:id="2" w:name="_Toc156466355"/>
      <w:r>
        <w:lastRenderedPageBreak/>
        <w:t>VYSVĚTLUJÍCÍ PROHLÁŠENÍ</w:t>
      </w:r>
      <w:bookmarkEnd w:id="2"/>
    </w:p>
    <w:p w:rsidR="00DE2CD5" w:rsidRPr="00174115" w:rsidRDefault="00DE2CD5" w:rsidP="00DE2CD5">
      <w:pPr>
        <w:spacing w:after="240"/>
        <w:jc w:val="both"/>
        <w:rPr>
          <w:b/>
        </w:rPr>
      </w:pPr>
      <w:r>
        <w:rPr>
          <w:b/>
        </w:rPr>
        <w:t>Souvislosti</w:t>
      </w:r>
    </w:p>
    <w:p w:rsidR="00DE2CD5" w:rsidRPr="00174115" w:rsidRDefault="00DE2CD5" w:rsidP="00DE2CD5">
      <w:pPr>
        <w:spacing w:after="240"/>
        <w:jc w:val="both"/>
      </w:pPr>
      <w:r>
        <w:t xml:space="preserve">Mayotte, souostroví v Indickém oceánu a francouzský zámořský departement, má od roku 2014 na evropské úrovni status nejvzdálenějšího regionu. Vzhledem k tomu, že Smlouvy svěřují Evropské unii výlučnou pravomoc v oblasti zachování biologických mořských zdrojů v rámci společné rybářské politiky (SRP), musí být přístup zahraničních rybářských plavidel do vod obklopujících Mayotte řízen Evropskou unií. </w:t>
      </w:r>
    </w:p>
    <w:p w:rsidR="00DE2CD5" w:rsidRPr="00174115" w:rsidRDefault="00DE2CD5" w:rsidP="00DE2CD5">
      <w:pPr>
        <w:spacing w:after="240"/>
        <w:jc w:val="both"/>
      </w:pPr>
      <w:r>
        <w:t xml:space="preserve">První dohoda mezi Evropskou unií a Seychelskou republikou o přístupu seychelských rybářských plavidel do vod ostrova Mayotte byla podepsána dne 20. května 2014. Po svém vstupu v platnost téhož dne (z počátku jako prozatímní opatření) na dobu šesti let byla tato dohoda dne 20. května 2020 automaticky obnovena. </w:t>
      </w:r>
    </w:p>
    <w:p w:rsidR="00DE2CD5" w:rsidRPr="00174115" w:rsidRDefault="00DE2CD5" w:rsidP="00DE2CD5">
      <w:pPr>
        <w:spacing w:after="240"/>
        <w:jc w:val="both"/>
      </w:pPr>
      <w:r>
        <w:t>Na základě příslušných směrnic pro jednání vedla Komise jednání s vládou Seychel s cílem uzavřít novou dohodu o přístupu seychelských rybářských plavidel. Po těchto jednáních byla dne 10. června 2022 parafována nová dohoda o přístupu do rybolovné oblasti. Tato nová dohoda o přístupu do rybolovné oblasti se vztahuje na období šesti let ode dne 10. března 2023, kdy obě strany dohodu podepsaly, čímž bylo rovněž zahájeno prozatímní provádění této dohody až do jejího uzavření.</w:t>
      </w:r>
    </w:p>
    <w:p w:rsidR="00DE2CD5" w:rsidRPr="00174115" w:rsidRDefault="00DE2CD5" w:rsidP="00DE2CD5">
      <w:pPr>
        <w:spacing w:after="240"/>
        <w:jc w:val="both"/>
      </w:pPr>
      <w:r>
        <w:t xml:space="preserve">Kromě této nové dohody o přístupu do rybolovné oblasti vod ostrova Mayotte pro seychelská rybářská plavidla jsou EU a Seychely od roku 2020 rovněž vázány dohodou o partnerství v oblasti udržitelného rybolovu a doprovodným prováděcím protokolem, který upravuje přístup rybářských plavidel EU do seychelských vod a rybolovná práva v těchto vodách výměnou za finanční a technickou podporu EU Seychelám (viz postup 2020/0002(NLE)). Tato dohoda rovněž stvrzuje, že se Evropská unie a Seychely dohodly na řadě mechanismů a pravidel, která mají podpořit udržitelný rybolov, zejména zlepšením kontroly rybolovu, sběrem údajů, bojem proti nezákonnému, nehlášenému a neregulovanému rybolovu nebo spoluprací s regionálními organizacemi pro řízení rybolovu, jejichž jsou EU a Seychely členy. </w:t>
      </w:r>
    </w:p>
    <w:p w:rsidR="00DE2CD5" w:rsidRPr="00174115" w:rsidRDefault="00DE2CD5" w:rsidP="00DE2CD5">
      <w:pPr>
        <w:spacing w:after="240"/>
        <w:jc w:val="both"/>
        <w:rPr>
          <w:b/>
        </w:rPr>
      </w:pPr>
      <w:r>
        <w:rPr>
          <w:b/>
        </w:rPr>
        <w:t>Nová dohoda o přístupu k rybolovné oblasti</w:t>
      </w:r>
    </w:p>
    <w:p w:rsidR="00DE2CD5" w:rsidRPr="00174115" w:rsidRDefault="00DE2CD5" w:rsidP="00DE2CD5">
      <w:pPr>
        <w:spacing w:after="240"/>
        <w:jc w:val="both"/>
      </w:pPr>
      <w:r>
        <w:t>Cílem této nové dohody je umožnit další posílení strategického partnerství se Seychelami a přispět k odpovědnému rybolovu ve vodách EU a k rozvoji rybářské politiky na Mayotte. Technické a finanční podmínky této dohody o přístupu k rybolovu jsou rovněž v souladu s podmínkami dohody o partnerství v oblasti udržitelného rybolovu se Seychelami a jejím prováděcím protokolem podepsaným v roce 2020.</w:t>
      </w:r>
    </w:p>
    <w:p w:rsidR="00DE2CD5" w:rsidRPr="00174115" w:rsidRDefault="00DE2CD5" w:rsidP="00DE2CD5">
      <w:pPr>
        <w:spacing w:after="240"/>
        <w:jc w:val="both"/>
      </w:pPr>
      <w:r>
        <w:t xml:space="preserve">Tato dohoda stanovuje zásady, pravidla a postupy, jimiž se řídí spolupráce v odvětví rybolovu, aby byl zajištěn odpovědný rybolov, zachovaly se rybolovné zdroje ve vodách kolem ostrova Mayotte a využívaly se udržitelně na základě zásady nediskriminace mezi různými loďstvy lovícími v těchto vodách. </w:t>
      </w:r>
    </w:p>
    <w:p w:rsidR="00DE2CD5" w:rsidRPr="00174115" w:rsidRDefault="00DE2CD5" w:rsidP="00DE2CD5">
      <w:pPr>
        <w:spacing w:after="240"/>
        <w:jc w:val="both"/>
      </w:pPr>
      <w:r>
        <w:t xml:space="preserve">Podmínky přístupu seychelských rybářských plavidel do těchto vod EU jsou podrobněji popsány v příloze dohody (rybolovná práva, oprávnění k rybolovu, sledování, pozorovatelé atd.). Podle dohody bude moci osm plavidel plujících pod seychelskou vlajkou (plavidel </w:t>
      </w:r>
      <w:r>
        <w:lastRenderedPageBreak/>
        <w:t xml:space="preserve">lovících košelkovými nevody) lovit ve vodách ostrova Mayotte, dále než 24 námořních mil od jeho pobřeží. Rybolovná práva jsou založena na nejlepších dostupných vědeckých doporučeních (a případně v mezích dostupného přebytku) a v souladu s doporučeními příslušné regionální organizace pro řízení rybolovu, konkrétně Komise pro tuňáky Indického oceánu (IOTC). Poplatky za úlovky budou činit 135 EUR za tunu uloveného tuňáka (se zálohovou platbou plavidla ve výši 13 500 EUR za prvních 100 tun).  </w:t>
      </w:r>
    </w:p>
    <w:p w:rsidR="00DE2CD5" w:rsidRPr="00174115" w:rsidRDefault="00DE2CD5" w:rsidP="00DE2CD5">
      <w:pPr>
        <w:spacing w:after="240"/>
        <w:jc w:val="both"/>
      </w:pPr>
      <w:r>
        <w:t>Dohoda také obsahuje opatření pro sledování a kontrolu rybolovných činností a předcházení nezákonnému, nehlášenému a neregulovanému rybolovu.</w:t>
      </w:r>
    </w:p>
    <w:p w:rsidR="00DE2CD5" w:rsidRPr="00174115" w:rsidRDefault="00DE2CD5" w:rsidP="00DE2CD5">
      <w:pPr>
        <w:spacing w:after="240"/>
        <w:jc w:val="both"/>
        <w:rPr>
          <w:b/>
        </w:rPr>
      </w:pPr>
      <w:r>
        <w:rPr>
          <w:b/>
        </w:rPr>
        <w:t>Postoj zpravodaje</w:t>
      </w:r>
    </w:p>
    <w:p w:rsidR="00DE2CD5" w:rsidRPr="00174115" w:rsidRDefault="00DE2CD5" w:rsidP="00DE2CD5">
      <w:pPr>
        <w:spacing w:after="240"/>
        <w:jc w:val="both"/>
      </w:pPr>
      <w:r>
        <w:t>Tato dohoda o přístupu má strategický význam a zajišťuje mezi EU a Seychelami soudržnost a vzájemnost udržitelného využívání mořských zdrojů v Indickém oceánu.  Dohodou chtějí strany především posílit sledování rybolovných činností a zajistit, aby se lov tuňáka a tuňákovitých ryb prováděl udržitelně a aby byla zároveň zajištěna ochrana dalších druhů, zejména pelagických druhů žraloků.</w:t>
      </w:r>
    </w:p>
    <w:p w:rsidR="00DE2CD5" w:rsidRPr="00174115" w:rsidRDefault="00DE2CD5" w:rsidP="00DE2CD5">
      <w:pPr>
        <w:spacing w:after="240"/>
        <w:jc w:val="both"/>
      </w:pPr>
      <w:r>
        <w:t>Jedná se o vyváženou dohodu, při které plavidla Seychel mohou pokračovat ve své rybolovné činnosti, přičemž bude přínosná i pro ostrov Mayotte a přispěje k rozvoji regionálního rybolovného odvětví v tomto nejvzdálenějším regionu EU.</w:t>
      </w:r>
    </w:p>
    <w:p w:rsidR="00DE2CD5" w:rsidRPr="00174115" w:rsidRDefault="00DE2CD5" w:rsidP="00DE2CD5">
      <w:pPr>
        <w:spacing w:after="240"/>
        <w:jc w:val="both"/>
      </w:pPr>
      <w:r>
        <w:t xml:space="preserve">Zpravodaj se ovšem domnívá, že v dlouhodobém horizontu by měl být ostrov Mayotte schopen – stejně jako obecně nejvzdálenější regiony – s vnitrostátní pomocí a podporou EU vybudovat vlastní rybářské loďstvo. Tento Parlament opakovaně – marně – žádal, aby se v zájmu zajištění přežití odvětví rybolovu v nejvzdálenějších regionech a v souladu se zásadami rozdílného zacházení s malými ostrovy a územími uvedenými v cíli udržitelného rozvoje č. 14 poskytovala podpora prostřednictvím ENRAF nebo státní podpora na základě článku 349 SFEU na obnovu drobného rybářského loďstva nejvzdálenějších regionů, která vykládají veškeré své úlovky v přístavech v nejvzdálenějších regionech a přispívají k místnímu udržitelnému rozvoji. </w:t>
      </w:r>
    </w:p>
    <w:p w:rsidR="00DE2CD5" w:rsidRPr="00174115" w:rsidRDefault="00DE2CD5" w:rsidP="00DE2CD5">
      <w:pPr>
        <w:spacing w:after="240"/>
        <w:jc w:val="both"/>
      </w:pPr>
      <w:r>
        <w:t>Nejvzdálenější regiony čelí specifickým výzvám spojeným s jejich odlehlostí, topografií, malými trhy a klimatem, jak je uvedeno v článku 349 SFEU; jenže specifické rysy rybolovu v nejvzdálenějších regionech nejsou v rámci SRP dostatečně zohledněny. Zejména ve vnější politice společné rybářské politiky musí strategická partnerství zohledňovat zájmy sousedních, a tudíž dotčených regionů EU.</w:t>
      </w:r>
    </w:p>
    <w:p w:rsidR="00DE2CD5" w:rsidRPr="00174115" w:rsidRDefault="00DE2CD5" w:rsidP="00DE2CD5">
      <w:pPr>
        <w:spacing w:after="240"/>
        <w:jc w:val="both"/>
      </w:pPr>
      <w:r>
        <w:t>Rybolov je v nejvzdálenějších regionech hlavní hnací silou hospodářství, zdrojem potravinové soběstačnosti a tradiční činností, která je součástí kultury těchto území, vytváří pracovní místa na moři a ve zpracovatelském odvětví a přispívá k dynamice odvětví cestovního ruchu, což je významný hospodářský motor těchto regionů.</w:t>
      </w:r>
    </w:p>
    <w:p w:rsidR="00DE2CD5" w:rsidRPr="00174115" w:rsidRDefault="00DE2CD5" w:rsidP="00DE2CD5">
      <w:pPr>
        <w:rPr>
          <w:rFonts w:asciiTheme="minorHAnsi" w:eastAsiaTheme="minorHAnsi" w:hAnsiTheme="minorHAnsi" w:cstheme="minorBidi"/>
          <w:sz w:val="22"/>
          <w:szCs w:val="22"/>
        </w:rPr>
      </w:pPr>
      <w:r>
        <w:t>S ohledem na výše uvedené zpravodaj doporučuje, aby Parlament uzavření dohody o přístupu do rybolovných oblastí schválil, a připomíná svoji žádost o podporu EU nebo státní podporu pro obnovu a udržitelný vývoj rybolovných loďstev ostrova Mayotte a nejvzdálenějších regionů obecně.</w:t>
      </w:r>
    </w:p>
    <w:p w:rsidR="00DE2CD5" w:rsidRDefault="00DE2CD5">
      <w:pPr>
        <w:widowControl/>
        <w:sectPr w:rsidR="00DE2CD5" w:rsidSect="00DE2CD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DE2CD5" w:rsidRDefault="00DE2CD5">
      <w:pPr>
        <w:widowControl/>
      </w:pPr>
    </w:p>
    <w:p w:rsidR="00DE2CD5" w:rsidRDefault="00DE2CD5" w:rsidP="000A0FF0">
      <w:pPr>
        <w:pStyle w:val="PageHeading"/>
        <w:rPr>
          <w:noProof/>
        </w:rPr>
      </w:pPr>
      <w:bookmarkStart w:id="3" w:name="FootprintPageRR"/>
      <w:bookmarkStart w:id="4" w:name="_Toc156466356"/>
      <w:r>
        <w:t>PŘÍLOHA: SUBJEKTY NEBO OSOBY,</w:t>
      </w:r>
      <w:r>
        <w:br/>
        <w:t>OD NICHŽ ZPRAVODAJ OBDRŽEL PODNĚTY</w:t>
      </w:r>
      <w:bookmarkEnd w:id="4"/>
    </w:p>
    <w:p w:rsidR="00DE2CD5" w:rsidRPr="0099178F" w:rsidRDefault="00DE2CD5" w:rsidP="00037518">
      <w:pPr>
        <w:pStyle w:val="Normal24a"/>
      </w:pPr>
      <w:r>
        <w:rPr>
          <w:rStyle w:val="HideTWBExt"/>
        </w:rPr>
        <w:t>&lt;FootprintIntro&gt;</w:t>
      </w:r>
      <w:r>
        <w:t>Zpravodaj prohlašuje na svou výhradní odpovědnost, že neobdržel žádný podnět od subjektu nebo osoby, který musí být uveden v této příloze v souladu s článkem 8 přílohy I jednacího řádu.</w:t>
      </w:r>
      <w:r>
        <w:rPr>
          <w:rStyle w:val="HideTWBExt"/>
        </w:rPr>
        <w:t>&lt;/FootprintIntro&gt;</w:t>
      </w:r>
    </w:p>
    <w:p w:rsidR="00DE2CD5" w:rsidRPr="00837211" w:rsidRDefault="00DE2CD5" w:rsidP="00837211"/>
    <w:p w:rsidR="00DE2CD5" w:rsidRPr="00DE2CD5" w:rsidRDefault="00DE2CD5" w:rsidP="00DE2CD5"/>
    <w:bookmarkEnd w:id="3"/>
    <w:p w:rsidR="00363B94" w:rsidRPr="00900501" w:rsidRDefault="00363B94" w:rsidP="00DE2CD5">
      <w:pPr>
        <w:pStyle w:val="NormalHanging12a"/>
      </w:pPr>
    </w:p>
    <w:sectPr w:rsidR="00363B94" w:rsidRPr="00900501" w:rsidSect="00DE2CD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0501" w:rsidRPr="00900501" w:rsidRDefault="00900501">
      <w:r w:rsidRPr="00900501">
        <w:separator/>
      </w:r>
    </w:p>
  </w:endnote>
  <w:endnote w:type="continuationSeparator" w:id="0">
    <w:p w:rsidR="00900501" w:rsidRPr="00900501" w:rsidRDefault="00900501">
      <w:r w:rsidRPr="009005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900501" w:rsidRDefault="0085501C" w:rsidP="00B6769C">
    <w:pPr>
      <w:pStyle w:val="EPFooter"/>
    </w:pPr>
    <w:r w:rsidRPr="00900501">
      <w:t>PE</w:t>
    </w:r>
    <w:r w:rsidRPr="00900501">
      <w:rPr>
        <w:rStyle w:val="HideTWBExt"/>
      </w:rPr>
      <w:t>&lt;NoPE&gt;</w:t>
    </w:r>
    <w:r w:rsidR="00DE2CD5" w:rsidRPr="00DE2CD5">
      <w:t>757.013</w:t>
    </w:r>
    <w:r w:rsidRPr="00900501">
      <w:rPr>
        <w:rStyle w:val="HideTWBExt"/>
      </w:rPr>
      <w:t>&lt;/NoPE&gt;&lt;Version&gt;</w:t>
    </w:r>
    <w:r w:rsidR="00900501" w:rsidRPr="00900501">
      <w:t>v</w:t>
    </w:r>
    <w:r w:rsidR="00DE2CD5" w:rsidRPr="00DE2CD5">
      <w:t>02-00</w:t>
    </w:r>
    <w:r w:rsidRPr="00900501">
      <w:rPr>
        <w:rStyle w:val="HideTWBExt"/>
      </w:rPr>
      <w:t>&lt;/Version&gt;</w:t>
    </w:r>
    <w:r w:rsidRPr="00900501">
      <w:tab/>
    </w:r>
    <w:r w:rsidR="00337C92" w:rsidRPr="00900501">
      <w:fldChar w:fldCharType="begin"/>
    </w:r>
    <w:r w:rsidR="00337C92" w:rsidRPr="00900501">
      <w:instrText xml:space="preserve"> PAGE </w:instrText>
    </w:r>
    <w:r w:rsidR="00337C92" w:rsidRPr="00900501">
      <w:fldChar w:fldCharType="separate"/>
    </w:r>
    <w:r w:rsidR="000D1514">
      <w:rPr>
        <w:noProof/>
      </w:rPr>
      <w:t>2</w:t>
    </w:r>
    <w:r w:rsidR="00337C92" w:rsidRPr="00900501">
      <w:fldChar w:fldCharType="end"/>
    </w:r>
    <w:r w:rsidR="00337C92" w:rsidRPr="00900501">
      <w:t>/</w:t>
    </w:r>
    <w:fldSimple w:instr=" NUMPAGES ">
      <w:r w:rsidR="000D1514">
        <w:rPr>
          <w:noProof/>
        </w:rPr>
        <w:t>8</w:t>
      </w:r>
    </w:fldSimple>
    <w:r w:rsidRPr="00900501">
      <w:tab/>
    </w:r>
    <w:r w:rsidRPr="00900501">
      <w:rPr>
        <w:rStyle w:val="HideTWBExt"/>
      </w:rPr>
      <w:t>&lt;PathFdR&gt;</w:t>
    </w:r>
    <w:r w:rsidR="00DE2CD5" w:rsidRPr="00DE2CD5">
      <w:t>PR\1293168CS.docx</w:t>
    </w:r>
    <w:r w:rsidRPr="00900501">
      <w:rPr>
        <w:rStyle w:val="HideTWBExt"/>
      </w:rPr>
      <w:t>&lt;/PathFdR&gt;</w:t>
    </w:r>
  </w:p>
  <w:p w:rsidR="0085501C" w:rsidRPr="00900501" w:rsidRDefault="00C05DD8">
    <w:pPr>
      <w:pStyle w:val="EPFooter2"/>
    </w:pPr>
    <w:fldSimple w:instr=" DOCPROPERTY &quot;&lt;Extension&gt;&quot; ">
      <w:r w:rsidR="000D1514">
        <w:t>CS</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900501" w:rsidRDefault="0085501C" w:rsidP="00B6769C">
    <w:pPr>
      <w:pStyle w:val="EPFooter"/>
    </w:pPr>
    <w:r w:rsidRPr="00900501">
      <w:rPr>
        <w:rStyle w:val="HideTWBExt"/>
      </w:rPr>
      <w:t>&lt;PathFdR&gt;</w:t>
    </w:r>
    <w:r w:rsidR="00DE2CD5" w:rsidRPr="00DE2CD5">
      <w:t>PR\1293168CS.docx</w:t>
    </w:r>
    <w:r w:rsidRPr="00900501">
      <w:rPr>
        <w:rStyle w:val="HideTWBExt"/>
      </w:rPr>
      <w:t>&lt;/PathFdR&gt;</w:t>
    </w:r>
    <w:r w:rsidRPr="00900501">
      <w:tab/>
    </w:r>
    <w:r w:rsidR="00337C92" w:rsidRPr="00900501">
      <w:fldChar w:fldCharType="begin"/>
    </w:r>
    <w:r w:rsidR="00337C92" w:rsidRPr="00900501">
      <w:instrText xml:space="preserve"> PAGE </w:instrText>
    </w:r>
    <w:r w:rsidR="00337C92" w:rsidRPr="00900501">
      <w:fldChar w:fldCharType="separate"/>
    </w:r>
    <w:r w:rsidR="000D1514">
      <w:rPr>
        <w:noProof/>
      </w:rPr>
      <w:t>8</w:t>
    </w:r>
    <w:r w:rsidR="00337C92" w:rsidRPr="00900501">
      <w:fldChar w:fldCharType="end"/>
    </w:r>
    <w:r w:rsidR="00337C92" w:rsidRPr="00900501">
      <w:t>/</w:t>
    </w:r>
    <w:fldSimple w:instr=" NUMPAGES ">
      <w:r w:rsidR="000D1514">
        <w:rPr>
          <w:noProof/>
        </w:rPr>
        <w:t>8</w:t>
      </w:r>
    </w:fldSimple>
    <w:r w:rsidRPr="00900501">
      <w:tab/>
      <w:t>PE</w:t>
    </w:r>
    <w:r w:rsidRPr="00900501">
      <w:rPr>
        <w:rStyle w:val="HideTWBExt"/>
      </w:rPr>
      <w:t>&lt;NoPE&gt;</w:t>
    </w:r>
    <w:r w:rsidR="00DE2CD5" w:rsidRPr="00DE2CD5">
      <w:t>757.013</w:t>
    </w:r>
    <w:r w:rsidRPr="00900501">
      <w:rPr>
        <w:rStyle w:val="HideTWBExt"/>
      </w:rPr>
      <w:t>&lt;/NoPE&gt;&lt;Version&gt;</w:t>
    </w:r>
    <w:r w:rsidR="00900501" w:rsidRPr="00900501">
      <w:t>v</w:t>
    </w:r>
    <w:r w:rsidR="00DE2CD5" w:rsidRPr="00DE2CD5">
      <w:t>02-00</w:t>
    </w:r>
    <w:r w:rsidRPr="00900501">
      <w:rPr>
        <w:rStyle w:val="HideTWBExt"/>
      </w:rPr>
      <w:t>&lt;/Version&gt;</w:t>
    </w:r>
  </w:p>
  <w:p w:rsidR="0085501C" w:rsidRPr="00900501" w:rsidRDefault="00337C92">
    <w:pPr>
      <w:pStyle w:val="EPFooter2"/>
    </w:pPr>
    <w:r w:rsidRPr="00900501">
      <w:tab/>
    </w:r>
    <w:r w:rsidR="0085501C" w:rsidRPr="00900501">
      <w:tab/>
    </w:r>
    <w:fldSimple w:instr=" DOCPROPERTY &quot;&lt;Extension&gt;&quot; ">
      <w:r w:rsidR="000D1514">
        <w:t>CS</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900501" w:rsidRDefault="0085501C" w:rsidP="00B6769C">
    <w:pPr>
      <w:pStyle w:val="EPFooter"/>
    </w:pPr>
    <w:r w:rsidRPr="00900501">
      <w:rPr>
        <w:rStyle w:val="HideTWBExt"/>
      </w:rPr>
      <w:t>&lt;PathFdR&gt;</w:t>
    </w:r>
    <w:r w:rsidR="00DE2CD5" w:rsidRPr="00DE2CD5">
      <w:t>PR\1293168CS.docx</w:t>
    </w:r>
    <w:r w:rsidRPr="00900501">
      <w:rPr>
        <w:rStyle w:val="HideTWBExt"/>
      </w:rPr>
      <w:t>&lt;/PathFdR&gt;</w:t>
    </w:r>
    <w:r w:rsidRPr="00900501">
      <w:tab/>
    </w:r>
    <w:r w:rsidRPr="00900501">
      <w:tab/>
      <w:t>PE</w:t>
    </w:r>
    <w:r w:rsidRPr="00900501">
      <w:rPr>
        <w:rStyle w:val="HideTWBExt"/>
      </w:rPr>
      <w:t>&lt;NoPE&gt;</w:t>
    </w:r>
    <w:r w:rsidR="00DE2CD5" w:rsidRPr="00DE2CD5">
      <w:t>757.013</w:t>
    </w:r>
    <w:r w:rsidRPr="00900501">
      <w:rPr>
        <w:rStyle w:val="HideTWBExt"/>
      </w:rPr>
      <w:t>&lt;/NoPE&gt;&lt;Version&gt;</w:t>
    </w:r>
    <w:r w:rsidR="00900501" w:rsidRPr="00900501">
      <w:t>v</w:t>
    </w:r>
    <w:r w:rsidR="00DE2CD5" w:rsidRPr="00DE2CD5">
      <w:t>02-00</w:t>
    </w:r>
    <w:r w:rsidRPr="00900501">
      <w:rPr>
        <w:rStyle w:val="HideTWBExt"/>
      </w:rPr>
      <w:t>&lt;/Version&gt;</w:t>
    </w:r>
  </w:p>
  <w:p w:rsidR="0085501C" w:rsidRPr="00900501" w:rsidRDefault="00C05DD8" w:rsidP="009612AA">
    <w:pPr>
      <w:pStyle w:val="EPFooter2"/>
      <w:tabs>
        <w:tab w:val="clear" w:pos="4535"/>
        <w:tab w:val="center" w:pos="4536"/>
      </w:tabs>
    </w:pPr>
    <w:fldSimple w:instr=" DOCPROPERTY &quot;&lt;Extension&gt;&quot; ">
      <w:r w:rsidR="000D1514">
        <w:t>CS</w:t>
      </w:r>
    </w:fldSimple>
    <w:r w:rsidR="0085501C" w:rsidRPr="00900501">
      <w:tab/>
    </w:r>
    <w:r w:rsidR="00DE2CD5">
      <w:rPr>
        <w:b w:val="0"/>
        <w:i/>
        <w:color w:val="C0C0C0"/>
        <w:sz w:val="22"/>
        <w:szCs w:val="22"/>
      </w:rPr>
      <w:t>Jednotná v rozmanitosti</w:t>
    </w:r>
    <w:r w:rsidR="0085501C" w:rsidRPr="00900501">
      <w:tab/>
    </w:r>
    <w:fldSimple w:instr=" DOCPROPERTY &quot;&lt;Extension&gt;&quot; ">
      <w:r w:rsidR="000D1514">
        <w:t>CS</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0501" w:rsidRPr="00900501" w:rsidRDefault="00900501">
      <w:r w:rsidRPr="00900501">
        <w:separator/>
      </w:r>
    </w:p>
  </w:footnote>
  <w:footnote w:type="continuationSeparator" w:id="0">
    <w:p w:rsidR="00900501" w:rsidRPr="00900501" w:rsidRDefault="00900501">
      <w:r w:rsidRPr="009005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D07" w:rsidRDefault="00963D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D07" w:rsidRDefault="00963D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3D07" w:rsidRDefault="00963D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AUTHORMFMNU" w:val=" 1"/>
    <w:docVar w:name="AUTHORMNU" w:val=" 1"/>
    <w:docVar w:name="COMKEY" w:val="PECH"/>
    <w:docVar w:name="CONSENTMNU" w:val=" 1"/>
    <w:docVar w:name="CONTRIBUTIONMNU" w:val=" 2"/>
    <w:docVar w:name="LastEditedSection" w:val=" 1"/>
    <w:docVar w:name="strDocTypeID" w:val="PR_NLE-AP_Agreement"/>
    <w:docVar w:name="strSubDir" w:val="1293"/>
    <w:docVar w:name="TITLEMNU" w:val=" 1"/>
    <w:docVar w:name="TXTAUTHOR" w:val="Gabriel Mato"/>
    <w:docVar w:name="TXTLANGUE" w:val="CS"/>
    <w:docVar w:name="TXTLANGUEMIN" w:val="cs"/>
    <w:docVar w:name="TXTNRC" w:val="0051/2023"/>
    <w:docVar w:name="TXTNRNLE" w:val="2022/0362"/>
    <w:docVar w:name="TXTNRPE" w:val="757.013"/>
    <w:docVar w:name="TXTPEorAP" w:val="PE"/>
    <w:docVar w:name="TXTROUTE" w:val="PR\1293168CS.docx"/>
    <w:docVar w:name="TXTTITLE" w:val="o uzavření Dohody mezi Evropskou unií a Seychelskou republikou o přístupu seychelských rybářských plavidel do vod ostrova Mayotte jménem Evropské unie"/>
    <w:docVar w:name="TXTVERSION" w:val="02-00"/>
  </w:docVars>
  <w:rsids>
    <w:rsidRoot w:val="00900501"/>
    <w:rsid w:val="00001D52"/>
    <w:rsid w:val="0000443F"/>
    <w:rsid w:val="000053E3"/>
    <w:rsid w:val="0006167F"/>
    <w:rsid w:val="00061EFE"/>
    <w:rsid w:val="00095D8B"/>
    <w:rsid w:val="000A2F73"/>
    <w:rsid w:val="000C123D"/>
    <w:rsid w:val="000D1514"/>
    <w:rsid w:val="000D78AF"/>
    <w:rsid w:val="00180664"/>
    <w:rsid w:val="001874D8"/>
    <w:rsid w:val="001D02E3"/>
    <w:rsid w:val="001F7BBE"/>
    <w:rsid w:val="0021049A"/>
    <w:rsid w:val="0022685A"/>
    <w:rsid w:val="002E2E20"/>
    <w:rsid w:val="002F5A83"/>
    <w:rsid w:val="003072BE"/>
    <w:rsid w:val="00337C92"/>
    <w:rsid w:val="00363B94"/>
    <w:rsid w:val="003B598C"/>
    <w:rsid w:val="004174FC"/>
    <w:rsid w:val="00460BD6"/>
    <w:rsid w:val="004859B3"/>
    <w:rsid w:val="004C083C"/>
    <w:rsid w:val="004E1650"/>
    <w:rsid w:val="0053367A"/>
    <w:rsid w:val="00544D48"/>
    <w:rsid w:val="005877C0"/>
    <w:rsid w:val="005A6B14"/>
    <w:rsid w:val="005D0B97"/>
    <w:rsid w:val="005F5D6C"/>
    <w:rsid w:val="006132CE"/>
    <w:rsid w:val="00613F2E"/>
    <w:rsid w:val="006A1A75"/>
    <w:rsid w:val="006A2CF5"/>
    <w:rsid w:val="006F1B6F"/>
    <w:rsid w:val="00791637"/>
    <w:rsid w:val="0080122F"/>
    <w:rsid w:val="00822206"/>
    <w:rsid w:val="008368CB"/>
    <w:rsid w:val="0085501C"/>
    <w:rsid w:val="00893FBD"/>
    <w:rsid w:val="008B75A4"/>
    <w:rsid w:val="008D23C6"/>
    <w:rsid w:val="008D3030"/>
    <w:rsid w:val="008E3848"/>
    <w:rsid w:val="00900501"/>
    <w:rsid w:val="00924EE0"/>
    <w:rsid w:val="009612AA"/>
    <w:rsid w:val="00963D07"/>
    <w:rsid w:val="009E39A7"/>
    <w:rsid w:val="00A415B7"/>
    <w:rsid w:val="00AD5D0C"/>
    <w:rsid w:val="00B31D18"/>
    <w:rsid w:val="00B42885"/>
    <w:rsid w:val="00B50C20"/>
    <w:rsid w:val="00B6769C"/>
    <w:rsid w:val="00BB22CC"/>
    <w:rsid w:val="00BB41C8"/>
    <w:rsid w:val="00BE5E72"/>
    <w:rsid w:val="00BF0A0F"/>
    <w:rsid w:val="00BF2E15"/>
    <w:rsid w:val="00BF7F55"/>
    <w:rsid w:val="00C05DD8"/>
    <w:rsid w:val="00C15447"/>
    <w:rsid w:val="00C35D01"/>
    <w:rsid w:val="00CB5651"/>
    <w:rsid w:val="00CC20CB"/>
    <w:rsid w:val="00CF44DF"/>
    <w:rsid w:val="00D04E0B"/>
    <w:rsid w:val="00D62DA0"/>
    <w:rsid w:val="00D6543C"/>
    <w:rsid w:val="00DE2CD5"/>
    <w:rsid w:val="00DF594D"/>
    <w:rsid w:val="00E14FEE"/>
    <w:rsid w:val="00E71368"/>
    <w:rsid w:val="00E93816"/>
    <w:rsid w:val="00EA59ED"/>
    <w:rsid w:val="00EF48F2"/>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441EB4B-7500-4104-97FD-2B6E3A376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DE2CD5"/>
    <w:pPr>
      <w:tabs>
        <w:tab w:val="right" w:pos="454"/>
        <w:tab w:val="left" w:pos="737"/>
      </w:tabs>
      <w:ind w:left="737" w:hanging="737"/>
    </w:pPr>
    <w:rPr>
      <w:snapToGrid w:val="0"/>
      <w:sz w:val="18"/>
      <w:lang w:eastAsia="en-US"/>
    </w:rPr>
  </w:style>
  <w:style w:type="paragraph" w:customStyle="1" w:styleId="Lgendetitre">
    <w:name w:val="Légende titre"/>
    <w:basedOn w:val="Normal"/>
    <w:rsid w:val="00DE2CD5"/>
    <w:pPr>
      <w:spacing w:before="240" w:after="240"/>
    </w:pPr>
    <w:rPr>
      <w:b/>
      <w:i/>
      <w:snapToGrid w:val="0"/>
      <w:lang w:eastAsia="en-US"/>
    </w:rPr>
  </w:style>
  <w:style w:type="paragraph" w:customStyle="1" w:styleId="Lgendestandard">
    <w:name w:val="Légende standard"/>
    <w:basedOn w:val="Normal"/>
    <w:rsid w:val="00DE2CD5"/>
    <w:rPr>
      <w:sz w:val="18"/>
    </w:rPr>
  </w:style>
  <w:style w:type="paragraph" w:customStyle="1" w:styleId="Normal24a">
    <w:name w:val="Normal24a"/>
    <w:basedOn w:val="Normal"/>
    <w:rsid w:val="00DE2CD5"/>
    <w:pPr>
      <w:spacing w:after="480"/>
    </w:pPr>
  </w:style>
  <w:style w:type="paragraph" w:customStyle="1" w:styleId="NormalBoldCenter">
    <w:name w:val="NormalBoldCenter"/>
    <w:basedOn w:val="Normal"/>
    <w:rsid w:val="00DE2CD5"/>
    <w:pPr>
      <w:jc w:val="center"/>
    </w:pPr>
    <w:rPr>
      <w:b/>
    </w:rPr>
  </w:style>
  <w:style w:type="paragraph" w:styleId="Footer">
    <w:name w:val="footer"/>
    <w:basedOn w:val="Normal"/>
    <w:link w:val="FooterChar"/>
    <w:semiHidden/>
    <w:rsid w:val="00DE2CD5"/>
    <w:pPr>
      <w:tabs>
        <w:tab w:val="center" w:pos="4513"/>
        <w:tab w:val="right" w:pos="9026"/>
      </w:tabs>
    </w:pPr>
  </w:style>
  <w:style w:type="character" w:customStyle="1" w:styleId="FooterChar">
    <w:name w:val="Footer Char"/>
    <w:basedOn w:val="DefaultParagraphFont"/>
    <w:link w:val="Footer"/>
    <w:semiHidden/>
    <w:rsid w:val="00DE2CD5"/>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2DF990-4790-4FAC-97CE-1F8CB5F98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1204</Words>
  <Characters>7313</Characters>
  <Application>Microsoft Office Word</Application>
  <DocSecurity>0</DocSecurity>
  <Lines>155</Lines>
  <Paragraphs>68</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OSLADILOVA Jana</dc:creator>
  <cp:keywords/>
  <cp:lastModifiedBy>VYROUBALOVA Jana</cp:lastModifiedBy>
  <cp:revision>2</cp:revision>
  <cp:lastPrinted>2002-12-11T09:25:00Z</cp:lastPrinted>
  <dcterms:created xsi:type="dcterms:W3CDTF">2024-01-18T09:32:00Z</dcterms:created>
  <dcterms:modified xsi:type="dcterms:W3CDTF">2024-01-18T09:32:00Z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9.17.0 Build [20231101]</vt:lpwstr>
  </property>
  <property fmtid="{D5CDD505-2E9C-101B-9397-08002B2CF9AE}" pid="4" name="LastEdited with">
    <vt:lpwstr>9.17.1 Build [20240101]</vt:lpwstr>
  </property>
  <property fmtid="{D5CDD505-2E9C-101B-9397-08002B2CF9AE}" pid="5" name="&lt;FdR&gt;">
    <vt:lpwstr>1293168</vt:lpwstr>
  </property>
  <property fmtid="{D5CDD505-2E9C-101B-9397-08002B2CF9AE}" pid="6" name="&lt;Type&gt;">
    <vt:lpwstr>PR</vt:lpwstr>
  </property>
  <property fmtid="{D5CDD505-2E9C-101B-9397-08002B2CF9AE}" pid="7" name="&lt;ModelCod&gt;">
    <vt:lpwstr>\\eiciLUXpr1\pdocep$\DocEP\DOCS\General\PR\PR_Leg\NLE\PR_NLE-AP_Agreement.dotx(17/04/2020 18:28:04)</vt:lpwstr>
  </property>
  <property fmtid="{D5CDD505-2E9C-101B-9397-08002B2CF9AE}" pid="8" name="&lt;ModelTra&gt;">
    <vt:lpwstr>\\eiciLUXpr1\pdocep$\DocEP\TRANSFIL\CS\PR_NLE-AP_Agreement.CS(29/06/2022 09:20:48)</vt:lpwstr>
  </property>
  <property fmtid="{D5CDD505-2E9C-101B-9397-08002B2CF9AE}" pid="9" name="&lt;Model&gt;">
    <vt:lpwstr>PR_NLE-AP_Agreement</vt:lpwstr>
  </property>
  <property fmtid="{D5CDD505-2E9C-101B-9397-08002B2CF9AE}" pid="10" name="FooterPath">
    <vt:lpwstr>PR\1293168CS.docx</vt:lpwstr>
  </property>
  <property fmtid="{D5CDD505-2E9C-101B-9397-08002B2CF9AE}" pid="11" name="PE number">
    <vt:lpwstr>757.013</vt:lpwstr>
  </property>
  <property fmtid="{D5CDD505-2E9C-101B-9397-08002B2CF9AE}" pid="12" name="Bookout">
    <vt:lpwstr>OK - 2024/01/18 10:32</vt:lpwstr>
  </property>
  <property fmtid="{D5CDD505-2E9C-101B-9397-08002B2CF9AE}" pid="13" name="SDLStudio">
    <vt:lpwstr/>
  </property>
</Properties>
</file>