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C241B" w:rsidRPr="009A67DB" w:rsidTr="00C85D0F">
        <w:trPr>
          <w:trHeight w:hRule="exact" w:val="1418"/>
        </w:trPr>
        <w:tc>
          <w:tcPr>
            <w:tcW w:w="6804" w:type="dxa"/>
            <w:shd w:val="clear" w:color="auto" w:fill="auto"/>
            <w:vAlign w:val="center"/>
          </w:tcPr>
          <w:p w:rsidR="00C05DD8" w:rsidRPr="009A67DB" w:rsidRDefault="009A67DB" w:rsidP="00C85D0F">
            <w:pPr>
              <w:pStyle w:val="EPName"/>
            </w:pPr>
            <w:r w:rsidRPr="009A67DB">
              <w:t>Europa-Parlamentet</w:t>
            </w:r>
          </w:p>
          <w:p w:rsidR="00C05DD8" w:rsidRPr="009A67DB" w:rsidRDefault="009A67DB" w:rsidP="00A13F5B">
            <w:pPr>
              <w:pStyle w:val="EPTerm"/>
            </w:pPr>
            <w:r w:rsidRPr="009A67DB">
              <w:t>2019-2024</w:t>
            </w:r>
          </w:p>
        </w:tc>
        <w:tc>
          <w:tcPr>
            <w:tcW w:w="2268" w:type="dxa"/>
            <w:shd w:val="clear" w:color="auto" w:fill="auto"/>
          </w:tcPr>
          <w:p w:rsidR="00C05DD8" w:rsidRPr="009A67DB" w:rsidRDefault="009A67DB" w:rsidP="00C85D0F">
            <w:pPr>
              <w:pStyle w:val="EPLogo"/>
            </w:pPr>
            <w:r w:rsidRPr="009A67DB">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9A67DB" w:rsidRDefault="009612AA" w:rsidP="009612AA">
      <w:pPr>
        <w:pStyle w:val="LineTop"/>
      </w:pPr>
    </w:p>
    <w:p w:rsidR="009612AA" w:rsidRPr="009A67DB" w:rsidRDefault="009A67DB" w:rsidP="009612AA">
      <w:pPr>
        <w:pStyle w:val="EPBody"/>
      </w:pPr>
      <w:r w:rsidRPr="009A67DB">
        <w:rPr>
          <w:rStyle w:val="HideTWBExt"/>
        </w:rPr>
        <w:t>&lt;</w:t>
      </w:r>
      <w:r w:rsidRPr="009A67DB">
        <w:rPr>
          <w:rStyle w:val="HideTWBExt"/>
          <w:i w:val="0"/>
        </w:rPr>
        <w:t>Commission</w:t>
      </w:r>
      <w:r w:rsidRPr="009A67DB">
        <w:rPr>
          <w:rStyle w:val="HideTWBExt"/>
        </w:rPr>
        <w:t>&gt;</w:t>
      </w:r>
      <w:r w:rsidRPr="009A67DB">
        <w:rPr>
          <w:rStyle w:val="HideTWBInt"/>
        </w:rPr>
        <w:t>{PECH}</w:t>
      </w:r>
      <w:r w:rsidRPr="009A67DB">
        <w:t>Fiskeriudvalget</w:t>
      </w:r>
      <w:r w:rsidRPr="009A67DB">
        <w:rPr>
          <w:rStyle w:val="HideTWBExt"/>
        </w:rPr>
        <w:t>&lt;/</w:t>
      </w:r>
      <w:r w:rsidRPr="009A67DB">
        <w:rPr>
          <w:rStyle w:val="HideTWBExt"/>
          <w:i w:val="0"/>
        </w:rPr>
        <w:t>Commission</w:t>
      </w:r>
      <w:r w:rsidRPr="009A67DB">
        <w:rPr>
          <w:rStyle w:val="HideTWBExt"/>
        </w:rPr>
        <w:t>&gt;</w:t>
      </w:r>
    </w:p>
    <w:p w:rsidR="009612AA" w:rsidRPr="009A67DB" w:rsidRDefault="009612AA" w:rsidP="009612AA">
      <w:pPr>
        <w:pStyle w:val="LineBottom"/>
      </w:pPr>
    </w:p>
    <w:p w:rsidR="00363B94" w:rsidRPr="009A67DB" w:rsidRDefault="009A67DB">
      <w:pPr>
        <w:pStyle w:val="CoverReference"/>
      </w:pPr>
      <w:r w:rsidRPr="009A67DB">
        <w:rPr>
          <w:rStyle w:val="HideTWBExt"/>
          <w:b w:val="0"/>
        </w:rPr>
        <w:t>&lt;RefProc&gt;</w:t>
      </w:r>
      <w:r w:rsidRPr="009A67DB">
        <w:t>2022/0362</w:t>
      </w:r>
      <w:r w:rsidRPr="009A67DB">
        <w:rPr>
          <w:rStyle w:val="HideTWBExt"/>
          <w:b w:val="0"/>
        </w:rPr>
        <w:t>&lt;/RefProc&gt;&lt;RefTypeProc&gt;</w:t>
      </w:r>
      <w:r w:rsidRPr="009A67DB">
        <w:t>(NLE)</w:t>
      </w:r>
      <w:r w:rsidRPr="009A67DB">
        <w:rPr>
          <w:rStyle w:val="HideTWBExt"/>
          <w:b w:val="0"/>
        </w:rPr>
        <w:t>&lt;/RefTypeProc&gt;</w:t>
      </w:r>
    </w:p>
    <w:p w:rsidR="00363B94" w:rsidRPr="009A67DB" w:rsidRDefault="009A67DB">
      <w:pPr>
        <w:pStyle w:val="CoverDate"/>
      </w:pPr>
      <w:r w:rsidRPr="009A67DB">
        <w:rPr>
          <w:rStyle w:val="HideTWBExt"/>
        </w:rPr>
        <w:t>&lt;Date&gt;</w:t>
      </w:r>
      <w:r w:rsidRPr="009A67DB">
        <w:rPr>
          <w:rStyle w:val="HideTWBInt"/>
        </w:rPr>
        <w:t>{18/12/2023}</w:t>
      </w:r>
      <w:r w:rsidRPr="009A67DB">
        <w:t>18.12.2023</w:t>
      </w:r>
      <w:r w:rsidRPr="009A67DB">
        <w:rPr>
          <w:rStyle w:val="HideTWBExt"/>
        </w:rPr>
        <w:t>&lt;/Date&gt;</w:t>
      </w:r>
    </w:p>
    <w:p w:rsidR="00363B94" w:rsidRPr="009A67DB" w:rsidRDefault="009A67DB">
      <w:pPr>
        <w:pStyle w:val="CoverDocType"/>
      </w:pPr>
      <w:r w:rsidRPr="009A67DB">
        <w:rPr>
          <w:rStyle w:val="HideTWBExt"/>
          <w:b w:val="0"/>
        </w:rPr>
        <w:t>&lt;RefProcLect&gt;</w:t>
      </w:r>
      <w:r w:rsidRPr="009A67DB">
        <w:t>***</w:t>
      </w:r>
      <w:r w:rsidRPr="009A67DB">
        <w:rPr>
          <w:rStyle w:val="HideTWBExt"/>
          <w:b w:val="0"/>
        </w:rPr>
        <w:t>&lt;/RefProcLect&gt;</w:t>
      </w:r>
    </w:p>
    <w:p w:rsidR="00363B94" w:rsidRPr="009A67DB" w:rsidRDefault="009A67DB">
      <w:pPr>
        <w:pStyle w:val="CoverDocType24a"/>
      </w:pPr>
      <w:r w:rsidRPr="009A67DB">
        <w:rPr>
          <w:rStyle w:val="HideTWBExt"/>
          <w:b w:val="0"/>
        </w:rPr>
        <w:t>&lt;TitreType&gt;</w:t>
      </w:r>
      <w:r w:rsidRPr="009A67DB">
        <w:t>UDKAST TIL HENSTILLING</w:t>
      </w:r>
      <w:r w:rsidRPr="009A67DB">
        <w:rPr>
          <w:rStyle w:val="HideTWBExt"/>
          <w:b w:val="0"/>
        </w:rPr>
        <w:t>&lt;/TitreType&gt;</w:t>
      </w:r>
    </w:p>
    <w:p w:rsidR="00363B94" w:rsidRPr="009A67DB" w:rsidRDefault="009A67DB" w:rsidP="00A13F5B">
      <w:pPr>
        <w:pStyle w:val="CoverNormal"/>
      </w:pPr>
      <w:r w:rsidRPr="009A67DB">
        <w:rPr>
          <w:rStyle w:val="HideTWBExt"/>
        </w:rPr>
        <w:t>&lt;Titre&gt;</w:t>
      </w:r>
      <w:r w:rsidRPr="009A67DB">
        <w:t>om udkast til Rådets afgørelse om indgåelse på Den Europæiske Unions vegne af aftalen mellem Den Europæiske Union og Republikken Seychellerne om seychelliske fiskerfartøjers adgang til Mayottes farvande</w:t>
      </w:r>
      <w:r w:rsidRPr="009A67DB">
        <w:rPr>
          <w:rStyle w:val="HideTWBExt"/>
        </w:rPr>
        <w:t>&lt;/Titre&gt;</w:t>
      </w:r>
    </w:p>
    <w:p w:rsidR="00363B94" w:rsidRPr="009A67DB" w:rsidRDefault="009A67DB">
      <w:pPr>
        <w:pStyle w:val="CoverNormal24a"/>
      </w:pPr>
      <w:r w:rsidRPr="009A67DB">
        <w:rPr>
          <w:rStyle w:val="HideTWBExt"/>
        </w:rPr>
        <w:t>&lt;DocRef&gt;</w:t>
      </w:r>
      <w:r w:rsidRPr="009A67DB">
        <w:t>(15248/2022 – C9</w:t>
      </w:r>
      <w:r w:rsidRPr="009A67DB">
        <w:noBreakHyphen/>
        <w:t>0051/2023 – 2</w:t>
      </w:r>
      <w:r w:rsidRPr="009A67DB">
        <w:t>022/0362(NLE))</w:t>
      </w:r>
      <w:r w:rsidRPr="009A67DB">
        <w:rPr>
          <w:rStyle w:val="HideTWBExt"/>
        </w:rPr>
        <w:t>&lt;/DocRef&gt;</w:t>
      </w:r>
    </w:p>
    <w:p w:rsidR="00363B94" w:rsidRPr="009A67DB" w:rsidRDefault="009A67DB">
      <w:pPr>
        <w:pStyle w:val="CoverNormal24a"/>
      </w:pPr>
      <w:r w:rsidRPr="009A67DB">
        <w:rPr>
          <w:rStyle w:val="HideTWBExt"/>
        </w:rPr>
        <w:t>&lt;Commission&gt;</w:t>
      </w:r>
      <w:r w:rsidRPr="009A67DB">
        <w:rPr>
          <w:rStyle w:val="HideTWBInt"/>
        </w:rPr>
        <w:t>{PECH}</w:t>
      </w:r>
      <w:r w:rsidRPr="009A67DB">
        <w:t>Fiskeriudvalget</w:t>
      </w:r>
      <w:r w:rsidRPr="009A67DB">
        <w:rPr>
          <w:rStyle w:val="HideTWBExt"/>
        </w:rPr>
        <w:t>&lt;/Commission&gt;</w:t>
      </w:r>
    </w:p>
    <w:p w:rsidR="00363B94" w:rsidRPr="009A67DB" w:rsidRDefault="009A67DB">
      <w:pPr>
        <w:pStyle w:val="CoverNormal24a"/>
      </w:pPr>
      <w:r w:rsidRPr="009A67DB">
        <w:t xml:space="preserve">Ordfører: </w:t>
      </w:r>
      <w:r w:rsidRPr="009A67DB">
        <w:rPr>
          <w:rStyle w:val="HideTWBExt"/>
        </w:rPr>
        <w:t>&lt;Depute&gt;</w:t>
      </w:r>
      <w:r w:rsidRPr="009A67DB">
        <w:t>Gabriel Mato</w:t>
      </w:r>
      <w:r w:rsidRPr="009A67DB">
        <w:rPr>
          <w:rStyle w:val="HideTWBExt"/>
        </w:rPr>
        <w:t>&lt;/Depute&gt;</w:t>
      </w:r>
    </w:p>
    <w:p w:rsidR="00B42885" w:rsidRPr="009A67DB" w:rsidRDefault="00B42885" w:rsidP="00B42885">
      <w:pPr>
        <w:pStyle w:val="CoverNormal"/>
      </w:pPr>
    </w:p>
    <w:p w:rsidR="00A13F5B" w:rsidRPr="009A67DB" w:rsidRDefault="009A67DB" w:rsidP="00016E55">
      <w:r w:rsidRPr="009A67DB">
        <w:br w:type="page"/>
      </w:r>
      <w:r w:rsidR="003930BA" w:rsidRPr="009A67DB">
        <w:lastRenderedPageBreak/>
        <w:fldChar w:fldCharType="begin"/>
      </w:r>
      <w:r w:rsidRPr="009A67DB">
        <w:instrText xml:space="preserve"> TITLE  \* MERGEFORMAT </w:instrText>
      </w:r>
      <w:r w:rsidR="003930BA" w:rsidRPr="009A67DB">
        <w:fldChar w:fldCharType="separate"/>
      </w:r>
      <w:r>
        <w:t>PR_NLE-AP_Agreement</w:t>
      </w:r>
      <w:r w:rsidR="003930BA" w:rsidRPr="009A67DB">
        <w:fldChar w:fldCharType="end"/>
      </w:r>
    </w:p>
    <w:p w:rsidR="00A13F5B" w:rsidRPr="009A67DB" w:rsidRDefault="00A13F5B" w:rsidP="00016E55"/>
    <w:p w:rsidR="00A13F5B" w:rsidRPr="009A67DB" w:rsidRDefault="00A13F5B"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C241B" w:rsidRPr="009A67DB">
        <w:tc>
          <w:tcPr>
            <w:tcW w:w="5811" w:type="dxa"/>
          </w:tcPr>
          <w:p w:rsidR="00A13F5B" w:rsidRPr="009A67DB" w:rsidRDefault="009A67DB" w:rsidP="00016E55">
            <w:pPr>
              <w:pStyle w:val="Lgendetitre"/>
            </w:pPr>
            <w:r w:rsidRPr="009A67DB">
              <w:t>Tegnforklaring</w:t>
            </w:r>
          </w:p>
        </w:tc>
      </w:tr>
      <w:tr w:rsidR="001C241B" w:rsidRPr="009A67DB" w:rsidTr="007948A1">
        <w:trPr>
          <w:cantSplit/>
          <w:trHeight w:val="1944"/>
        </w:trPr>
        <w:tc>
          <w:tcPr>
            <w:tcW w:w="5811" w:type="dxa"/>
            <w:tcBorders>
              <w:bottom w:val="single" w:sz="4" w:space="0" w:color="auto"/>
            </w:tcBorders>
          </w:tcPr>
          <w:p w:rsidR="00A13F5B" w:rsidRPr="009A67DB" w:rsidRDefault="009A67DB" w:rsidP="00DA6388">
            <w:pPr>
              <w:pStyle w:val="Lgendesigne"/>
              <w:rPr>
                <w:szCs w:val="24"/>
              </w:rPr>
            </w:pPr>
            <w:r w:rsidRPr="009A67DB">
              <w:tab/>
              <w:t>*</w:t>
            </w:r>
            <w:r w:rsidRPr="009A67DB">
              <w:tab/>
              <w:t>Høringsprocedure</w:t>
            </w:r>
          </w:p>
          <w:p w:rsidR="00A13F5B" w:rsidRPr="009A67DB" w:rsidRDefault="009A67DB" w:rsidP="00DA6388">
            <w:pPr>
              <w:pStyle w:val="Lgendesigne"/>
              <w:rPr>
                <w:szCs w:val="24"/>
              </w:rPr>
            </w:pPr>
            <w:r w:rsidRPr="009A67DB">
              <w:tab/>
              <w:t>***</w:t>
            </w:r>
            <w:r w:rsidRPr="009A67DB">
              <w:tab/>
              <w:t>Godkendelsesprocedure</w:t>
            </w:r>
          </w:p>
          <w:p w:rsidR="00A13F5B" w:rsidRPr="009A67DB" w:rsidRDefault="009A67DB" w:rsidP="00DA6388">
            <w:pPr>
              <w:pStyle w:val="Lgendesigne"/>
              <w:rPr>
                <w:szCs w:val="24"/>
              </w:rPr>
            </w:pPr>
            <w:r w:rsidRPr="009A67DB">
              <w:tab/>
              <w:t>***I</w:t>
            </w:r>
            <w:r w:rsidRPr="009A67DB">
              <w:tab/>
            </w:r>
            <w:r w:rsidRPr="009A67DB">
              <w:t>Almindelig lovgivningsprocedure (førstebehandling)</w:t>
            </w:r>
          </w:p>
          <w:p w:rsidR="00A13F5B" w:rsidRPr="009A67DB" w:rsidRDefault="009A67DB" w:rsidP="00DA6388">
            <w:pPr>
              <w:pStyle w:val="Lgendesigne"/>
              <w:rPr>
                <w:szCs w:val="24"/>
              </w:rPr>
            </w:pPr>
            <w:r w:rsidRPr="009A67DB">
              <w:tab/>
              <w:t>***II</w:t>
            </w:r>
            <w:r w:rsidRPr="009A67DB">
              <w:tab/>
              <w:t>Almindelig lovgivningsprocedure (andenbehandling)</w:t>
            </w:r>
          </w:p>
          <w:p w:rsidR="00A13F5B" w:rsidRPr="009A67DB" w:rsidRDefault="009A67DB" w:rsidP="00DA6388">
            <w:pPr>
              <w:pStyle w:val="Lgendesigne"/>
              <w:rPr>
                <w:szCs w:val="24"/>
              </w:rPr>
            </w:pPr>
            <w:r w:rsidRPr="009A67DB">
              <w:tab/>
              <w:t>***III</w:t>
            </w:r>
            <w:r w:rsidRPr="009A67DB">
              <w:tab/>
              <w:t>Almindelig lovgivningsprocedure (tredjebehandling)</w:t>
            </w:r>
          </w:p>
          <w:p w:rsidR="00A13F5B" w:rsidRPr="009A67DB" w:rsidRDefault="00A13F5B" w:rsidP="00DA6388">
            <w:pPr>
              <w:pStyle w:val="Lgendestandard"/>
            </w:pPr>
          </w:p>
          <w:p w:rsidR="00A13F5B" w:rsidRPr="009A67DB" w:rsidRDefault="009A67DB" w:rsidP="00DA6388">
            <w:pPr>
              <w:pStyle w:val="Lgendestandard"/>
            </w:pPr>
            <w:r w:rsidRPr="009A67DB">
              <w:t>(Proceduren afhænger af, hvilket retsgrundlag der er valgt i udkastet til retsakt)</w:t>
            </w:r>
          </w:p>
          <w:p w:rsidR="00A13F5B" w:rsidRPr="009A67DB" w:rsidRDefault="00A13F5B" w:rsidP="00BD67E9">
            <w:pPr>
              <w:pStyle w:val="Lgendestandard"/>
            </w:pPr>
          </w:p>
        </w:tc>
      </w:tr>
    </w:tbl>
    <w:p w:rsidR="00A13F5B" w:rsidRPr="009A67DB" w:rsidRDefault="00A13F5B" w:rsidP="00016E55"/>
    <w:p w:rsidR="00363B94" w:rsidRPr="009A67DB" w:rsidRDefault="00363B94" w:rsidP="00613F2E">
      <w:pPr>
        <w:widowControl/>
        <w:tabs>
          <w:tab w:val="center" w:pos="4677"/>
        </w:tabs>
      </w:pPr>
    </w:p>
    <w:p w:rsidR="00363B94" w:rsidRPr="009A67DB" w:rsidRDefault="009A67DB">
      <w:pPr>
        <w:pStyle w:val="TOCHeading"/>
      </w:pPr>
      <w:r w:rsidRPr="009A67DB">
        <w:br w:type="page"/>
      </w:r>
      <w:r w:rsidRPr="009A67DB">
        <w:lastRenderedPageBreak/>
        <w:t>INDHOLD</w:t>
      </w:r>
    </w:p>
    <w:p w:rsidR="00363B94" w:rsidRPr="009A67DB" w:rsidRDefault="009A67DB">
      <w:pPr>
        <w:pStyle w:val="TOCPage"/>
      </w:pPr>
      <w:r w:rsidRPr="009A67DB">
        <w:t>Side</w:t>
      </w:r>
    </w:p>
    <w:p w:rsidR="009A67DB" w:rsidRDefault="009A67DB">
      <w:pPr>
        <w:pStyle w:val="TOC1"/>
        <w:tabs>
          <w:tab w:val="right" w:leader="dot" w:pos="9060"/>
        </w:tabs>
        <w:rPr>
          <w:rFonts w:asciiTheme="minorHAnsi" w:eastAsiaTheme="minorEastAsia" w:hAnsiTheme="minorHAnsi" w:cstheme="minorBidi"/>
          <w:noProof/>
          <w:sz w:val="22"/>
          <w:szCs w:val="22"/>
          <w:lang w:eastAsia="da-DK"/>
        </w:rPr>
      </w:pPr>
      <w:r w:rsidRPr="009A67DB">
        <w:fldChar w:fldCharType="begin"/>
      </w:r>
      <w:r w:rsidRPr="009A67DB">
        <w:instrText xml:space="preserve"> TOC \t "PageHeading</w:instrText>
      </w:r>
      <w:r w:rsidR="00A13F5B" w:rsidRPr="009A67DB">
        <w:instrText>;</w:instrText>
      </w:r>
      <w:r w:rsidRPr="009A67DB">
        <w:instrText xml:space="preserve">1" </w:instrText>
      </w:r>
      <w:r w:rsidRPr="009A67DB">
        <w:fldChar w:fldCharType="separate"/>
      </w:r>
      <w:r>
        <w:rPr>
          <w:noProof/>
        </w:rPr>
        <w:t>FORSLAG TIL EUROPA-PARLAMENTETS LOVGIVNINGSMÆSSIGE BESLUTNING</w:t>
      </w:r>
      <w:r>
        <w:rPr>
          <w:noProof/>
        </w:rPr>
        <w:tab/>
      </w:r>
      <w:r>
        <w:rPr>
          <w:noProof/>
        </w:rPr>
        <w:fldChar w:fldCharType="begin"/>
      </w:r>
      <w:r>
        <w:rPr>
          <w:noProof/>
        </w:rPr>
        <w:instrText xml:space="preserve"> PAGEREF _Toc156369039 \h </w:instrText>
      </w:r>
      <w:r>
        <w:rPr>
          <w:noProof/>
        </w:rPr>
      </w:r>
      <w:r>
        <w:rPr>
          <w:noProof/>
        </w:rPr>
        <w:fldChar w:fldCharType="separate"/>
      </w:r>
      <w:r>
        <w:rPr>
          <w:noProof/>
        </w:rPr>
        <w:t>5</w:t>
      </w:r>
      <w:r>
        <w:rPr>
          <w:noProof/>
        </w:rPr>
        <w:fldChar w:fldCharType="end"/>
      </w:r>
    </w:p>
    <w:p w:rsidR="009A67DB" w:rsidRDefault="009A67DB">
      <w:pPr>
        <w:pStyle w:val="TOC1"/>
        <w:tabs>
          <w:tab w:val="right" w:leader="dot" w:pos="9060"/>
        </w:tabs>
        <w:rPr>
          <w:rFonts w:asciiTheme="minorHAnsi" w:eastAsiaTheme="minorEastAsia" w:hAnsiTheme="minorHAnsi" w:cstheme="minorBidi"/>
          <w:noProof/>
          <w:sz w:val="22"/>
          <w:szCs w:val="22"/>
          <w:lang w:eastAsia="da-DK"/>
        </w:rPr>
      </w:pPr>
      <w:r>
        <w:rPr>
          <w:noProof/>
        </w:rPr>
        <w:t>BEGRUNDELSE</w:t>
      </w:r>
      <w:r>
        <w:rPr>
          <w:noProof/>
        </w:rPr>
        <w:tab/>
      </w:r>
      <w:r>
        <w:rPr>
          <w:noProof/>
        </w:rPr>
        <w:fldChar w:fldCharType="begin"/>
      </w:r>
      <w:r>
        <w:rPr>
          <w:noProof/>
        </w:rPr>
        <w:instrText xml:space="preserve"> PAGEREF _Toc156369040 \h </w:instrText>
      </w:r>
      <w:r>
        <w:rPr>
          <w:noProof/>
        </w:rPr>
      </w:r>
      <w:r>
        <w:rPr>
          <w:noProof/>
        </w:rPr>
        <w:fldChar w:fldCharType="separate"/>
      </w:r>
      <w:r>
        <w:rPr>
          <w:noProof/>
        </w:rPr>
        <w:t>6</w:t>
      </w:r>
      <w:r>
        <w:rPr>
          <w:noProof/>
        </w:rPr>
        <w:fldChar w:fldCharType="end"/>
      </w:r>
    </w:p>
    <w:p w:rsidR="009A67DB" w:rsidRDefault="009A67DB">
      <w:pPr>
        <w:pStyle w:val="TOC1"/>
        <w:tabs>
          <w:tab w:val="right" w:leader="dot" w:pos="9060"/>
        </w:tabs>
        <w:rPr>
          <w:rFonts w:asciiTheme="minorHAnsi" w:eastAsiaTheme="minorEastAsia" w:hAnsiTheme="minorHAnsi" w:cstheme="minorBidi"/>
          <w:noProof/>
          <w:sz w:val="22"/>
          <w:szCs w:val="22"/>
          <w:lang w:eastAsia="da-DK"/>
        </w:rPr>
      </w:pPr>
      <w:r>
        <w:rPr>
          <w:noProof/>
        </w:rPr>
        <w:t>BILAG: ENHEDER ELLER PERSONER, SOM ORDFØREREN HAR MODTAGET INPUT FRA</w:t>
      </w:r>
      <w:r>
        <w:rPr>
          <w:noProof/>
        </w:rPr>
        <w:tab/>
      </w:r>
      <w:r>
        <w:rPr>
          <w:noProof/>
        </w:rPr>
        <w:fldChar w:fldCharType="begin"/>
      </w:r>
      <w:r>
        <w:rPr>
          <w:noProof/>
        </w:rPr>
        <w:instrText xml:space="preserve"> PAGEREF _Toc156369041 \h </w:instrText>
      </w:r>
      <w:r>
        <w:rPr>
          <w:noProof/>
        </w:rPr>
      </w:r>
      <w:r>
        <w:rPr>
          <w:noProof/>
        </w:rPr>
        <w:fldChar w:fldCharType="separate"/>
      </w:r>
      <w:r>
        <w:rPr>
          <w:noProof/>
        </w:rPr>
        <w:t>8</w:t>
      </w:r>
      <w:r>
        <w:rPr>
          <w:noProof/>
        </w:rPr>
        <w:fldChar w:fldCharType="end"/>
      </w:r>
    </w:p>
    <w:p w:rsidR="004E1650" w:rsidRPr="009A67DB" w:rsidRDefault="009A67DB" w:rsidP="00F04010">
      <w:r w:rsidRPr="009A67DB">
        <w:fldChar w:fldCharType="end"/>
      </w:r>
    </w:p>
    <w:p w:rsidR="00363B94" w:rsidRPr="009A67DB" w:rsidRDefault="009A67DB" w:rsidP="0006167F">
      <w:pPr>
        <w:pStyle w:val="PageHeading"/>
      </w:pPr>
      <w:r w:rsidRPr="009A67DB">
        <w:br w:type="page"/>
      </w:r>
      <w:r w:rsidRPr="009A67DB">
        <w:lastRenderedPageBreak/>
        <w:br w:type="page"/>
      </w:r>
      <w:bookmarkStart w:id="0" w:name="_Toc156369039"/>
      <w:r w:rsidRPr="009A67DB">
        <w:lastRenderedPageBreak/>
        <w:t>FORSLAG TIL EUROPA-PARLAMENTETS LOVGI</w:t>
      </w:r>
      <w:r w:rsidRPr="009A67DB">
        <w:t>VNINGSMÆSSIGE BESLUTNING</w:t>
      </w:r>
      <w:bookmarkEnd w:id="0"/>
    </w:p>
    <w:p w:rsidR="00363B94" w:rsidRPr="009A67DB" w:rsidRDefault="009A67DB">
      <w:pPr>
        <w:pStyle w:val="NormalBold"/>
      </w:pPr>
      <w:r w:rsidRPr="009A67DB">
        <w:t>om udkast til Rådets afgørelse om indgåelse på Den Europæiske Unions vegne af aftalen mellem Den Europæiske Union og Republikken Seychellerne om seychelliske fiskerfartøjers adgang til Mayottes farvande</w:t>
      </w:r>
    </w:p>
    <w:p w:rsidR="00363B94" w:rsidRPr="009A67DB" w:rsidRDefault="009A67DB">
      <w:pPr>
        <w:pStyle w:val="NormalBold12a"/>
      </w:pPr>
      <w:r w:rsidRPr="009A67DB">
        <w:t>(15248/2022 – C9</w:t>
      </w:r>
      <w:r w:rsidRPr="009A67DB">
        <w:noBreakHyphen/>
        <w:t>0051/2023 –</w:t>
      </w:r>
      <w:r w:rsidRPr="009A67DB">
        <w:t xml:space="preserve"> 2022/0362(NLE))</w:t>
      </w:r>
    </w:p>
    <w:p w:rsidR="00363B94" w:rsidRPr="009A67DB" w:rsidRDefault="009A67DB" w:rsidP="00893FBD">
      <w:pPr>
        <w:pStyle w:val="NormalBold"/>
      </w:pPr>
      <w:r w:rsidRPr="009A67DB">
        <w:t>(Godkendelse)</w:t>
      </w:r>
    </w:p>
    <w:p w:rsidR="00363B94" w:rsidRPr="009A67DB" w:rsidRDefault="009A67DB">
      <w:pPr>
        <w:pStyle w:val="EPComma"/>
      </w:pPr>
      <w:r w:rsidRPr="009A67DB">
        <w:rPr>
          <w:i/>
        </w:rPr>
        <w:t>Europa-Parlamentet</w:t>
      </w:r>
      <w:r w:rsidRPr="009A67DB">
        <w:t>,</w:t>
      </w:r>
    </w:p>
    <w:p w:rsidR="00BF7F55" w:rsidRPr="009A67DB" w:rsidRDefault="009A67DB" w:rsidP="00BF7F55">
      <w:pPr>
        <w:pStyle w:val="NormalHanging12a"/>
      </w:pPr>
      <w:r w:rsidRPr="009A67DB">
        <w:t>–</w:t>
      </w:r>
      <w:r w:rsidRPr="009A67DB">
        <w:tab/>
        <w:t>der henviser til udkast til Rådets afgørelse (15248/2022),</w:t>
      </w:r>
    </w:p>
    <w:p w:rsidR="00A13F5B" w:rsidRPr="009A67DB" w:rsidRDefault="009A67DB">
      <w:pPr>
        <w:pStyle w:val="NormalHanging12a"/>
      </w:pPr>
      <w:r w:rsidRPr="009A67DB">
        <w:t>–</w:t>
      </w:r>
      <w:r w:rsidRPr="009A67DB">
        <w:tab/>
      </w:r>
      <w:r w:rsidRPr="009A67DB">
        <w:t>der henviser til aftalen mellem Den Europæiske Union og Republikken Seychellerne om seychelliske fiskerfartøjers adgang til Mayottes farvande (15088/2022),</w:t>
      </w:r>
    </w:p>
    <w:p w:rsidR="00363B94" w:rsidRPr="009A67DB" w:rsidRDefault="009A67DB">
      <w:pPr>
        <w:pStyle w:val="NormalHanging12a"/>
      </w:pPr>
      <w:r w:rsidRPr="009A67DB">
        <w:t>–</w:t>
      </w:r>
      <w:r w:rsidRPr="009A67DB">
        <w:tab/>
        <w:t>der henviser til den anmodning om godkendelse, som Rådet har forelagt, jf. artikel 43 og artikel 2</w:t>
      </w:r>
      <w:r w:rsidRPr="009A67DB">
        <w:t>18, stk. 6, andet afsnit, litra a), nr. v), i traktaten om Den Europæiske Unions funktionsmåde (C9</w:t>
      </w:r>
      <w:r w:rsidRPr="009A67DB">
        <w:noBreakHyphen/>
        <w:t>0051/2023),</w:t>
      </w:r>
    </w:p>
    <w:p w:rsidR="00363B94" w:rsidRPr="009A67DB" w:rsidRDefault="009A67DB">
      <w:pPr>
        <w:pStyle w:val="NormalHanging12a"/>
      </w:pPr>
      <w:r w:rsidRPr="009A67DB">
        <w:t>–</w:t>
      </w:r>
      <w:r w:rsidRPr="009A67DB">
        <w:tab/>
        <w:t>der henviser til forretningsordenens artikel 105, stk. 1 og 4, og artikel 114, stk. 7,</w:t>
      </w:r>
    </w:p>
    <w:p w:rsidR="00363B94" w:rsidRPr="009A67DB" w:rsidRDefault="009A67DB">
      <w:pPr>
        <w:pStyle w:val="NormalHanging12a"/>
      </w:pPr>
      <w:r w:rsidRPr="009A67DB">
        <w:t>–</w:t>
      </w:r>
      <w:r w:rsidRPr="009A67DB">
        <w:tab/>
        <w:t>der henviser til henstilling fra Fiskeriudvalget (A9</w:t>
      </w:r>
      <w:r w:rsidRPr="009A67DB">
        <w:noBreakHyphen/>
      </w:r>
      <w:r w:rsidRPr="009A67DB">
        <w:t>0000/2023),</w:t>
      </w:r>
    </w:p>
    <w:p w:rsidR="00363B94" w:rsidRPr="009A67DB" w:rsidRDefault="009A67DB">
      <w:pPr>
        <w:pStyle w:val="NormalHanging12a"/>
      </w:pPr>
      <w:r w:rsidRPr="009A67DB">
        <w:t>1.</w:t>
      </w:r>
      <w:r w:rsidRPr="009A67DB">
        <w:tab/>
        <w:t>godkender indgåelsen af aftalen;</w:t>
      </w:r>
    </w:p>
    <w:p w:rsidR="00A13F5B" w:rsidRPr="009A67DB" w:rsidRDefault="009A67DB" w:rsidP="00A13F5B">
      <w:pPr>
        <w:pStyle w:val="NormalHanging12a"/>
      </w:pPr>
      <w:r w:rsidRPr="009A67DB">
        <w:t>2.</w:t>
      </w:r>
      <w:r w:rsidRPr="009A67DB">
        <w:tab/>
        <w:t>pålægger sin formand at sende Parlamentets holdning til Rådet og Kommissionen samt til medlemsstaternes regeringer og parlamenter og Republikken Seychellernes regering og parlament.</w:t>
      </w:r>
    </w:p>
    <w:p w:rsidR="00157188" w:rsidRPr="009A67DB" w:rsidRDefault="009A67DB" w:rsidP="00157188">
      <w:pPr>
        <w:pStyle w:val="PageHeading"/>
      </w:pPr>
      <w:r w:rsidRPr="009A67DB">
        <w:br w:type="column"/>
      </w:r>
      <w:bookmarkStart w:id="1" w:name="_Toc19262960"/>
      <w:bookmarkStart w:id="2" w:name="_Toc153793854"/>
      <w:bookmarkStart w:id="3" w:name="_Toc156369040"/>
      <w:r w:rsidRPr="009A67DB">
        <w:lastRenderedPageBreak/>
        <w:t>BEGRUNDELSE</w:t>
      </w:r>
      <w:bookmarkEnd w:id="1"/>
      <w:bookmarkEnd w:id="2"/>
      <w:bookmarkEnd w:id="3"/>
    </w:p>
    <w:p w:rsidR="00157188" w:rsidRPr="009A67DB" w:rsidRDefault="009A67DB" w:rsidP="00157188">
      <w:pPr>
        <w:pStyle w:val="P68B1DB1-Normal1"/>
        <w:spacing w:after="240"/>
      </w:pPr>
      <w:r w:rsidRPr="009A67DB">
        <w:t>Baggrund</w:t>
      </w:r>
    </w:p>
    <w:p w:rsidR="00157188" w:rsidRPr="009A67DB" w:rsidRDefault="009A67DB" w:rsidP="00157188">
      <w:pPr>
        <w:spacing w:after="240"/>
      </w:pPr>
      <w:r w:rsidRPr="009A67DB">
        <w:t>M</w:t>
      </w:r>
      <w:r w:rsidRPr="009A67DB">
        <w:t>ayotte, en øgruppe i Det Indiske Ocean og et fransk oversøisk departement, nyder på europæisk plan status som region i den yderste periferi siden 2014. Eftersom traktaterne tildeler Den Europæiske Union enekompetence med hensyn til bevarelse af havets biol</w:t>
      </w:r>
      <w:r w:rsidRPr="009A67DB">
        <w:t xml:space="preserve">ogiske ressourcer inden for rammerne af den fælles fiskeripolitik, skal udenlandske fiskerfartøjers adgang til farvandene omkring Mayotte reguleres af Den Europæiske Union. </w:t>
      </w:r>
    </w:p>
    <w:p w:rsidR="00157188" w:rsidRPr="009A67DB" w:rsidRDefault="009A67DB" w:rsidP="00157188">
      <w:pPr>
        <w:spacing w:after="240"/>
      </w:pPr>
      <w:r w:rsidRPr="009A67DB">
        <w:t>Den første</w:t>
      </w:r>
      <w:r w:rsidRPr="009A67DB">
        <w:rPr>
          <w:b/>
        </w:rPr>
        <w:t xml:space="preserve"> </w:t>
      </w:r>
      <w:r w:rsidRPr="009A67DB">
        <w:t>aftale</w:t>
      </w:r>
      <w:r w:rsidRPr="009A67DB">
        <w:rPr>
          <w:b/>
        </w:rPr>
        <w:t xml:space="preserve"> </w:t>
      </w:r>
      <w:r w:rsidRPr="009A67DB">
        <w:t>mellem Den Europæiske Union og Republikken Seychellerne om Seych</w:t>
      </w:r>
      <w:r w:rsidRPr="009A67DB">
        <w:t xml:space="preserve">ellernes fiskerfartøjers adgang til Mayottes farvande blev undertegnet den 20. maj 2014. Efter dens ikrafttræden på samme dato (første som en midlertidig foranstaltning) for en periode på seks år blev denne aftale stiltiende forlænget den 20. maj 2020. </w:t>
      </w:r>
    </w:p>
    <w:p w:rsidR="00157188" w:rsidRPr="009A67DB" w:rsidRDefault="009A67DB" w:rsidP="00157188">
      <w:pPr>
        <w:spacing w:after="240"/>
      </w:pPr>
      <w:r w:rsidRPr="009A67DB">
        <w:t>På</w:t>
      </w:r>
      <w:r w:rsidRPr="009A67DB">
        <w:t xml:space="preserve"> grundlag af de relevante forhandlingsdirektiver har Kommissionen ført forhandlinger med Seychellernes regering med henblik på indgåelse af en ny aftale om adgang for Seychellernes fiskerfartøjer. Efter disse forhandlinger blev der paraferet en ny aftale o</w:t>
      </w:r>
      <w:r w:rsidRPr="009A67DB">
        <w:t>m fiskeriadgang den 10. juni 2022. Denne nye aftale om adgang til fiskeri dækker en periode på seks år fra den 10. marts 2023, datoen for begge parters undertegnelse, som også indledte den midlertidige anvendelse af denne aftale i afventning af dens indgåe</w:t>
      </w:r>
      <w:r w:rsidRPr="009A67DB">
        <w:t>lse.</w:t>
      </w:r>
    </w:p>
    <w:p w:rsidR="00157188" w:rsidRPr="009A67DB" w:rsidRDefault="009A67DB" w:rsidP="00157188">
      <w:pPr>
        <w:spacing w:after="240"/>
      </w:pPr>
      <w:r w:rsidRPr="009A67DB">
        <w:t>Ud over denne nye aftale om fiskeriadgang til Mayottes farvande for Seychellernes fiskerfartøjer har EU og Seychellerne siden 2020 også været bundet af en partnerskabsaftale om bæredygtigt fiskeri og en tilhørende gennemførelsesprotokol til regulering</w:t>
      </w:r>
      <w:r w:rsidRPr="009A67DB">
        <w:t xml:space="preserve"> af EU-fiskerfartøjers adgang til og fiskerirettigheder i Seychellernes farvande til gengæld for EU's finansielle og tekniske støtte til Seychellerne (jf. procedur</w:t>
      </w:r>
      <w:bookmarkStart w:id="4" w:name="_GoBack"/>
      <w:bookmarkEnd w:id="4"/>
      <w:r w:rsidRPr="009A67DB">
        <w:t>e 2020/0002(NLE)). I denne partnerskabsaftale om bæredygtigt fiskeri er EU og Seychellerne og</w:t>
      </w:r>
      <w:r w:rsidRPr="009A67DB">
        <w:t>så blevet enige om et sæt mekanismer og regler, der skal fremme bæredygtigt fiskeri, bl.a. ved at forbedre fiskerikontrollen og dataindsamlingen, ved at intensivere bekæmpelsen af ulovligt, urapporteret og ureguleret fiskeri (IUU-fiskeri) og gennem et tætt</w:t>
      </w:r>
      <w:r w:rsidRPr="009A67DB">
        <w:t xml:space="preserve">ere samarbejde i de regionale fiskeriforvaltningsorganisationer, som både EU og Seychellerne er medlemmer af. </w:t>
      </w:r>
    </w:p>
    <w:p w:rsidR="00157188" w:rsidRPr="009A67DB" w:rsidRDefault="009A67DB" w:rsidP="00157188">
      <w:pPr>
        <w:pStyle w:val="P68B1DB1-Normal1"/>
        <w:spacing w:after="240"/>
      </w:pPr>
      <w:r w:rsidRPr="009A67DB">
        <w:t>Den nye aftale om adgang til fiskeri</w:t>
      </w:r>
    </w:p>
    <w:p w:rsidR="00157188" w:rsidRPr="009A67DB" w:rsidRDefault="009A67DB" w:rsidP="00157188">
      <w:pPr>
        <w:spacing w:after="240"/>
      </w:pPr>
      <w:r w:rsidRPr="009A67DB">
        <w:t>Formålet med denne nye aftale er at muliggøre en yderligere styrkelse af et strategisk partnerskab med Seych</w:t>
      </w:r>
      <w:r w:rsidRPr="009A67DB">
        <w:t>ellerne og bidrage til ansvarligt fiskeri i EU's farvande og udvikling af fiskeripolitik på Mayotte. De tekniske og finansielle betingelser i aftalen om adgang til fiskeriet er også i overensstemmelse med dem, der er fastsat i partnerskabsaftalen om bæredy</w:t>
      </w:r>
      <w:r w:rsidRPr="009A67DB">
        <w:t>gtigt fiskeri med Seychellerne og den tilhørende gennemførelsesprotokol, der blev undertegnet i 2020.</w:t>
      </w:r>
    </w:p>
    <w:p w:rsidR="00157188" w:rsidRPr="009A67DB" w:rsidRDefault="009A67DB" w:rsidP="00157188">
      <w:pPr>
        <w:spacing w:after="240"/>
      </w:pPr>
      <w:r w:rsidRPr="009A67DB">
        <w:t>Ved denne aftale fastsættes principper, regler og procedurer for samarbejde i fiskerisektoren med henblik på at sikre ansvarligt fiskeri og bevarelse og b</w:t>
      </w:r>
      <w:r w:rsidRPr="009A67DB">
        <w:t xml:space="preserve">æredygtig udnyttelse af fiskeressourcerne i farvandene omkring Mayotte baseret på princippet om ikke-forskelsbehandling mellem de forskellige flåder, der fisker i disse farvande. </w:t>
      </w:r>
    </w:p>
    <w:p w:rsidR="00157188" w:rsidRPr="009A67DB" w:rsidRDefault="009A67DB" w:rsidP="00157188">
      <w:pPr>
        <w:spacing w:after="240"/>
      </w:pPr>
      <w:r w:rsidRPr="009A67DB">
        <w:t>Betingelserne for Seychellernes fiskerfartøjers adgang til disse EU-farvande</w:t>
      </w:r>
      <w:r w:rsidRPr="009A67DB">
        <w:t xml:space="preserve"> er nærmere beskrevet i bilaget til aftalen (fiskerimuligheder, fiskeritilladelser, overvågning og observatører osv.). I henhold til aftalen vil otte fartøjer under Seychellernes flag (notfartøjer) </w:t>
      </w:r>
      <w:r w:rsidRPr="009A67DB">
        <w:lastRenderedPageBreak/>
        <w:t>kunne fiske i Mayottes farvande uden for 24 sømil fra dets</w:t>
      </w:r>
      <w:r w:rsidRPr="009A67DB">
        <w:t xml:space="preserve"> kyster. Fiskerimulighederne er baseret på den bedste foreliggende videnskabelige rådgivning (og i givet fald inden for grænserne af det disponible overskud) og i overensstemmelse med henstillingerne fra den ansvarlige regionale fiskeriforvaltningsorganisa</w:t>
      </w:r>
      <w:r w:rsidRPr="009A67DB">
        <w:t>tion, nemlig Kommissionen for Tunfisk i Det Indiske Ocean (IOTC). Afgifterne for fangster fastsættes til 135 EUR pr. ton fanget tun (med et forskud på 13 500 EUR pr. fartøj for de første 100 tons).</w:t>
      </w:r>
      <w:r>
        <w:t xml:space="preserve"> </w:t>
      </w:r>
    </w:p>
    <w:p w:rsidR="00157188" w:rsidRPr="009A67DB" w:rsidRDefault="009A67DB" w:rsidP="00157188">
      <w:pPr>
        <w:spacing w:after="240"/>
      </w:pPr>
      <w:r w:rsidRPr="009A67DB">
        <w:t>Aftalen indeholder også bestemmelser om ordninger for ov</w:t>
      </w:r>
      <w:r w:rsidRPr="009A67DB">
        <w:t>ervågning og kontrol af fiskeri og forebyggelse af ulovligt, urapporteret og ureguleret fiskeri.</w:t>
      </w:r>
    </w:p>
    <w:p w:rsidR="00157188" w:rsidRPr="009A67DB" w:rsidRDefault="009A67DB" w:rsidP="00157188">
      <w:pPr>
        <w:pStyle w:val="P68B1DB1-Normal1"/>
        <w:spacing w:after="240"/>
      </w:pPr>
      <w:r w:rsidRPr="009A67DB">
        <w:t>Ordførerens holdning</w:t>
      </w:r>
    </w:p>
    <w:p w:rsidR="00157188" w:rsidRPr="009A67DB" w:rsidRDefault="009A67DB" w:rsidP="00157188">
      <w:pPr>
        <w:spacing w:after="240"/>
      </w:pPr>
      <w:r w:rsidRPr="009A67DB">
        <w:t>Denne aftale om adgang til fiskeri er strategisk og skaber sammenhæng og gensidighed mellem EU og Seychellerne med henblik på bæredygtig u</w:t>
      </w:r>
      <w:r w:rsidRPr="009A67DB">
        <w:t xml:space="preserve">dnyttelse af de marine ressourcer i Det Indiske Ocean. Gennem aftalen ønsker parterne navnlig at styrke overvågningen af fiskeriaktiviteterne og sikre, at fiskeriet efter tun og tunlignende arter foregår på en bæredygtig måde, samtidig med at beskyttelsen </w:t>
      </w:r>
      <w:r w:rsidRPr="009A67DB">
        <w:t>af andre arter, navnlig pelagiske hajer, sikres.</w:t>
      </w:r>
    </w:p>
    <w:p w:rsidR="00157188" w:rsidRPr="009A67DB" w:rsidRDefault="009A67DB" w:rsidP="00157188">
      <w:pPr>
        <w:spacing w:after="240"/>
      </w:pPr>
      <w:r w:rsidRPr="009A67DB">
        <w:t>Det er en afbalanceret aftale, hvorved Seychellernes fartøjer vil fortsætte deres fiskeriaktiviteter, samtidig med at det også vil være til gavn for Mayotte og bidrage til udviklingen af den lokale fiskerise</w:t>
      </w:r>
      <w:r w:rsidRPr="009A67DB">
        <w:t>ktor i denne region i EU's yderste periferi.</w:t>
      </w:r>
    </w:p>
    <w:p w:rsidR="00157188" w:rsidRPr="009A67DB" w:rsidRDefault="009A67DB" w:rsidP="00157188">
      <w:pPr>
        <w:spacing w:after="240"/>
      </w:pPr>
      <w:r w:rsidRPr="009A67DB">
        <w:t>Ordføreren mener imidlertid, at Mayotte — og generelt regionerne i den yderste periferi — på lang sigt bør kunne udvikle deres egne fiskerflåder gennem EU-støtte og national støtte. Parlamentet har gentagne gang</w:t>
      </w:r>
      <w:r w:rsidRPr="009A67DB">
        <w:t>e — forgæves — anmodet om, at der for at sikre fiskerisektorens overlevelse i regionerne i den yderste periferi og i overensstemmelse med principperne om differentieret behandling af små øer og territorier, der er nævnt i SDG 14, ydes støtte gennem EHFAF e</w:t>
      </w:r>
      <w:r w:rsidRPr="009A67DB">
        <w:t>ller statsstøtte på grundlag af artikel 349 i TEUF til fornyelse af de ikkeindustrielle fiskerflåder i regionerne i den yderste periferi, der lander alle deres fangster i havne i regionerne i den yderste periferi og bidrager til lokal bæredygtig udvikling.</w:t>
      </w:r>
      <w:r w:rsidRPr="009A67DB">
        <w:t xml:space="preserve"> </w:t>
      </w:r>
    </w:p>
    <w:p w:rsidR="00157188" w:rsidRPr="009A67DB" w:rsidRDefault="009A67DB" w:rsidP="00157188">
      <w:pPr>
        <w:spacing w:after="240"/>
      </w:pPr>
      <w:r w:rsidRPr="009A67DB">
        <w:t>Regionerne i den yderste periferi står over for særlige udfordringer i forbindelse med deres afsides beliggenhed, topografi, små markeder og klima som omhandlet i artikel 349 i TEUF; der tages imidlertid ikke tilstrækkeligt hensyn til de særlige karakter</w:t>
      </w:r>
      <w:r w:rsidRPr="009A67DB">
        <w:t>istika ved fiskeriet i regionerne i den yderste periferi i den fælles fiskeripolitik. Navnlig skal strategiske partnerskaber i forbindelse med den fælles fiskeripolitiks eksterne politik tage hensyn til naboregionernes og dermed berørte EU-regioners intere</w:t>
      </w:r>
      <w:r w:rsidRPr="009A67DB">
        <w:t>sser.</w:t>
      </w:r>
    </w:p>
    <w:p w:rsidR="00157188" w:rsidRPr="009A67DB" w:rsidRDefault="009A67DB" w:rsidP="00157188">
      <w:pPr>
        <w:spacing w:after="240"/>
      </w:pPr>
      <w:r w:rsidRPr="009A67DB">
        <w:t xml:space="preserve">Fiskeriet i regionerne i den yderste periferi er en vigtig økonomisk drivkraft, en kilde til fødevaresuverænitet og en traditionel aktivitet, der er en del af kulturen i disse områder, som skaber arbejdspladser til søs og i forarbejdningssektoren og </w:t>
      </w:r>
      <w:r w:rsidRPr="009A67DB">
        <w:t>bidrager til dynamikken i turistindustrien, som er en vigtig økonomisk drivkraft i disse regioner.</w:t>
      </w:r>
    </w:p>
    <w:p w:rsidR="00157188" w:rsidRPr="009A67DB" w:rsidRDefault="009A67DB" w:rsidP="00157188">
      <w:pPr>
        <w:rPr>
          <w:rFonts w:asciiTheme="minorHAnsi" w:hAnsiTheme="minorHAnsi" w:cstheme="minorBidi"/>
          <w:sz w:val="22"/>
        </w:rPr>
      </w:pPr>
      <w:r w:rsidRPr="009A67DB">
        <w:t xml:space="preserve">I betragtning af ovenstående anbefaler ordføreren, at Parlamentet godkender indgåelsen af denne aftale om adgang til fiskeri og gentager sin opfordring til EU-støtte eller statsstøtte til fornyelse og bæredygtig udvikling af fiskerflåderne på Mayotte og i </w:t>
      </w:r>
      <w:r w:rsidRPr="009A67DB">
        <w:t>regionerne i den yderste periferi mere generelt.</w:t>
      </w:r>
    </w:p>
    <w:p w:rsidR="00157188" w:rsidRPr="009A67DB" w:rsidRDefault="00157188" w:rsidP="00157188"/>
    <w:p w:rsidR="003930BA" w:rsidRPr="009A67DB" w:rsidRDefault="009A67DB" w:rsidP="003930BA">
      <w:pPr>
        <w:widowControl/>
      </w:pPr>
      <w:r w:rsidRPr="009A67DB">
        <w:br w:type="column"/>
      </w:r>
    </w:p>
    <w:p w:rsidR="003930BA" w:rsidRPr="009A67DB" w:rsidRDefault="009A67DB" w:rsidP="003930BA">
      <w:pPr>
        <w:pStyle w:val="PageHeading"/>
        <w:rPr>
          <w:noProof/>
        </w:rPr>
      </w:pPr>
      <w:bookmarkStart w:id="5" w:name="_Toc153793855"/>
      <w:bookmarkStart w:id="6" w:name="FootprintPageRR"/>
      <w:bookmarkStart w:id="7" w:name="_Toc156369041"/>
      <w:r w:rsidRPr="009A67DB">
        <w:t>BILAG: ENHEDER ELLER PERSONER,</w:t>
      </w:r>
      <w:r w:rsidRPr="009A67DB">
        <w:br/>
        <w:t>SOM ORDFØREREN HAR MODTAGET INPUT FRA</w:t>
      </w:r>
      <w:bookmarkEnd w:id="5"/>
      <w:bookmarkEnd w:id="7"/>
    </w:p>
    <w:p w:rsidR="003930BA" w:rsidRPr="009A67DB" w:rsidRDefault="009A67DB" w:rsidP="003930BA">
      <w:pPr>
        <w:pStyle w:val="Normal24a"/>
      </w:pPr>
      <w:r w:rsidRPr="009A67DB">
        <w:rPr>
          <w:rStyle w:val="HideTWBExt"/>
        </w:rPr>
        <w:t>&lt;FootprintIntro&gt;</w:t>
      </w:r>
      <w:r w:rsidRPr="009A67DB">
        <w:t>Ordføreren erklærer på eget ansvar ikke at have modtaget input fra nogen enhed eller person, der skal nævnes i dette bi</w:t>
      </w:r>
      <w:r w:rsidRPr="009A67DB">
        <w:t>lag i henhold til artikel 8 i bilag I til forretningsordenen.</w:t>
      </w:r>
      <w:r w:rsidRPr="009A67DB">
        <w:rPr>
          <w:rStyle w:val="HideTWBExt"/>
        </w:rPr>
        <w:t>&lt;/FootprintIntro&gt;</w:t>
      </w:r>
    </w:p>
    <w:p w:rsidR="003930BA" w:rsidRPr="009A67DB" w:rsidRDefault="003930BA" w:rsidP="003930BA"/>
    <w:p w:rsidR="003930BA" w:rsidRPr="009A67DB" w:rsidRDefault="003930BA" w:rsidP="003930BA"/>
    <w:bookmarkEnd w:id="6"/>
    <w:p w:rsidR="003930BA" w:rsidRPr="009A67DB" w:rsidRDefault="003930BA" w:rsidP="003930BA"/>
    <w:p w:rsidR="00363B94" w:rsidRPr="009A67DB" w:rsidRDefault="00363B94" w:rsidP="00157188">
      <w:pPr>
        <w:pStyle w:val="PageHeading"/>
      </w:pPr>
    </w:p>
    <w:sectPr w:rsidR="00363B94" w:rsidRPr="009A67DB" w:rsidSect="00ED6A3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7476F0" w:rsidRDefault="009A67DB">
      <w:r w:rsidRPr="007476F0">
        <w:separator/>
      </w:r>
    </w:p>
  </w:endnote>
  <w:endnote w:type="continuationSeparator" w:id="0">
    <w:p w:rsidR="00000000" w:rsidRPr="007476F0" w:rsidRDefault="009A67DB">
      <w:r w:rsidRPr="007476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A3F" w:rsidRPr="007476F0" w:rsidRDefault="00ED6A3F" w:rsidP="00ED6A3F">
    <w:pPr>
      <w:pStyle w:val="EPFooter"/>
    </w:pPr>
    <w:r w:rsidRPr="007476F0">
      <w:t>PE</w:t>
    </w:r>
    <w:r w:rsidRPr="007476F0">
      <w:rPr>
        <w:rStyle w:val="HideTWBExt"/>
      </w:rPr>
      <w:t>&lt;NoPE&gt;</w:t>
    </w:r>
    <w:r w:rsidRPr="007476F0">
      <w:t>757.013</w:t>
    </w:r>
    <w:r w:rsidRPr="007476F0">
      <w:rPr>
        <w:rStyle w:val="HideTWBExt"/>
      </w:rPr>
      <w:t>&lt;/NoPE&gt;&lt;Version&gt;</w:t>
    </w:r>
    <w:r w:rsidRPr="007476F0">
      <w:t>v02-00</w:t>
    </w:r>
    <w:r w:rsidRPr="007476F0">
      <w:rPr>
        <w:rStyle w:val="HideTWBExt"/>
      </w:rPr>
      <w:t>&lt;/Version&gt;</w:t>
    </w:r>
    <w:r w:rsidRPr="007476F0">
      <w:tab/>
    </w:r>
    <w:r w:rsidRPr="007476F0">
      <w:fldChar w:fldCharType="begin"/>
    </w:r>
    <w:r w:rsidRPr="007476F0">
      <w:instrText xml:space="preserve"> PAGE  \* MERGEFORMAT </w:instrText>
    </w:r>
    <w:r w:rsidRPr="007476F0">
      <w:fldChar w:fldCharType="separate"/>
    </w:r>
    <w:r w:rsidR="009A67DB">
      <w:rPr>
        <w:noProof/>
      </w:rPr>
      <w:t>6</w:t>
    </w:r>
    <w:r w:rsidRPr="007476F0">
      <w:fldChar w:fldCharType="end"/>
    </w:r>
    <w:r w:rsidRPr="007476F0">
      <w:t>/</w:t>
    </w:r>
    <w:r w:rsidRPr="007476F0">
      <w:fldChar w:fldCharType="begin"/>
    </w:r>
    <w:r w:rsidRPr="007476F0">
      <w:instrText xml:space="preserve"> NUMPAGES  \* MERGEFORMAT </w:instrText>
    </w:r>
    <w:r w:rsidRPr="007476F0">
      <w:fldChar w:fldCharType="separate"/>
    </w:r>
    <w:r w:rsidR="009A67DB">
      <w:rPr>
        <w:noProof/>
      </w:rPr>
      <w:t>8</w:t>
    </w:r>
    <w:r w:rsidRPr="007476F0">
      <w:fldChar w:fldCharType="end"/>
    </w:r>
    <w:r w:rsidRPr="007476F0">
      <w:tab/>
    </w:r>
    <w:r w:rsidRPr="007476F0">
      <w:rPr>
        <w:rStyle w:val="HideTWBExt"/>
      </w:rPr>
      <w:t>&lt;PathFdR&gt;</w:t>
    </w:r>
    <w:r w:rsidR="007476F0" w:rsidRPr="007476F0">
      <w:t>PR\1293168DA.docx</w:t>
    </w:r>
    <w:r w:rsidRPr="007476F0">
      <w:rPr>
        <w:rStyle w:val="HideTWBExt"/>
      </w:rPr>
      <w:t>&lt;/PathFdR&gt;</w:t>
    </w:r>
  </w:p>
  <w:p w:rsidR="0085501C" w:rsidRPr="007476F0" w:rsidRDefault="00ED6A3F" w:rsidP="00ED6A3F">
    <w:pPr>
      <w:pStyle w:val="EPFooter2"/>
    </w:pPr>
    <w:r w:rsidRPr="007476F0">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A3F" w:rsidRPr="007476F0" w:rsidRDefault="00ED6A3F" w:rsidP="00ED6A3F">
    <w:pPr>
      <w:pStyle w:val="EPFooter"/>
    </w:pPr>
    <w:r w:rsidRPr="007476F0">
      <w:rPr>
        <w:rStyle w:val="HideTWBExt"/>
      </w:rPr>
      <w:t>&lt;PathFdR&gt;</w:t>
    </w:r>
    <w:r w:rsidR="007476F0" w:rsidRPr="007476F0">
      <w:t>PR\1293168DA.docx</w:t>
    </w:r>
    <w:r w:rsidRPr="007476F0">
      <w:rPr>
        <w:rStyle w:val="HideTWBExt"/>
      </w:rPr>
      <w:t>&lt;/PathFdR&gt;</w:t>
    </w:r>
    <w:r w:rsidRPr="007476F0">
      <w:tab/>
    </w:r>
    <w:r w:rsidRPr="007476F0">
      <w:fldChar w:fldCharType="begin"/>
    </w:r>
    <w:r w:rsidRPr="007476F0">
      <w:instrText xml:space="preserve"> PAGE  \* MERGEFORMAT </w:instrText>
    </w:r>
    <w:r w:rsidRPr="007476F0">
      <w:fldChar w:fldCharType="separate"/>
    </w:r>
    <w:r w:rsidR="009A67DB">
      <w:rPr>
        <w:noProof/>
      </w:rPr>
      <w:t>7</w:t>
    </w:r>
    <w:r w:rsidRPr="007476F0">
      <w:fldChar w:fldCharType="end"/>
    </w:r>
    <w:r w:rsidRPr="007476F0">
      <w:t>/</w:t>
    </w:r>
    <w:r w:rsidRPr="007476F0">
      <w:fldChar w:fldCharType="begin"/>
    </w:r>
    <w:r w:rsidRPr="007476F0">
      <w:instrText xml:space="preserve"> NUMPAGES  \* MERGEFORMAT </w:instrText>
    </w:r>
    <w:r w:rsidRPr="007476F0">
      <w:fldChar w:fldCharType="separate"/>
    </w:r>
    <w:r w:rsidR="009A67DB">
      <w:rPr>
        <w:noProof/>
      </w:rPr>
      <w:t>8</w:t>
    </w:r>
    <w:r w:rsidRPr="007476F0">
      <w:fldChar w:fldCharType="end"/>
    </w:r>
    <w:r w:rsidRPr="007476F0">
      <w:tab/>
      <w:t>PE</w:t>
    </w:r>
    <w:r w:rsidRPr="007476F0">
      <w:rPr>
        <w:rStyle w:val="HideTWBExt"/>
      </w:rPr>
      <w:t>&lt;NoPE&gt;</w:t>
    </w:r>
    <w:r w:rsidRPr="007476F0">
      <w:t>757.013</w:t>
    </w:r>
    <w:r w:rsidRPr="007476F0">
      <w:rPr>
        <w:rStyle w:val="HideTWBExt"/>
      </w:rPr>
      <w:t>&lt;/NoPE&gt;&lt;Version&gt;</w:t>
    </w:r>
    <w:r w:rsidRPr="007476F0">
      <w:t>v02-00</w:t>
    </w:r>
    <w:r w:rsidRPr="007476F0">
      <w:rPr>
        <w:rStyle w:val="HideTWBExt"/>
      </w:rPr>
      <w:t>&lt;/Version&gt;</w:t>
    </w:r>
  </w:p>
  <w:p w:rsidR="0085501C" w:rsidRPr="007476F0" w:rsidRDefault="00ED6A3F" w:rsidP="00ED6A3F">
    <w:pPr>
      <w:pStyle w:val="EPFooter2"/>
    </w:pPr>
    <w:r w:rsidRPr="007476F0">
      <w:tab/>
    </w:r>
    <w:r w:rsidRPr="007476F0">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A3F" w:rsidRPr="007476F0" w:rsidRDefault="00ED6A3F" w:rsidP="00ED6A3F">
    <w:pPr>
      <w:pStyle w:val="EPFooter"/>
    </w:pPr>
    <w:r w:rsidRPr="007476F0">
      <w:rPr>
        <w:rStyle w:val="HideTWBExt"/>
      </w:rPr>
      <w:t>&lt;PathFdR&gt;</w:t>
    </w:r>
    <w:r w:rsidR="007476F0" w:rsidRPr="007476F0">
      <w:t>PR\1293168DA.docx</w:t>
    </w:r>
    <w:r w:rsidRPr="007476F0">
      <w:rPr>
        <w:rStyle w:val="HideTWBExt"/>
      </w:rPr>
      <w:t>&lt;/PathFdR&gt;</w:t>
    </w:r>
    <w:r w:rsidRPr="007476F0">
      <w:tab/>
    </w:r>
    <w:r w:rsidRPr="007476F0">
      <w:tab/>
      <w:t>PE</w:t>
    </w:r>
    <w:r w:rsidRPr="007476F0">
      <w:rPr>
        <w:rStyle w:val="HideTWBExt"/>
      </w:rPr>
      <w:t>&lt;NoPE&gt;</w:t>
    </w:r>
    <w:r w:rsidRPr="007476F0">
      <w:t>757.013</w:t>
    </w:r>
    <w:r w:rsidRPr="007476F0">
      <w:rPr>
        <w:rStyle w:val="HideTWBExt"/>
      </w:rPr>
      <w:t>&lt;/NoPE&gt;&lt;Version&gt;</w:t>
    </w:r>
    <w:r w:rsidRPr="007476F0">
      <w:t>v02-00</w:t>
    </w:r>
    <w:r w:rsidRPr="007476F0">
      <w:rPr>
        <w:rStyle w:val="HideTWBExt"/>
      </w:rPr>
      <w:t>&lt;/Version&gt;</w:t>
    </w:r>
  </w:p>
  <w:p w:rsidR="0085501C" w:rsidRPr="007476F0" w:rsidRDefault="00ED6A3F" w:rsidP="00ED6A3F">
    <w:pPr>
      <w:pStyle w:val="EPFooter2"/>
    </w:pPr>
    <w:r w:rsidRPr="007476F0">
      <w:t>DA</w:t>
    </w:r>
    <w:r w:rsidRPr="007476F0">
      <w:tab/>
    </w:r>
    <w:r w:rsidRPr="007476F0">
      <w:rPr>
        <w:b w:val="0"/>
        <w:i/>
        <w:color w:val="C0C0C0"/>
        <w:sz w:val="22"/>
      </w:rPr>
      <w:t>Forenet i mangfoldighed</w:t>
    </w:r>
    <w:r w:rsidRPr="007476F0">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7476F0" w:rsidRDefault="009A67DB">
      <w:r w:rsidRPr="007476F0">
        <w:separator/>
      </w:r>
    </w:p>
  </w:footnote>
  <w:footnote w:type="continuationSeparator" w:id="0">
    <w:p w:rsidR="00000000" w:rsidRPr="007476F0" w:rsidRDefault="009A67DB">
      <w:r w:rsidRPr="007476F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7DB" w:rsidRDefault="009A67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7DB" w:rsidRDefault="009A67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7DB" w:rsidRDefault="009A67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PECH"/>
    <w:docVar w:name="CONSENTMNU" w:val=" 1"/>
    <w:docVar w:name="LastEditedSection" w:val=" 1"/>
    <w:docVar w:name="strSubDir" w:val="1293"/>
    <w:docVar w:name="TITLEMNU" w:val=" 2"/>
    <w:docVar w:name="TXTAUTHOR" w:val="Gabriel Mato"/>
    <w:docVar w:name="TXTLANGUE" w:val="DA"/>
    <w:docVar w:name="TXTLANGUEMIN" w:val="da"/>
    <w:docVar w:name="TXTNRC" w:val="0051/2023"/>
    <w:docVar w:name="TXTNRCOUNC" w:val="15248/2022"/>
    <w:docVar w:name="TXTNRNLE" w:val="2022/0362"/>
    <w:docVar w:name="TXTNRPE" w:val="757.013"/>
    <w:docVar w:name="TXTPEorAP" w:val="PE"/>
    <w:docVar w:name="TXTROUTE" w:val="PR\1293168DA.docx"/>
    <w:docVar w:name="TXTTITLE" w:val="indgåelse på Den Europæiske Unions vegne af aftalen mellem Den Europæiske Union og Republikken Seychellerne omseychelliske fiskerfartøjers adgang til Mayottes farvande"/>
    <w:docVar w:name="TXTVERSION" w:val="02-00"/>
  </w:docVars>
  <w:rsids>
    <w:rsidRoot w:val="00CC358B"/>
    <w:rsid w:val="00001D52"/>
    <w:rsid w:val="0000443F"/>
    <w:rsid w:val="000053E3"/>
    <w:rsid w:val="00016E55"/>
    <w:rsid w:val="0006167F"/>
    <w:rsid w:val="00061EFE"/>
    <w:rsid w:val="00095D8B"/>
    <w:rsid w:val="000A2F73"/>
    <w:rsid w:val="000C123D"/>
    <w:rsid w:val="000D78AF"/>
    <w:rsid w:val="00157188"/>
    <w:rsid w:val="00174115"/>
    <w:rsid w:val="00180664"/>
    <w:rsid w:val="001874D8"/>
    <w:rsid w:val="001C241B"/>
    <w:rsid w:val="001D02E3"/>
    <w:rsid w:val="001F7BBE"/>
    <w:rsid w:val="0021049A"/>
    <w:rsid w:val="0022685A"/>
    <w:rsid w:val="002E2E20"/>
    <w:rsid w:val="002F5A83"/>
    <w:rsid w:val="003072BE"/>
    <w:rsid w:val="00337C92"/>
    <w:rsid w:val="00363B94"/>
    <w:rsid w:val="003930BA"/>
    <w:rsid w:val="003B598C"/>
    <w:rsid w:val="004174FC"/>
    <w:rsid w:val="00460BD6"/>
    <w:rsid w:val="004859B3"/>
    <w:rsid w:val="004C083C"/>
    <w:rsid w:val="004E1650"/>
    <w:rsid w:val="0053367A"/>
    <w:rsid w:val="00544D48"/>
    <w:rsid w:val="005877C0"/>
    <w:rsid w:val="005A6B14"/>
    <w:rsid w:val="005D0B97"/>
    <w:rsid w:val="005F5D6C"/>
    <w:rsid w:val="006132CE"/>
    <w:rsid w:val="00613F2E"/>
    <w:rsid w:val="006A1A75"/>
    <w:rsid w:val="006A2CF5"/>
    <w:rsid w:val="006F1B6F"/>
    <w:rsid w:val="007476F0"/>
    <w:rsid w:val="00791637"/>
    <w:rsid w:val="0080122F"/>
    <w:rsid w:val="00822206"/>
    <w:rsid w:val="008368CB"/>
    <w:rsid w:val="0085501C"/>
    <w:rsid w:val="00893FBD"/>
    <w:rsid w:val="008B75A4"/>
    <w:rsid w:val="008D23C6"/>
    <w:rsid w:val="008D3030"/>
    <w:rsid w:val="008E3848"/>
    <w:rsid w:val="00924EE0"/>
    <w:rsid w:val="009612AA"/>
    <w:rsid w:val="009A67DB"/>
    <w:rsid w:val="009E39A7"/>
    <w:rsid w:val="00A13F5B"/>
    <w:rsid w:val="00A415B7"/>
    <w:rsid w:val="00AD5D0C"/>
    <w:rsid w:val="00B31D18"/>
    <w:rsid w:val="00B42885"/>
    <w:rsid w:val="00B50C20"/>
    <w:rsid w:val="00B6769C"/>
    <w:rsid w:val="00BB22CC"/>
    <w:rsid w:val="00BB41C8"/>
    <w:rsid w:val="00BD67E9"/>
    <w:rsid w:val="00BE5E72"/>
    <w:rsid w:val="00BF0A0F"/>
    <w:rsid w:val="00BF2E15"/>
    <w:rsid w:val="00BF7F55"/>
    <w:rsid w:val="00C05DD8"/>
    <w:rsid w:val="00C15447"/>
    <w:rsid w:val="00C35D01"/>
    <w:rsid w:val="00C85D0F"/>
    <w:rsid w:val="00CB5651"/>
    <w:rsid w:val="00CC20CB"/>
    <w:rsid w:val="00CC358B"/>
    <w:rsid w:val="00CF44DF"/>
    <w:rsid w:val="00D04E0B"/>
    <w:rsid w:val="00D62DA0"/>
    <w:rsid w:val="00D6543C"/>
    <w:rsid w:val="00DA6388"/>
    <w:rsid w:val="00DF594D"/>
    <w:rsid w:val="00E14FEE"/>
    <w:rsid w:val="00E71368"/>
    <w:rsid w:val="00E93816"/>
    <w:rsid w:val="00EA59ED"/>
    <w:rsid w:val="00ED6A3F"/>
    <w:rsid w:val="00EF48F2"/>
    <w:rsid w:val="00F04010"/>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40A94FE-F854-44C5-A0FC-B0DD8A830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A13F5B"/>
    <w:pPr>
      <w:tabs>
        <w:tab w:val="right" w:pos="454"/>
        <w:tab w:val="left" w:pos="737"/>
      </w:tabs>
      <w:ind w:left="737" w:hanging="737"/>
    </w:pPr>
    <w:rPr>
      <w:snapToGrid w:val="0"/>
      <w:sz w:val="18"/>
      <w:lang w:eastAsia="en-US"/>
    </w:rPr>
  </w:style>
  <w:style w:type="paragraph" w:customStyle="1" w:styleId="Lgendetitre">
    <w:name w:val="Légende titre"/>
    <w:basedOn w:val="Normal"/>
    <w:rsid w:val="00A13F5B"/>
    <w:pPr>
      <w:spacing w:before="240" w:after="240"/>
    </w:pPr>
    <w:rPr>
      <w:b/>
      <w:i/>
      <w:snapToGrid w:val="0"/>
      <w:lang w:eastAsia="en-US"/>
    </w:rPr>
  </w:style>
  <w:style w:type="paragraph" w:customStyle="1" w:styleId="Lgendestandard">
    <w:name w:val="Légende standard"/>
    <w:basedOn w:val="Normal"/>
    <w:rsid w:val="00A13F5B"/>
    <w:rPr>
      <w:sz w:val="18"/>
    </w:rPr>
  </w:style>
  <w:style w:type="paragraph" w:styleId="FootnoteText">
    <w:name w:val="footnote text"/>
    <w:basedOn w:val="Normal"/>
    <w:link w:val="FootnoteTextChar"/>
    <w:rsid w:val="00A13F5B"/>
    <w:rPr>
      <w:sz w:val="20"/>
    </w:rPr>
  </w:style>
  <w:style w:type="character" w:customStyle="1" w:styleId="FootnoteTextChar">
    <w:name w:val="Footnote Text Char"/>
    <w:basedOn w:val="DefaultParagraphFont"/>
    <w:link w:val="FootnoteText"/>
    <w:rsid w:val="00A13F5B"/>
    <w:rPr>
      <w:lang w:val="da-DK"/>
    </w:rPr>
  </w:style>
  <w:style w:type="character" w:styleId="FootnoteReference">
    <w:name w:val="footnote reference"/>
    <w:basedOn w:val="DefaultParagraphFont"/>
    <w:rsid w:val="00A13F5B"/>
    <w:rPr>
      <w:vertAlign w:val="superscript"/>
    </w:rPr>
  </w:style>
  <w:style w:type="paragraph" w:customStyle="1" w:styleId="P68B1DB1-Normal1">
    <w:name w:val="P68B1DB1-Normal1"/>
    <w:basedOn w:val="Normal"/>
    <w:rsid w:val="00157188"/>
    <w:pPr>
      <w:widowControl/>
      <w:jc w:val="both"/>
    </w:pPr>
    <w:rPr>
      <w:rFonts w:eastAsiaTheme="minorHAnsi"/>
      <w:b/>
    </w:rPr>
  </w:style>
  <w:style w:type="paragraph" w:customStyle="1" w:styleId="Normal24a">
    <w:name w:val="Normal24a"/>
    <w:basedOn w:val="Normal"/>
    <w:rsid w:val="003930BA"/>
    <w:pPr>
      <w:spacing w:after="480"/>
    </w:pPr>
  </w:style>
  <w:style w:type="paragraph" w:styleId="Footer">
    <w:name w:val="footer"/>
    <w:basedOn w:val="Normal"/>
    <w:link w:val="FooterChar"/>
    <w:semiHidden/>
    <w:rsid w:val="009A67DB"/>
    <w:pPr>
      <w:tabs>
        <w:tab w:val="center" w:pos="4513"/>
        <w:tab w:val="right" w:pos="9026"/>
      </w:tabs>
    </w:pPr>
  </w:style>
  <w:style w:type="character" w:customStyle="1" w:styleId="FooterChar">
    <w:name w:val="Footer Char"/>
    <w:basedOn w:val="DefaultParagraphFont"/>
    <w:link w:val="Footer"/>
    <w:semiHidden/>
    <w:rsid w:val="009A67D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BAF1DC-369B-44EA-8F87-64F9CF8BB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1279</Words>
  <Characters>8011</Characters>
  <Application>Microsoft Office Word</Application>
  <DocSecurity>0</DocSecurity>
  <Lines>163</Lines>
  <Paragraphs>67</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9223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ZINOCKER Marianne</dc:creator>
  <cp:lastModifiedBy>JOHANNSEN Lena</cp:lastModifiedBy>
  <cp:revision>2</cp:revision>
  <cp:lastPrinted>2002-12-11T09:25:00Z</cp:lastPrinted>
  <dcterms:created xsi:type="dcterms:W3CDTF">2024-01-17T06:30:00Z</dcterms:created>
  <dcterms:modified xsi:type="dcterms:W3CDTF">2024-01-17T06:30:00Z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1293168</vt:lpwstr>
  </property>
  <property fmtid="{D5CDD505-2E9C-101B-9397-08002B2CF9AE}" pid="4" name="&lt;Model&gt;">
    <vt:lpwstr>PR_NLE-AP_Agreement</vt:lpwstr>
  </property>
  <property fmtid="{D5CDD505-2E9C-101B-9397-08002B2CF9AE}" pid="5" name="&lt;ModelCod&gt;">
    <vt:lpwstr>\\eiciLUXpr1\pdocep$\DocEP\DOCS\General\PR\PR_Leg\NLE\PR_NLE-AP_Agreement.dotx(17/04/2020 18:28:04)</vt:lpwstr>
  </property>
  <property fmtid="{D5CDD505-2E9C-101B-9397-08002B2CF9AE}" pid="6" name="&lt;ModelTra&gt;">
    <vt:lpwstr>\\eiciLUXpr1\pdocep$\DocEP\TRANSFIL\DA\PR_NLE-AP_Agreement.DA(29/06/2022 09:21:01)</vt:lpwstr>
  </property>
  <property fmtid="{D5CDD505-2E9C-101B-9397-08002B2CF9AE}" pid="7" name="&lt;Type&gt;">
    <vt:lpwstr>PR</vt:lpwstr>
  </property>
  <property fmtid="{D5CDD505-2E9C-101B-9397-08002B2CF9AE}" pid="8" name="Created with">
    <vt:lpwstr>9.17.0 Build [20231101]</vt:lpwstr>
  </property>
  <property fmtid="{D5CDD505-2E9C-101B-9397-08002B2CF9AE}" pid="9" name="FooterPath">
    <vt:lpwstr>PR\1293168DA.docx</vt:lpwstr>
  </property>
  <property fmtid="{D5CDD505-2E9C-101B-9397-08002B2CF9AE}" pid="10" name="LastEdited with">
    <vt:lpwstr>9.17.1 Build [20240101]</vt:lpwstr>
  </property>
  <property fmtid="{D5CDD505-2E9C-101B-9397-08002B2CF9AE}" pid="11" name="PE number">
    <vt:lpwstr>757.013</vt:lpwstr>
  </property>
  <property fmtid="{D5CDD505-2E9C-101B-9397-08002B2CF9AE}" pid="12" name="SDLStudio">
    <vt:lpwstr/>
  </property>
  <property fmtid="{D5CDD505-2E9C-101B-9397-08002B2CF9AE}" pid="13" name="Bookout">
    <vt:lpwstr>OK - 2024/01/17 07:30</vt:lpwstr>
  </property>
</Properties>
</file>