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5197E" w:rsidRPr="00883D93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883D93" w:rsidRDefault="00883D93" w:rsidP="00C85D0F">
            <w:pPr>
              <w:pStyle w:val="EPName"/>
            </w:pPr>
            <w:bookmarkStart w:id="0" w:name="_GoBack"/>
            <w:bookmarkEnd w:id="0"/>
            <w:r w:rsidRPr="00883D93">
              <w:t>Parlamento Europeu</w:t>
            </w:r>
          </w:p>
          <w:p w:rsidR="00C05DD8" w:rsidRPr="00883D93" w:rsidRDefault="00883D93" w:rsidP="004D7B76">
            <w:pPr>
              <w:pStyle w:val="EPTerm"/>
            </w:pPr>
            <w:r w:rsidRPr="00883D9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883D93" w:rsidRDefault="00883D93" w:rsidP="00C85D0F">
            <w:pPr>
              <w:pStyle w:val="EPLogo"/>
            </w:pPr>
            <w:r w:rsidRPr="00883D93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883D93" w:rsidRDefault="009612AA" w:rsidP="009612AA">
      <w:pPr>
        <w:pStyle w:val="LineTop"/>
      </w:pPr>
    </w:p>
    <w:p w:rsidR="009612AA" w:rsidRPr="00883D93" w:rsidRDefault="00883D93" w:rsidP="009612AA">
      <w:pPr>
        <w:pStyle w:val="EPBody"/>
      </w:pPr>
      <w:r w:rsidRPr="00883D93">
        <w:rPr>
          <w:rStyle w:val="HideTWBExt"/>
        </w:rPr>
        <w:t>&lt;</w:t>
      </w:r>
      <w:r w:rsidRPr="00883D93">
        <w:rPr>
          <w:rStyle w:val="HideTWBExt"/>
          <w:i w:val="0"/>
        </w:rPr>
        <w:t>Commission</w:t>
      </w:r>
      <w:r w:rsidRPr="00883D93">
        <w:rPr>
          <w:rStyle w:val="HideTWBExt"/>
        </w:rPr>
        <w:t>&gt;</w:t>
      </w:r>
      <w:r w:rsidRPr="00883D93">
        <w:rPr>
          <w:rStyle w:val="HideTWBInt"/>
          <w:color w:val="auto"/>
        </w:rPr>
        <w:t>{PECH}</w:t>
      </w:r>
      <w:r w:rsidRPr="00883D93">
        <w:t>Comissão das Pescas</w:t>
      </w:r>
      <w:r w:rsidRPr="00883D93">
        <w:rPr>
          <w:rStyle w:val="HideTWBExt"/>
        </w:rPr>
        <w:t>&lt;/</w:t>
      </w:r>
      <w:r w:rsidRPr="00883D93">
        <w:rPr>
          <w:rStyle w:val="HideTWBExt"/>
          <w:i w:val="0"/>
        </w:rPr>
        <w:t>Commission</w:t>
      </w:r>
      <w:r w:rsidRPr="00883D93">
        <w:rPr>
          <w:rStyle w:val="HideTWBExt"/>
        </w:rPr>
        <w:t>&gt;</w:t>
      </w:r>
    </w:p>
    <w:p w:rsidR="009612AA" w:rsidRPr="00883D93" w:rsidRDefault="009612AA" w:rsidP="009612AA">
      <w:pPr>
        <w:pStyle w:val="LineBottom"/>
      </w:pPr>
    </w:p>
    <w:p w:rsidR="00363B94" w:rsidRPr="00883D93" w:rsidRDefault="00883D93">
      <w:pPr>
        <w:pStyle w:val="CoverReference"/>
      </w:pPr>
      <w:r w:rsidRPr="00883D93">
        <w:rPr>
          <w:rStyle w:val="HideTWBExt"/>
          <w:b w:val="0"/>
        </w:rPr>
        <w:t>&lt;RefProc&gt;</w:t>
      </w:r>
      <w:r w:rsidRPr="00883D93">
        <w:t>2022/0362</w:t>
      </w:r>
      <w:r w:rsidRPr="00883D93">
        <w:rPr>
          <w:rStyle w:val="HideTWBExt"/>
          <w:b w:val="0"/>
        </w:rPr>
        <w:t>&lt;/RefProc&gt;&lt;RefTypeProc&gt;</w:t>
      </w:r>
      <w:r w:rsidRPr="00883D93">
        <w:t>(NLE)</w:t>
      </w:r>
      <w:r w:rsidRPr="00883D93">
        <w:rPr>
          <w:rStyle w:val="HideTWBExt"/>
          <w:b w:val="0"/>
        </w:rPr>
        <w:t>&lt;/RefTypeProc&gt;</w:t>
      </w:r>
    </w:p>
    <w:p w:rsidR="00363B94" w:rsidRPr="00883D93" w:rsidRDefault="00883D93">
      <w:pPr>
        <w:pStyle w:val="CoverDate"/>
      </w:pPr>
      <w:r w:rsidRPr="00883D93">
        <w:rPr>
          <w:rStyle w:val="HideTWBExt"/>
        </w:rPr>
        <w:t>&lt;Date&gt;</w:t>
      </w:r>
      <w:r w:rsidRPr="00883D93">
        <w:rPr>
          <w:rStyle w:val="HideTWBInt"/>
          <w:color w:val="auto"/>
        </w:rPr>
        <w:t>{18/12/2023}</w:t>
      </w:r>
      <w:r w:rsidRPr="00883D93">
        <w:t>18.12.2023</w:t>
      </w:r>
      <w:r w:rsidRPr="00883D93">
        <w:rPr>
          <w:rStyle w:val="HideTWBExt"/>
        </w:rPr>
        <w:t>&lt;/Date&gt;</w:t>
      </w:r>
    </w:p>
    <w:p w:rsidR="00363B94" w:rsidRPr="00883D93" w:rsidRDefault="00883D93">
      <w:pPr>
        <w:pStyle w:val="CoverDocType"/>
      </w:pPr>
      <w:r w:rsidRPr="00883D93">
        <w:rPr>
          <w:rStyle w:val="HideTWBExt"/>
          <w:b w:val="0"/>
        </w:rPr>
        <w:t>&lt;RefProcLect&gt;</w:t>
      </w:r>
      <w:r w:rsidRPr="00883D93">
        <w:t>***</w:t>
      </w:r>
      <w:r w:rsidRPr="00883D93">
        <w:rPr>
          <w:rStyle w:val="HideTWBExt"/>
          <w:b w:val="0"/>
        </w:rPr>
        <w:t>&lt;/RefProcLect&gt;</w:t>
      </w:r>
    </w:p>
    <w:p w:rsidR="00363B94" w:rsidRPr="00883D93" w:rsidRDefault="00883D93">
      <w:pPr>
        <w:pStyle w:val="CoverDocType24a"/>
      </w:pPr>
      <w:r w:rsidRPr="00883D93">
        <w:rPr>
          <w:rStyle w:val="HideTWBExt"/>
          <w:b w:val="0"/>
        </w:rPr>
        <w:t>&lt;TitreType&gt;</w:t>
      </w:r>
      <w:r w:rsidRPr="00883D93">
        <w:t>PROJETO DE RECOMENDAÇÃO</w:t>
      </w:r>
      <w:r w:rsidRPr="00883D93">
        <w:rPr>
          <w:rStyle w:val="HideTWBExt"/>
          <w:b w:val="0"/>
        </w:rPr>
        <w:t>&lt;/TitreType&gt;</w:t>
      </w:r>
    </w:p>
    <w:p w:rsidR="00363B94" w:rsidRPr="00883D93" w:rsidRDefault="00883D93">
      <w:pPr>
        <w:pStyle w:val="CoverNormal"/>
      </w:pPr>
      <w:r w:rsidRPr="00883D93">
        <w:rPr>
          <w:rStyle w:val="HideTWBExt"/>
        </w:rPr>
        <w:t>&lt;Titre&gt;</w:t>
      </w:r>
      <w:r w:rsidRPr="00883D93">
        <w:t>sobre o projeto de decisão do Conselho relativa à celebração de um acordo entre a União Europeia e a República das Seicheles sobre o acesso dos navios de pesca seichelenses às águas de Maiote</w:t>
      </w:r>
      <w:r w:rsidRPr="00883D93">
        <w:rPr>
          <w:rStyle w:val="HideTWBExt"/>
        </w:rPr>
        <w:t>&lt;/Titre&gt;</w:t>
      </w:r>
    </w:p>
    <w:p w:rsidR="00363B94" w:rsidRPr="00883D93" w:rsidRDefault="00883D93">
      <w:pPr>
        <w:pStyle w:val="CoverNormal24a"/>
      </w:pPr>
      <w:r w:rsidRPr="00883D93">
        <w:rPr>
          <w:rStyle w:val="HideTWBExt"/>
        </w:rPr>
        <w:t>&lt;DocRef&gt;</w:t>
      </w:r>
      <w:r w:rsidRPr="00883D93">
        <w:t>(15048/2022 – C9</w:t>
      </w:r>
      <w:r w:rsidRPr="00883D93">
        <w:noBreakHyphen/>
        <w:t>0051/2023 –</w:t>
      </w:r>
      <w:r w:rsidRPr="00883D93">
        <w:t xml:space="preserve"> 2022/0362(NLE))</w:t>
      </w:r>
      <w:r w:rsidRPr="00883D93">
        <w:rPr>
          <w:rStyle w:val="HideTWBExt"/>
        </w:rPr>
        <w:t>&lt;/DocRef&gt;</w:t>
      </w:r>
    </w:p>
    <w:p w:rsidR="00363B94" w:rsidRPr="00883D93" w:rsidRDefault="00883D93">
      <w:pPr>
        <w:pStyle w:val="CoverNormal24a"/>
      </w:pPr>
      <w:r w:rsidRPr="00883D93">
        <w:rPr>
          <w:rStyle w:val="HideTWBExt"/>
        </w:rPr>
        <w:t>&lt;Commission&gt;</w:t>
      </w:r>
      <w:r w:rsidRPr="00883D93">
        <w:rPr>
          <w:rStyle w:val="HideTWBInt"/>
          <w:color w:val="auto"/>
        </w:rPr>
        <w:t>{PECH}</w:t>
      </w:r>
      <w:r w:rsidRPr="00883D93">
        <w:t>Comissão das Pescas</w:t>
      </w:r>
      <w:r w:rsidRPr="00883D93">
        <w:rPr>
          <w:rStyle w:val="HideTWBExt"/>
        </w:rPr>
        <w:t>&lt;/Commission&gt;</w:t>
      </w:r>
    </w:p>
    <w:p w:rsidR="00363B94" w:rsidRPr="00883D93" w:rsidRDefault="00883D93">
      <w:pPr>
        <w:pStyle w:val="CoverNormal24a"/>
      </w:pPr>
      <w:r w:rsidRPr="00883D93">
        <w:t xml:space="preserve">Relator: </w:t>
      </w:r>
      <w:r w:rsidRPr="00883D93">
        <w:rPr>
          <w:rStyle w:val="HideTWBExt"/>
        </w:rPr>
        <w:t>&lt;Depute&gt;</w:t>
      </w:r>
      <w:r w:rsidRPr="00883D93">
        <w:t>Gabriel Mato</w:t>
      </w:r>
      <w:r w:rsidRPr="00883D93">
        <w:rPr>
          <w:rStyle w:val="HideTWBExt"/>
        </w:rPr>
        <w:t>&lt;/Depute&gt;</w:t>
      </w:r>
    </w:p>
    <w:p w:rsidR="00B42885" w:rsidRPr="00883D93" w:rsidRDefault="00B42885" w:rsidP="00B42885">
      <w:pPr>
        <w:pStyle w:val="CoverNormal"/>
      </w:pPr>
    </w:p>
    <w:p w:rsidR="00903C8F" w:rsidRPr="00883D93" w:rsidRDefault="00883D93" w:rsidP="00016E55">
      <w:r w:rsidRPr="00883D93">
        <w:br w:type="page"/>
      </w:r>
      <w:fldSimple w:instr=" TITLE  \* MERGEFORMAT ">
        <w:r w:rsidRPr="00883D93">
          <w:t>PR_NLE-AP_Agreement</w:t>
        </w:r>
      </w:fldSimple>
    </w:p>
    <w:p w:rsidR="00903C8F" w:rsidRPr="00883D93" w:rsidRDefault="00903C8F" w:rsidP="00016E55"/>
    <w:p w:rsidR="00903C8F" w:rsidRPr="00883D93" w:rsidRDefault="00903C8F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05197E" w:rsidRPr="00883D93">
        <w:tc>
          <w:tcPr>
            <w:tcW w:w="5811" w:type="dxa"/>
          </w:tcPr>
          <w:p w:rsidR="00903C8F" w:rsidRPr="00883D93" w:rsidRDefault="00883D93" w:rsidP="00016E55">
            <w:pPr>
              <w:pStyle w:val="Lgendetitre"/>
            </w:pPr>
            <w:r w:rsidRPr="00883D93">
              <w:t>Legenda dos símbolos utilizados</w:t>
            </w:r>
          </w:p>
        </w:tc>
      </w:tr>
      <w:tr w:rsidR="0005197E" w:rsidRPr="00883D93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903C8F" w:rsidRPr="00883D93" w:rsidRDefault="00883D93" w:rsidP="00717061">
            <w:pPr>
              <w:pStyle w:val="Lgendesigne"/>
            </w:pPr>
            <w:r w:rsidRPr="00883D93">
              <w:tab/>
              <w:t>*</w:t>
            </w:r>
            <w:r w:rsidRPr="00883D93">
              <w:tab/>
              <w:t>Processo de consulta</w:t>
            </w:r>
          </w:p>
          <w:p w:rsidR="00903C8F" w:rsidRPr="00883D93" w:rsidRDefault="00883D93" w:rsidP="00717061">
            <w:pPr>
              <w:pStyle w:val="Lgendesigne"/>
            </w:pPr>
            <w:r w:rsidRPr="00883D93">
              <w:tab/>
              <w:t>***</w:t>
            </w:r>
            <w:r w:rsidRPr="00883D93">
              <w:tab/>
              <w:t>Processo de aprovação</w:t>
            </w:r>
          </w:p>
          <w:p w:rsidR="00903C8F" w:rsidRPr="00883D93" w:rsidRDefault="00883D93" w:rsidP="00717061">
            <w:pPr>
              <w:pStyle w:val="Lgendesigne"/>
            </w:pPr>
            <w:r w:rsidRPr="00883D93">
              <w:tab/>
              <w:t>***I</w:t>
            </w:r>
            <w:r w:rsidRPr="00883D93">
              <w:tab/>
            </w:r>
            <w:r w:rsidRPr="00883D93">
              <w:t>Processo legislativo ordinário (primeira leitura)</w:t>
            </w:r>
          </w:p>
          <w:p w:rsidR="00903C8F" w:rsidRPr="00883D93" w:rsidRDefault="00883D93" w:rsidP="00717061">
            <w:pPr>
              <w:pStyle w:val="Lgendesigne"/>
            </w:pPr>
            <w:r w:rsidRPr="00883D93">
              <w:tab/>
              <w:t>***II</w:t>
            </w:r>
            <w:r w:rsidRPr="00883D93">
              <w:tab/>
              <w:t>Processo legislativo ordinário (segunda leitura)</w:t>
            </w:r>
          </w:p>
          <w:p w:rsidR="00903C8F" w:rsidRPr="00883D93" w:rsidRDefault="00883D93" w:rsidP="00717061">
            <w:pPr>
              <w:pStyle w:val="Lgendesigne"/>
            </w:pPr>
            <w:r w:rsidRPr="00883D93">
              <w:tab/>
              <w:t>***III</w:t>
            </w:r>
            <w:r w:rsidRPr="00883D93">
              <w:tab/>
              <w:t>Processo legislativo ordinário (terceira leitura)</w:t>
            </w:r>
          </w:p>
          <w:p w:rsidR="00903C8F" w:rsidRPr="00883D93" w:rsidRDefault="00903C8F" w:rsidP="00717061">
            <w:pPr>
              <w:pStyle w:val="Lgendestandard"/>
            </w:pPr>
          </w:p>
          <w:p w:rsidR="00903C8F" w:rsidRPr="00883D93" w:rsidRDefault="00883D93" w:rsidP="00717061">
            <w:pPr>
              <w:pStyle w:val="Lgendestandard"/>
            </w:pPr>
            <w:r w:rsidRPr="00883D93">
              <w:t>(O processo indicado tem por fundamento a base jurídica proposta no projeto de ato.)</w:t>
            </w:r>
          </w:p>
          <w:p w:rsidR="00903C8F" w:rsidRPr="00883D93" w:rsidRDefault="00903C8F" w:rsidP="00B837B7">
            <w:pPr>
              <w:pStyle w:val="Lgendestandard"/>
            </w:pPr>
          </w:p>
        </w:tc>
      </w:tr>
    </w:tbl>
    <w:p w:rsidR="00903C8F" w:rsidRPr="00883D93" w:rsidRDefault="00903C8F" w:rsidP="00016E55"/>
    <w:p w:rsidR="00363B94" w:rsidRPr="00883D93" w:rsidRDefault="00363B94" w:rsidP="00613F2E">
      <w:pPr>
        <w:widowControl/>
        <w:tabs>
          <w:tab w:val="center" w:pos="4677"/>
        </w:tabs>
      </w:pPr>
    </w:p>
    <w:p w:rsidR="00363B94" w:rsidRPr="00883D93" w:rsidRDefault="00883D93">
      <w:pPr>
        <w:pStyle w:val="TOCHeading"/>
      </w:pPr>
      <w:r w:rsidRPr="00883D93">
        <w:br w:type="page"/>
      </w:r>
      <w:r w:rsidRPr="00883D93">
        <w:t>ÍNDICE</w:t>
      </w:r>
    </w:p>
    <w:p w:rsidR="00363B94" w:rsidRPr="00883D93" w:rsidRDefault="00883D93">
      <w:pPr>
        <w:pStyle w:val="TOCPage"/>
      </w:pPr>
      <w:r w:rsidRPr="00883D93">
        <w:t>Página</w:t>
      </w:r>
    </w:p>
    <w:p w:rsidR="00883D93" w:rsidRPr="00883D93" w:rsidRDefault="00883D9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83D93">
        <w:fldChar w:fldCharType="begin"/>
      </w:r>
      <w:r w:rsidRPr="00883D93">
        <w:instrText xml:space="preserve"> TOC \t "PageHeading</w:instrText>
      </w:r>
      <w:r w:rsidR="007046F9" w:rsidRPr="00883D93">
        <w:instrText>;</w:instrText>
      </w:r>
      <w:r w:rsidRPr="00883D93">
        <w:instrText xml:space="preserve">1" </w:instrText>
      </w:r>
      <w:r w:rsidRPr="00883D93">
        <w:fldChar w:fldCharType="separate"/>
      </w:r>
      <w:r w:rsidRPr="00883D93">
        <w:rPr>
          <w:noProof/>
        </w:rPr>
        <w:t>PROJETO DE RESOLUÇÃO LEGISLATIVA DO PARLAMENTO EUROPEU</w:t>
      </w:r>
      <w:r w:rsidRPr="00883D93">
        <w:rPr>
          <w:noProof/>
        </w:rPr>
        <w:tab/>
      </w:r>
      <w:r w:rsidRPr="00883D93">
        <w:rPr>
          <w:noProof/>
        </w:rPr>
        <w:fldChar w:fldCharType="begin"/>
      </w:r>
      <w:r w:rsidRPr="00883D93">
        <w:rPr>
          <w:noProof/>
        </w:rPr>
        <w:instrText xml:space="preserve"> PAGEREF _Toc156405125 \h </w:instrText>
      </w:r>
      <w:r w:rsidRPr="00883D93">
        <w:rPr>
          <w:noProof/>
        </w:rPr>
      </w:r>
      <w:r w:rsidRPr="00883D93">
        <w:rPr>
          <w:noProof/>
        </w:rPr>
        <w:fldChar w:fldCharType="separate"/>
      </w:r>
      <w:r w:rsidRPr="00883D93">
        <w:rPr>
          <w:noProof/>
        </w:rPr>
        <w:t>5</w:t>
      </w:r>
      <w:r w:rsidRPr="00883D93">
        <w:rPr>
          <w:noProof/>
        </w:rPr>
        <w:fldChar w:fldCharType="end"/>
      </w:r>
    </w:p>
    <w:p w:rsidR="00883D93" w:rsidRPr="00883D93" w:rsidRDefault="00883D9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83D93">
        <w:rPr>
          <w:noProof/>
        </w:rPr>
        <w:t>EXPOSIÇÃO DE MOTIVOS</w:t>
      </w:r>
      <w:r w:rsidRPr="00883D93">
        <w:rPr>
          <w:noProof/>
        </w:rPr>
        <w:tab/>
      </w:r>
      <w:r w:rsidRPr="00883D93">
        <w:rPr>
          <w:noProof/>
        </w:rPr>
        <w:fldChar w:fldCharType="begin"/>
      </w:r>
      <w:r w:rsidRPr="00883D93">
        <w:rPr>
          <w:noProof/>
        </w:rPr>
        <w:instrText xml:space="preserve"> PAGEREF _Toc156405126 \h </w:instrText>
      </w:r>
      <w:r w:rsidRPr="00883D93">
        <w:rPr>
          <w:noProof/>
        </w:rPr>
      </w:r>
      <w:r w:rsidRPr="00883D93">
        <w:rPr>
          <w:noProof/>
        </w:rPr>
        <w:fldChar w:fldCharType="separate"/>
      </w:r>
      <w:r w:rsidRPr="00883D93">
        <w:rPr>
          <w:noProof/>
        </w:rPr>
        <w:t>6</w:t>
      </w:r>
      <w:r w:rsidRPr="00883D93">
        <w:rPr>
          <w:noProof/>
        </w:rPr>
        <w:fldChar w:fldCharType="end"/>
      </w:r>
    </w:p>
    <w:p w:rsidR="00883D93" w:rsidRPr="00883D93" w:rsidRDefault="00883D9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83D93">
        <w:rPr>
          <w:noProof/>
        </w:rPr>
        <w:t>ANEXO: ENTIDADES OU PESSOAS DE QUEM O RELATOR RECEBEU CONTRIBUTOS</w:t>
      </w:r>
      <w:r w:rsidRPr="00883D93">
        <w:rPr>
          <w:noProof/>
        </w:rPr>
        <w:tab/>
      </w:r>
      <w:r w:rsidRPr="00883D93">
        <w:rPr>
          <w:noProof/>
        </w:rPr>
        <w:fldChar w:fldCharType="begin"/>
      </w:r>
      <w:r w:rsidRPr="00883D93">
        <w:rPr>
          <w:noProof/>
        </w:rPr>
        <w:instrText xml:space="preserve"> PAGEREF _Toc156405127 \h </w:instrText>
      </w:r>
      <w:r w:rsidRPr="00883D93">
        <w:rPr>
          <w:noProof/>
        </w:rPr>
      </w:r>
      <w:r w:rsidRPr="00883D93">
        <w:rPr>
          <w:noProof/>
        </w:rPr>
        <w:fldChar w:fldCharType="separate"/>
      </w:r>
      <w:r w:rsidRPr="00883D93">
        <w:rPr>
          <w:noProof/>
        </w:rPr>
        <w:t>8</w:t>
      </w:r>
      <w:r w:rsidRPr="00883D93">
        <w:rPr>
          <w:noProof/>
        </w:rPr>
        <w:fldChar w:fldCharType="end"/>
      </w:r>
    </w:p>
    <w:p w:rsidR="004E1650" w:rsidRPr="00883D93" w:rsidRDefault="00883D93" w:rsidP="00F04010">
      <w:r w:rsidRPr="00883D93">
        <w:fldChar w:fldCharType="end"/>
      </w:r>
    </w:p>
    <w:p w:rsidR="00363B94" w:rsidRPr="00883D93" w:rsidRDefault="00883D93" w:rsidP="0006167F">
      <w:pPr>
        <w:pStyle w:val="PageHeading"/>
      </w:pPr>
      <w:r w:rsidRPr="00883D93">
        <w:br w:type="page"/>
      </w:r>
      <w:r w:rsidRPr="00883D93">
        <w:br w:type="page"/>
      </w:r>
      <w:bookmarkStart w:id="1" w:name="_Toc156405125"/>
      <w:r w:rsidRPr="00883D93">
        <w:t>PROJETO DE RESOLUÇÃO LEGISLATIVA DO PAR</w:t>
      </w:r>
      <w:r w:rsidRPr="00883D93">
        <w:t>LAMENTO EUROPEU</w:t>
      </w:r>
      <w:bookmarkEnd w:id="1"/>
    </w:p>
    <w:p w:rsidR="00363B94" w:rsidRPr="00883D93" w:rsidRDefault="00883D93">
      <w:pPr>
        <w:pStyle w:val="NormalBold"/>
      </w:pPr>
      <w:r w:rsidRPr="00883D93">
        <w:t>sobre o projeto de decisão do Conselho relativa à celebração de um acordo entre a União Europeia e a República das Seicheles sobre o acesso dos navios de pesca seichelenses às águas de Maiote</w:t>
      </w:r>
    </w:p>
    <w:p w:rsidR="00363B94" w:rsidRPr="00883D93" w:rsidRDefault="00883D93">
      <w:pPr>
        <w:pStyle w:val="NormalBold12a"/>
      </w:pPr>
      <w:r w:rsidRPr="00883D93">
        <w:t>(15048/2022 – C9</w:t>
      </w:r>
      <w:r w:rsidRPr="00883D93">
        <w:noBreakHyphen/>
        <w:t>0051/2023 – 2022/0362(NLE))</w:t>
      </w:r>
    </w:p>
    <w:p w:rsidR="00363B94" w:rsidRPr="00883D93" w:rsidRDefault="00883D93" w:rsidP="00893FBD">
      <w:pPr>
        <w:pStyle w:val="NormalBold"/>
      </w:pPr>
      <w:r w:rsidRPr="00883D93">
        <w:t>(Ap</w:t>
      </w:r>
      <w:r w:rsidRPr="00883D93">
        <w:t>rovação)</w:t>
      </w:r>
    </w:p>
    <w:p w:rsidR="00363B94" w:rsidRPr="00883D93" w:rsidRDefault="00883D93">
      <w:pPr>
        <w:pStyle w:val="EPComma"/>
      </w:pPr>
      <w:r w:rsidRPr="00883D93">
        <w:t>O Parlamento Europeu,</w:t>
      </w:r>
    </w:p>
    <w:p w:rsidR="00BF7F55" w:rsidRPr="00883D93" w:rsidRDefault="00883D93" w:rsidP="00BF7F55">
      <w:pPr>
        <w:pStyle w:val="NormalHanging12a"/>
      </w:pPr>
      <w:r w:rsidRPr="00883D93">
        <w:t>–</w:t>
      </w:r>
      <w:r w:rsidRPr="00883D93">
        <w:tab/>
        <w:t>Tendo em conta a proposta de decisão do Conselho (15048/2022),</w:t>
      </w:r>
    </w:p>
    <w:p w:rsidR="00363B94" w:rsidRPr="00883D93" w:rsidRDefault="00883D93">
      <w:pPr>
        <w:pStyle w:val="NormalHanging12a"/>
      </w:pPr>
      <w:r w:rsidRPr="00883D93">
        <w:t>–</w:t>
      </w:r>
      <w:r w:rsidRPr="00883D93">
        <w:tab/>
        <w:t>Tendo em conta o Acordo entre a União Europeia e a República das Seicheles sobre o acesso dos navios de pesca seichelenses às águas de Maiote (15088/2022),</w:t>
      </w:r>
    </w:p>
    <w:p w:rsidR="008368CB" w:rsidRPr="00883D93" w:rsidRDefault="00883D93" w:rsidP="003026FC">
      <w:pPr>
        <w:pStyle w:val="NormalHanging12a"/>
      </w:pPr>
      <w:r w:rsidRPr="00883D93">
        <w:t>–</w:t>
      </w:r>
      <w:r w:rsidRPr="00883D93">
        <w:tab/>
      </w:r>
      <w:r w:rsidRPr="00883D93">
        <w:t>Tendo em conta o pedido de aprovação que o Conselho apresentou, nos termos do artigo 43.º, do artigo 218.º, n.º 6, segundo parágrafo, alíneas a) e v), e do artigo 218.º, n.º 7, do Tratado sobre o Funcionamento da União Europeia (C9-0051/2023),</w:t>
      </w:r>
    </w:p>
    <w:p w:rsidR="00363B94" w:rsidRPr="00883D93" w:rsidRDefault="00883D93">
      <w:pPr>
        <w:pStyle w:val="NormalHanging12a"/>
      </w:pPr>
      <w:r w:rsidRPr="00883D93">
        <w:t>–</w:t>
      </w:r>
      <w:r w:rsidRPr="00883D93">
        <w:tab/>
        <w:t>Tendo em c</w:t>
      </w:r>
      <w:r w:rsidRPr="00883D93">
        <w:t>onta o artigo 105.º, n.º 1, e o artigo 114.º, n.º 7, do seu Regimento,</w:t>
      </w:r>
    </w:p>
    <w:p w:rsidR="00363B94" w:rsidRPr="00883D93" w:rsidRDefault="00883D93">
      <w:pPr>
        <w:pStyle w:val="NormalHanging12a"/>
      </w:pPr>
      <w:r w:rsidRPr="00883D93">
        <w:t>–</w:t>
      </w:r>
      <w:r w:rsidRPr="00883D93">
        <w:tab/>
        <w:t>Tendo em conta a recomendação da Comissão das Pescas (A9</w:t>
      </w:r>
      <w:r w:rsidRPr="00883D93">
        <w:noBreakHyphen/>
        <w:t>0000/2023),</w:t>
      </w:r>
    </w:p>
    <w:p w:rsidR="00363B94" w:rsidRPr="00883D93" w:rsidRDefault="00883D93">
      <w:pPr>
        <w:pStyle w:val="NormalHanging12a"/>
      </w:pPr>
      <w:r w:rsidRPr="00883D93">
        <w:t>1.</w:t>
      </w:r>
      <w:r w:rsidRPr="00883D93">
        <w:tab/>
        <w:t>Aprova a celebração do acordo;</w:t>
      </w:r>
    </w:p>
    <w:p w:rsidR="001D02E3" w:rsidRPr="00883D93" w:rsidRDefault="00883D93">
      <w:pPr>
        <w:pStyle w:val="NormalHanging12a"/>
      </w:pPr>
      <w:r w:rsidRPr="00883D93">
        <w:t>2.</w:t>
      </w:r>
      <w:r w:rsidRPr="00883D93">
        <w:tab/>
        <w:t>Encarrega a sua Presidente de transmitir a posição do Parlamento ao Conselho,</w:t>
      </w:r>
      <w:r w:rsidRPr="00883D93">
        <w:t xml:space="preserve"> à Comissão e aos governos e parlamentos dos Estados Membros e da República.</w:t>
      </w:r>
    </w:p>
    <w:p w:rsidR="00903C8F" w:rsidRPr="00883D93" w:rsidRDefault="00883D93">
      <w:pPr>
        <w:widowControl/>
      </w:pPr>
      <w:r w:rsidRPr="00883D93">
        <w:br w:type="page"/>
      </w:r>
    </w:p>
    <w:p w:rsidR="00903C8F" w:rsidRPr="00883D93" w:rsidRDefault="00883D93" w:rsidP="00F31608">
      <w:pPr>
        <w:pStyle w:val="PageHeading"/>
      </w:pPr>
      <w:bookmarkStart w:id="2" w:name="_Toc19262960"/>
      <w:bookmarkStart w:id="3" w:name="_Toc156405126"/>
      <w:r w:rsidRPr="00883D93">
        <w:t>EXPOSIÇÃO DE MOTIVOS</w:t>
      </w:r>
      <w:bookmarkEnd w:id="2"/>
      <w:bookmarkEnd w:id="3"/>
    </w:p>
    <w:p w:rsidR="009E42A1" w:rsidRPr="00883D93" w:rsidRDefault="00883D93" w:rsidP="009E42A1">
      <w:pPr>
        <w:spacing w:after="240"/>
        <w:jc w:val="both"/>
        <w:rPr>
          <w:b/>
        </w:rPr>
      </w:pPr>
      <w:r w:rsidRPr="00883D93">
        <w:rPr>
          <w:b/>
        </w:rPr>
        <w:t>Antecedentes</w:t>
      </w:r>
    </w:p>
    <w:p w:rsidR="009E42A1" w:rsidRPr="00883D93" w:rsidRDefault="00883D93" w:rsidP="009E42A1">
      <w:pPr>
        <w:spacing w:after="240"/>
        <w:jc w:val="both"/>
      </w:pPr>
      <w:r w:rsidRPr="00883D93">
        <w:t>Maiote – um arquipélago do Oceano Índico e departamento ultramarino francês – goza, a nível europeu, do estatuto de região ultraperiférica desd</w:t>
      </w:r>
      <w:r w:rsidRPr="00883D93">
        <w:t>e 2014. Uma vez que os Tratados conferem à União Europeia competência exclusiva em matéria de conservação dos recursos biológicos marinhos no âmbito da política comum das pescas (PCP), o acesso dos navios de pesca estrangeiros às águas que circundam Maiote</w:t>
      </w:r>
      <w:r w:rsidRPr="00883D93">
        <w:t xml:space="preserve"> deve ser regido pela União Europeia. </w:t>
      </w:r>
    </w:p>
    <w:p w:rsidR="009E42A1" w:rsidRPr="00883D93" w:rsidRDefault="00883D93" w:rsidP="009E42A1">
      <w:pPr>
        <w:spacing w:after="240"/>
        <w:jc w:val="both"/>
      </w:pPr>
      <w:r w:rsidRPr="00883D93">
        <w:t>Em 20 de maio de 2014 foi celebrado o primeiro acordo entre a União Europeia e a República das Seicheles sobre o acesso dos navios de pesca seichelenses às águas de Maiote. Após a sua entrada em vigor na mesma data (i</w:t>
      </w:r>
      <w:r w:rsidRPr="00883D93">
        <w:t xml:space="preserve">nicialmente a título provisório) por um período de 6 anos, este acordo foi tacitamente renovado em 20 de maio de 2020. </w:t>
      </w:r>
    </w:p>
    <w:p w:rsidR="009E42A1" w:rsidRPr="00883D93" w:rsidRDefault="00883D93" w:rsidP="009E42A1">
      <w:pPr>
        <w:spacing w:after="240"/>
        <w:jc w:val="both"/>
      </w:pPr>
      <w:r w:rsidRPr="00883D93">
        <w:t>Com base nas diretrizes de negociação pertinentes, a Comissão negociou com o Governo das Seicheles um novo acordo sobre o acesso dos nav</w:t>
      </w:r>
      <w:r w:rsidRPr="00883D93">
        <w:t>ios de pesca seichelenses. Na sequência dessas negociações, o novo «Acordo de Pesca» foi rubricado em 10 de junho de 2022. Este novo Acordo de Pesca é válido por um período de 6 anos a contar de 10 de março de 2023, data de assinatura por ambas as Partes –</w:t>
      </w:r>
      <w:r w:rsidRPr="00883D93">
        <w:t xml:space="preserve"> assinatura esta que deu igualmente início à aplicação provisória do acordo, na pendência da sua celebração.</w:t>
      </w:r>
    </w:p>
    <w:p w:rsidR="009E42A1" w:rsidRPr="00883D93" w:rsidRDefault="00883D93" w:rsidP="009E42A1">
      <w:pPr>
        <w:spacing w:after="240"/>
        <w:jc w:val="both"/>
      </w:pPr>
      <w:r w:rsidRPr="00883D93">
        <w:t>Para além deste novo Acordo de Pesca sobre o acesso dos navios de pesca seichelenses às águas de Maiote, a União Europeia e as Seicheles também est</w:t>
      </w:r>
      <w:r w:rsidRPr="00883D93">
        <w:t>ão ligadas desde 2020 através de um Acordo de Parceria no domínio da Pesca Sustentável (APPS) e do seu Protocolo de Aplicação, destinado a reger o acesso e os direitos de pesca dos navios de pesca da União nas águas das Seicheles, em troca de apoio finance</w:t>
      </w:r>
      <w:r w:rsidRPr="00883D93">
        <w:t>iro e técnico da União às Seicheles (v. procedimento 2020/0002 (NLE)). Neste APPS, a União Europeia e as Seicheles chegaram também a acordo sobre um conjunto de mecanismos e normas destinados a promover a pesca sustentável, nomeadamente através da melhoria</w:t>
      </w:r>
      <w:r w:rsidRPr="00883D93">
        <w:t xml:space="preserve"> do controlo das pescas e da recolha de dados, do reforço da luta contra a pesca ilegal, não declarada e não regulamentada (INN) e de uma cooperação mais estreita no âmbito das organizações regionais de gestão das pescas a que pertencem a UE e as Seicheles</w:t>
      </w:r>
      <w:r w:rsidRPr="00883D93">
        <w:t xml:space="preserve">. </w:t>
      </w:r>
    </w:p>
    <w:p w:rsidR="009E42A1" w:rsidRPr="00883D93" w:rsidRDefault="00883D93" w:rsidP="009E42A1">
      <w:pPr>
        <w:spacing w:after="240"/>
        <w:jc w:val="both"/>
        <w:rPr>
          <w:b/>
        </w:rPr>
      </w:pPr>
      <w:r w:rsidRPr="00883D93">
        <w:rPr>
          <w:b/>
        </w:rPr>
        <w:t>O novo Acordo de Pesca</w:t>
      </w:r>
    </w:p>
    <w:p w:rsidR="009E42A1" w:rsidRPr="00883D93" w:rsidRDefault="00883D93" w:rsidP="009E42A1">
      <w:pPr>
        <w:spacing w:after="240"/>
        <w:jc w:val="both"/>
      </w:pPr>
      <w:r w:rsidRPr="00883D93">
        <w:t>O objetivo deste novo acordo é permitir o reforço da parceria estratégica com as Seicheles e contribuir para uma pesca responsável nas águas da União e para o desenvolvimento da política das pescas em Maiote. As condições técnicas</w:t>
      </w:r>
      <w:r w:rsidRPr="00883D93">
        <w:t xml:space="preserve"> e financeiras do Acordo de Pesca estão alinhadas com as do APPS com as Seicheles e do seu protocolo de aplicação, assinados em 2020.</w:t>
      </w:r>
    </w:p>
    <w:p w:rsidR="009E42A1" w:rsidRPr="00883D93" w:rsidRDefault="00883D93" w:rsidP="009E42A1">
      <w:pPr>
        <w:spacing w:after="240"/>
        <w:jc w:val="both"/>
      </w:pPr>
      <w:r w:rsidRPr="00883D93">
        <w:t>O Acordo de Pesca estabelece os princípios, as regras e os procedimentos que regem a cooperação no setor das pescas com vi</w:t>
      </w:r>
      <w:r w:rsidRPr="00883D93">
        <w:t xml:space="preserve">sta a assegurar uma pesca responsável, bem como a conservação e a exploração sustentável dos recursos haliêuticos nas águas em torno de Maiote, com base no princípio da não discriminação entre as diferentes frotas que pescam nessas águas. </w:t>
      </w:r>
    </w:p>
    <w:p w:rsidR="009E42A1" w:rsidRPr="00883D93" w:rsidRDefault="00883D93" w:rsidP="009E42A1">
      <w:pPr>
        <w:spacing w:after="240"/>
        <w:jc w:val="both"/>
      </w:pPr>
      <w:r w:rsidRPr="00883D93">
        <w:t xml:space="preserve">As condições de </w:t>
      </w:r>
      <w:r w:rsidRPr="00883D93">
        <w:t>acesso dos navios de pesca seichelenses a estas águas da União são especificadas no anexo do acordo (possibilidades de pesca, autorizações de pesca, acompanhamento e observadores, etc.). Nos termos do acordo, oito navios que arvoram o pavilhão de Chipre (c</w:t>
      </w:r>
      <w:r w:rsidRPr="00883D93">
        <w:t xml:space="preserve">ercadores com redes de cerco com retenida) poderão pescar nas águas de Maiote, a mais de 24 milhas marítimas da costa. As possibilidades de pesca baseiam-se nos melhores pareceres científicos disponíveis (situando-se, se for caso disso, dentro dos limites </w:t>
      </w:r>
      <w:r w:rsidRPr="00883D93">
        <w:t>do excedente disponível) e estão em conformidade com as recomendações da organização regional de gestão das pescas responsável, nomeadamente a Comissão do Atum do Oceano Índico (IOTC). As taxas de captura serão de 135 EUR por tonelada de atum capturado (co</w:t>
      </w:r>
      <w:r w:rsidRPr="00883D93">
        <w:t xml:space="preserve">m um adiantamento de 13 500 EUR por navio para as primeiras 100 toneladas).  </w:t>
      </w:r>
    </w:p>
    <w:p w:rsidR="009E42A1" w:rsidRPr="00883D93" w:rsidRDefault="00883D93" w:rsidP="009E42A1">
      <w:pPr>
        <w:spacing w:after="240"/>
        <w:jc w:val="both"/>
      </w:pPr>
      <w:r w:rsidRPr="00883D93">
        <w:t>O acordo prevê igualmente as modalidades de acompanhamento e controlo da pesca, bem como de prevenção da pesca ilegal, não declarada e não regulamentada.</w:t>
      </w:r>
    </w:p>
    <w:p w:rsidR="009E42A1" w:rsidRPr="00883D93" w:rsidRDefault="00883D93" w:rsidP="009E42A1">
      <w:pPr>
        <w:spacing w:after="240"/>
        <w:jc w:val="both"/>
        <w:rPr>
          <w:b/>
        </w:rPr>
      </w:pPr>
      <w:r w:rsidRPr="00883D93">
        <w:rPr>
          <w:b/>
        </w:rPr>
        <w:t>Posição do relator</w:t>
      </w:r>
    </w:p>
    <w:p w:rsidR="009E42A1" w:rsidRPr="00883D93" w:rsidRDefault="00883D93" w:rsidP="009E42A1">
      <w:pPr>
        <w:spacing w:after="240"/>
        <w:jc w:val="both"/>
      </w:pPr>
      <w:r w:rsidRPr="00883D93">
        <w:t>O ref</w:t>
      </w:r>
      <w:r w:rsidRPr="00883D93">
        <w:t>erido acordo de pesca é estratégico e assegura a coerência e a reciprocidade entre a União Europeia e as Seicheles para a exploração sustentável dos recursos marinhos no Oceano Índico. Através do acordo, as partes pretendem, nomeadamente, reforçar o contro</w:t>
      </w:r>
      <w:r w:rsidRPr="00883D93">
        <w:t>lo das atividades de pesca e garantir que a pesca do atum e das espécies afins seja realizada de forma sustentável, assegurando simultaneamente a proteção de outras espécies, nomeadamente tubarões pelágicos.</w:t>
      </w:r>
    </w:p>
    <w:p w:rsidR="009E42A1" w:rsidRPr="00883D93" w:rsidRDefault="00883D93" w:rsidP="009E42A1">
      <w:pPr>
        <w:spacing w:after="240"/>
        <w:jc w:val="both"/>
      </w:pPr>
      <w:r w:rsidRPr="00883D93">
        <w:t>Trata-se de um acordo equilibrado através do qua</w:t>
      </w:r>
      <w:r w:rsidRPr="00883D93">
        <w:t>l os navios seichelenses poderão prosseguir as suas atividades de pesca, podendo simultaneamente ser benéfico para Maiote e contribuir para o desenvolvimento do setor das pescas local nesta região ultraperiférica da União.</w:t>
      </w:r>
    </w:p>
    <w:p w:rsidR="009E42A1" w:rsidRPr="00883D93" w:rsidRDefault="00883D93" w:rsidP="009E42A1">
      <w:pPr>
        <w:spacing w:after="240"/>
        <w:jc w:val="both"/>
      </w:pPr>
      <w:r w:rsidRPr="00883D93">
        <w:t>No entanto, o relator considera q</w:t>
      </w:r>
      <w:r w:rsidRPr="00883D93">
        <w:t>ue, a longo prazo, Maiote – e as regiões ultraperiféricas em geral – deve poder desenvolver as suas próprias frotas de pesca através do apoio nacional e da União. O Parlamento solicitou reiteradamente – sem êxito – que, para assegurar a sobrevivência do se</w:t>
      </w:r>
      <w:r w:rsidRPr="00883D93">
        <w:t>tor das pescas nas regiões ultraperiféricas e em consonância com os princípios do tratamento diferenciado para as pequenas ilhas e territórios referido no ODS 14, seja dado apoio, através do FEAMPA ou de auxílios estatais e com base no artigo 349.º do TFUE</w:t>
      </w:r>
      <w:r w:rsidRPr="00883D93">
        <w:t xml:space="preserve">, à renovação das frotas de pesca artesanal das regiões ultraperiféricas que desembarcam todas as suas capturas nos portos das regiões ultraperiféricas e contribuem para o desenvolvimento local sustentável; </w:t>
      </w:r>
    </w:p>
    <w:p w:rsidR="009E42A1" w:rsidRPr="00883D93" w:rsidRDefault="00883D93" w:rsidP="009E42A1">
      <w:pPr>
        <w:spacing w:after="240"/>
        <w:jc w:val="both"/>
      </w:pPr>
      <w:r w:rsidRPr="00883D93">
        <w:t>As regiões ultraperiféricas enfrentam desafios e</w:t>
      </w:r>
      <w:r w:rsidRPr="00883D93">
        <w:t>specíficos associados ao seu afastamento, ao seu relevo, à pequena dimensão dos seus mercados e ao seu clima, tal como referido no artigo 349.º do TFUE; no entanto, as características específicas das pescas nas regiões ultraperiféricas são insuficientement</w:t>
      </w:r>
      <w:r w:rsidRPr="00883D93">
        <w:t>e tidas em conta na PCP. Assim, no âmbito da política externa da PCP, as parcerias estratégicas devem ter em conta os interesses das regiões vizinhas da União afetadas pelas mesmas.</w:t>
      </w:r>
    </w:p>
    <w:p w:rsidR="009E42A1" w:rsidRPr="00883D93" w:rsidRDefault="00883D93" w:rsidP="009E42A1">
      <w:pPr>
        <w:spacing w:after="240"/>
        <w:jc w:val="both"/>
      </w:pPr>
      <w:r w:rsidRPr="00883D93">
        <w:t>A pesca nas regiões ultraperiféricas constitui um dos principais impulsion</w:t>
      </w:r>
      <w:r w:rsidRPr="00883D93">
        <w:t>adores económicos, uma fonte de soberania alimentar e uma atividade tradicional que faz parte da cultura desses territórios, que cria empregos no mar e no setor da transformação e contribui para o dinamismo do setor do turismo, um importante motor económic</w:t>
      </w:r>
      <w:r w:rsidRPr="00883D93">
        <w:t>o dessas regiões;</w:t>
      </w:r>
    </w:p>
    <w:p w:rsidR="00903C8F" w:rsidRPr="00883D93" w:rsidRDefault="00883D93" w:rsidP="009E42A1">
      <w:pPr>
        <w:rPr>
          <w:rFonts w:asciiTheme="minorHAnsi" w:eastAsiaTheme="minorHAnsi" w:hAnsiTheme="minorHAnsi" w:cstheme="minorBidi"/>
          <w:sz w:val="22"/>
          <w:szCs w:val="22"/>
        </w:rPr>
      </w:pPr>
      <w:r w:rsidRPr="00883D93">
        <w:t xml:space="preserve">Tendo em conta o que precede, o relator recomenda que o Parlamento aprove a celebração deste Acordo de Acesso à Pesca, reiterando o seu apelo ao apoio da UE ou auxílios estatais para a renovação e o desenvolvimento sustentável das frotas </w:t>
      </w:r>
      <w:r w:rsidRPr="00883D93">
        <w:t>de pesca em Maiote e, de um modo mais geral, nas regiões ultraperiféricas.</w:t>
      </w:r>
    </w:p>
    <w:p w:rsidR="00791E24" w:rsidRPr="00883D93" w:rsidRDefault="00791E24">
      <w:pPr>
        <w:widowControl/>
        <w:sectPr w:rsidR="00791E24" w:rsidRPr="00883D93" w:rsidSect="00883D93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AD27F5" w:rsidRPr="00883D93" w:rsidRDefault="00AD27F5">
      <w:pPr>
        <w:widowControl/>
      </w:pPr>
    </w:p>
    <w:p w:rsidR="00AD27F5" w:rsidRPr="00883D93" w:rsidRDefault="00883D93" w:rsidP="000A0FF0">
      <w:pPr>
        <w:pStyle w:val="PageHeading"/>
        <w:rPr>
          <w:noProof/>
        </w:rPr>
      </w:pPr>
      <w:bookmarkStart w:id="4" w:name="FootprintPageRR"/>
      <w:bookmarkStart w:id="5" w:name="_Toc156405127"/>
      <w:r w:rsidRPr="00883D93">
        <w:t>ANEXO: ENTIDADES OU PESSOAS</w:t>
      </w:r>
      <w:r w:rsidRPr="00883D93">
        <w:br/>
        <w:t>DE QUEM O RELATOR RECEBEU CONTRIBUTOS</w:t>
      </w:r>
      <w:bookmarkEnd w:id="5"/>
    </w:p>
    <w:p w:rsidR="00AD27F5" w:rsidRPr="00883D93" w:rsidRDefault="00883D93" w:rsidP="00037518">
      <w:pPr>
        <w:pStyle w:val="Normal24a"/>
      </w:pPr>
      <w:r w:rsidRPr="00883D93">
        <w:rPr>
          <w:rStyle w:val="HideTWBExt"/>
        </w:rPr>
        <w:t>&lt;FootprintIntro&gt;</w:t>
      </w:r>
      <w:r w:rsidRPr="00883D93">
        <w:t>O relator declara, sob sua exclusiva responsabilidade, que não recebeu contributos de nenhuma enti</w:t>
      </w:r>
      <w:r w:rsidRPr="00883D93">
        <w:t>dade ou pessoa a mencionar no presente anexo, nos termos do artigo 8.º do anexo I do Regimento.</w:t>
      </w:r>
      <w:r w:rsidRPr="00883D93">
        <w:rPr>
          <w:rStyle w:val="HideTWBExt"/>
        </w:rPr>
        <w:t>&lt;/FootprintIntro&gt;</w:t>
      </w:r>
    </w:p>
    <w:p w:rsidR="00AD27F5" w:rsidRPr="00883D93" w:rsidRDefault="00AD27F5" w:rsidP="00837211"/>
    <w:p w:rsidR="00AD27F5" w:rsidRPr="00883D93" w:rsidRDefault="00AD27F5" w:rsidP="00AD27F5"/>
    <w:bookmarkEnd w:id="4"/>
    <w:p w:rsidR="00363B94" w:rsidRPr="00883D93" w:rsidRDefault="00363B94" w:rsidP="00AD27F5"/>
    <w:sectPr w:rsidR="00363B94" w:rsidRPr="00883D93" w:rsidSect="00AD27F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883D93" w:rsidRDefault="00883D93">
      <w:r w:rsidRPr="00883D93">
        <w:separator/>
      </w:r>
    </w:p>
  </w:endnote>
  <w:endnote w:type="continuationSeparator" w:id="0">
    <w:p w:rsidR="00000000" w:rsidRPr="00883D93" w:rsidRDefault="00883D93">
      <w:r w:rsidRPr="00883D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D93" w:rsidRPr="00883D93" w:rsidRDefault="00883D93" w:rsidP="00883D93">
    <w:pPr>
      <w:pStyle w:val="EPFooter"/>
    </w:pPr>
    <w:r w:rsidRPr="00883D93">
      <w:t>PE</w:t>
    </w:r>
    <w:r w:rsidRPr="00883D93">
      <w:rPr>
        <w:rStyle w:val="HideTWBExt"/>
      </w:rPr>
      <w:t>&lt;NoPE&gt;</w:t>
    </w:r>
    <w:r w:rsidRPr="00883D93">
      <w:t>757.013</w:t>
    </w:r>
    <w:r w:rsidRPr="00883D93">
      <w:rPr>
        <w:rStyle w:val="HideTWBExt"/>
      </w:rPr>
      <w:t>&lt;/NoPE&gt;&lt;Version&gt;</w:t>
    </w:r>
    <w:r w:rsidRPr="00883D93">
      <w:t>v02-00</w:t>
    </w:r>
    <w:r w:rsidRPr="00883D93">
      <w:rPr>
        <w:rStyle w:val="HideTWBExt"/>
      </w:rPr>
      <w:t>&lt;/Version&gt;</w:t>
    </w:r>
    <w:r w:rsidRPr="00883D93">
      <w:tab/>
    </w:r>
    <w:r w:rsidRPr="00883D93">
      <w:fldChar w:fldCharType="begin"/>
    </w:r>
    <w:r w:rsidRPr="00883D93">
      <w:instrText xml:space="preserve"> PAGE  \* MERGEFORMAT </w:instrText>
    </w:r>
    <w:r w:rsidRPr="00883D93">
      <w:fldChar w:fldCharType="separate"/>
    </w:r>
    <w:r w:rsidRPr="00883D93">
      <w:rPr>
        <w:noProof/>
      </w:rPr>
      <w:t>2</w:t>
    </w:r>
    <w:r w:rsidRPr="00883D93">
      <w:fldChar w:fldCharType="end"/>
    </w:r>
    <w:r w:rsidRPr="00883D93">
      <w:t>/</w:t>
    </w:r>
    <w:fldSimple w:instr=" NUMPAGES  \* MERGEFORMAT ">
      <w:r w:rsidRPr="00883D93">
        <w:rPr>
          <w:noProof/>
        </w:rPr>
        <w:t>8</w:t>
      </w:r>
    </w:fldSimple>
    <w:r w:rsidRPr="00883D93">
      <w:tab/>
    </w:r>
    <w:r w:rsidRPr="00883D93">
      <w:rPr>
        <w:rStyle w:val="HideTWBExt"/>
      </w:rPr>
      <w:t>&lt;PathFdR&gt;</w:t>
    </w:r>
    <w:r w:rsidRPr="00883D93">
      <w:t>PR\1293168PT.docx</w:t>
    </w:r>
    <w:r w:rsidRPr="00883D93">
      <w:rPr>
        <w:rStyle w:val="HideTWBExt"/>
      </w:rPr>
      <w:t>&lt;/PathFdR&gt;</w:t>
    </w:r>
  </w:p>
  <w:p w:rsidR="0085501C" w:rsidRPr="00883D93" w:rsidRDefault="00883D93" w:rsidP="00883D93">
    <w:pPr>
      <w:pStyle w:val="EPFooter2"/>
    </w:pPr>
    <w:r w:rsidRPr="00883D93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D93" w:rsidRPr="00883D93" w:rsidRDefault="00883D93" w:rsidP="00883D93">
    <w:pPr>
      <w:pStyle w:val="EPFooter"/>
    </w:pPr>
    <w:r w:rsidRPr="00883D93">
      <w:rPr>
        <w:rStyle w:val="HideTWBExt"/>
      </w:rPr>
      <w:t>&lt;PathFdR&gt;</w:t>
    </w:r>
    <w:r w:rsidRPr="00883D93">
      <w:t>PR\1293168PT.docx</w:t>
    </w:r>
    <w:r w:rsidRPr="00883D93">
      <w:rPr>
        <w:rStyle w:val="HideTWBExt"/>
      </w:rPr>
      <w:t>&lt;/PathFdR&gt;</w:t>
    </w:r>
    <w:r w:rsidRPr="00883D93">
      <w:tab/>
    </w:r>
    <w:r w:rsidRPr="00883D93">
      <w:fldChar w:fldCharType="begin"/>
    </w:r>
    <w:r w:rsidRPr="00883D93">
      <w:instrText xml:space="preserve"> PAGE  \* MERGEFORMAT </w:instrText>
    </w:r>
    <w:r w:rsidRPr="00883D93">
      <w:fldChar w:fldCharType="separate"/>
    </w:r>
    <w:r w:rsidRPr="00883D93">
      <w:rPr>
        <w:noProof/>
      </w:rPr>
      <w:t>8</w:t>
    </w:r>
    <w:r w:rsidRPr="00883D93">
      <w:fldChar w:fldCharType="end"/>
    </w:r>
    <w:r w:rsidRPr="00883D93">
      <w:t>/</w:t>
    </w:r>
    <w:fldSimple w:instr=" NUMPAGES  \* MERGEFORMAT ">
      <w:r w:rsidRPr="00883D93">
        <w:rPr>
          <w:noProof/>
        </w:rPr>
        <w:t>8</w:t>
      </w:r>
    </w:fldSimple>
    <w:r w:rsidRPr="00883D93">
      <w:tab/>
      <w:t>PE</w:t>
    </w:r>
    <w:r w:rsidRPr="00883D93">
      <w:rPr>
        <w:rStyle w:val="HideTWBExt"/>
      </w:rPr>
      <w:t>&lt;NoPE&gt;</w:t>
    </w:r>
    <w:r w:rsidRPr="00883D93">
      <w:t>757.013</w:t>
    </w:r>
    <w:r w:rsidRPr="00883D93">
      <w:rPr>
        <w:rStyle w:val="HideTWBExt"/>
      </w:rPr>
      <w:t>&lt;/NoPE&gt;&lt;Version&gt;</w:t>
    </w:r>
    <w:r w:rsidRPr="00883D93">
      <w:t>v02-00</w:t>
    </w:r>
    <w:r w:rsidRPr="00883D93">
      <w:rPr>
        <w:rStyle w:val="HideTWBExt"/>
      </w:rPr>
      <w:t>&lt;/Version&gt;</w:t>
    </w:r>
  </w:p>
  <w:p w:rsidR="0085501C" w:rsidRPr="00883D93" w:rsidRDefault="00883D93" w:rsidP="00883D93">
    <w:pPr>
      <w:pStyle w:val="EPFooter2"/>
    </w:pPr>
    <w:r w:rsidRPr="00883D93">
      <w:tab/>
    </w:r>
    <w:r w:rsidRPr="00883D93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D93" w:rsidRPr="00883D93" w:rsidRDefault="00883D93" w:rsidP="00883D93">
    <w:pPr>
      <w:pStyle w:val="EPFooter"/>
    </w:pPr>
    <w:r w:rsidRPr="00883D93">
      <w:rPr>
        <w:rStyle w:val="HideTWBExt"/>
      </w:rPr>
      <w:t>&lt;PathFdR&gt;</w:t>
    </w:r>
    <w:r w:rsidRPr="00883D93">
      <w:t>PR\1293168PT.docx</w:t>
    </w:r>
    <w:r w:rsidRPr="00883D93">
      <w:rPr>
        <w:rStyle w:val="HideTWBExt"/>
      </w:rPr>
      <w:t>&lt;/PathFdR&gt;</w:t>
    </w:r>
    <w:r w:rsidRPr="00883D93">
      <w:tab/>
    </w:r>
    <w:r w:rsidRPr="00883D93">
      <w:tab/>
      <w:t>PE</w:t>
    </w:r>
    <w:r w:rsidRPr="00883D93">
      <w:rPr>
        <w:rStyle w:val="HideTWBExt"/>
      </w:rPr>
      <w:t>&lt;NoPE&gt;</w:t>
    </w:r>
    <w:r w:rsidRPr="00883D93">
      <w:t>757.013</w:t>
    </w:r>
    <w:r w:rsidRPr="00883D93">
      <w:rPr>
        <w:rStyle w:val="HideTWBExt"/>
      </w:rPr>
      <w:t>&lt;/NoPE&gt;&lt;Version&gt;</w:t>
    </w:r>
    <w:r w:rsidRPr="00883D93">
      <w:t>v02-00</w:t>
    </w:r>
    <w:r w:rsidRPr="00883D93">
      <w:rPr>
        <w:rStyle w:val="HideTWBExt"/>
      </w:rPr>
      <w:t>&lt;/Version&gt;</w:t>
    </w:r>
  </w:p>
  <w:p w:rsidR="0085501C" w:rsidRPr="00883D93" w:rsidRDefault="00883D93" w:rsidP="00883D93">
    <w:pPr>
      <w:pStyle w:val="EPFooter2"/>
    </w:pPr>
    <w:r w:rsidRPr="00883D93">
      <w:t>PT</w:t>
    </w:r>
    <w:r w:rsidRPr="00883D93">
      <w:tab/>
    </w:r>
    <w:r w:rsidRPr="00883D93">
      <w:rPr>
        <w:b w:val="0"/>
        <w:i/>
        <w:color w:val="C0C0C0"/>
        <w:sz w:val="22"/>
      </w:rPr>
      <w:t>Unida na diversidade</w:t>
    </w:r>
    <w:r w:rsidRPr="00883D93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883D93" w:rsidRDefault="00883D93">
      <w:r w:rsidRPr="00883D93">
        <w:separator/>
      </w:r>
    </w:p>
  </w:footnote>
  <w:footnote w:type="continuationSeparator" w:id="0">
    <w:p w:rsidR="00000000" w:rsidRPr="00883D93" w:rsidRDefault="00883D93">
      <w:r w:rsidRPr="00883D9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AUTHORMFMNU" w:val=" 1"/>
    <w:docVar w:name="CIT1MNU" w:val=" 2"/>
    <w:docVar w:name="COMKEY" w:val="PECH"/>
    <w:docVar w:name="CONSENTMNU" w:val=" 1"/>
    <w:docVar w:name="CONTRIBUTIONMNU" w:val=" 2"/>
    <w:docVar w:name="LastEditedSection" w:val=" 1"/>
    <w:docVar w:name="strSubDir" w:val="1293"/>
    <w:docVar w:name="TITLEMNU" w:val=" 2"/>
    <w:docVar w:name="TXTAUTHOR" w:val="Pierre Karleskind"/>
    <w:docVar w:name="TXTLANGUE" w:val="EN"/>
    <w:docVar w:name="TXTLANGUEMIN" w:val="en"/>
    <w:docVar w:name="TXTNRC" w:val="0051/2023"/>
    <w:docVar w:name="TXTNRCOUNC" w:val="15048/2022"/>
    <w:docVar w:name="TXTNRNLE" w:val="2022/0362"/>
    <w:docVar w:name="TXTNRPE" w:val="757.013"/>
    <w:docVar w:name="TXTPEorAP" w:val="PE"/>
    <w:docVar w:name="TXTROUTE" w:val="PR\1293168EN.docx"/>
    <w:docVar w:name="TXTTITLE" w:val="on the conclusion of an Agreement between the European Union and the Republic of Seychelles on access for Seychelles fishing vessels to the waters of Mayotte"/>
    <w:docVar w:name="TXTVERSION" w:val="02-00"/>
  </w:docVars>
  <w:rsids>
    <w:rsidRoot w:val="001D0068"/>
    <w:rsid w:val="00001D52"/>
    <w:rsid w:val="0000443F"/>
    <w:rsid w:val="000053E3"/>
    <w:rsid w:val="00016E55"/>
    <w:rsid w:val="00037518"/>
    <w:rsid w:val="0005197E"/>
    <w:rsid w:val="00055A81"/>
    <w:rsid w:val="0006167F"/>
    <w:rsid w:val="00061EFE"/>
    <w:rsid w:val="0006213E"/>
    <w:rsid w:val="00095D8B"/>
    <w:rsid w:val="000A0FF0"/>
    <w:rsid w:val="000A2F73"/>
    <w:rsid w:val="000C123D"/>
    <w:rsid w:val="000D78AF"/>
    <w:rsid w:val="00174115"/>
    <w:rsid w:val="0018057A"/>
    <w:rsid w:val="00180664"/>
    <w:rsid w:val="001874D8"/>
    <w:rsid w:val="001C24D6"/>
    <w:rsid w:val="001D0068"/>
    <w:rsid w:val="001D02E3"/>
    <w:rsid w:val="001F3FEB"/>
    <w:rsid w:val="001F7BBE"/>
    <w:rsid w:val="0021049A"/>
    <w:rsid w:val="0022685A"/>
    <w:rsid w:val="002E2E20"/>
    <w:rsid w:val="002F5A83"/>
    <w:rsid w:val="003026FC"/>
    <w:rsid w:val="003072BE"/>
    <w:rsid w:val="00337C92"/>
    <w:rsid w:val="00363B94"/>
    <w:rsid w:val="003B598C"/>
    <w:rsid w:val="004174FC"/>
    <w:rsid w:val="00460BD6"/>
    <w:rsid w:val="004859B3"/>
    <w:rsid w:val="004C083C"/>
    <w:rsid w:val="004C7ECD"/>
    <w:rsid w:val="004D7B76"/>
    <w:rsid w:val="004E1650"/>
    <w:rsid w:val="00522F99"/>
    <w:rsid w:val="0053367A"/>
    <w:rsid w:val="00544D48"/>
    <w:rsid w:val="005877C0"/>
    <w:rsid w:val="005A6B14"/>
    <w:rsid w:val="005D0B97"/>
    <w:rsid w:val="005E2DA5"/>
    <w:rsid w:val="005F5D6C"/>
    <w:rsid w:val="005F662F"/>
    <w:rsid w:val="006132CE"/>
    <w:rsid w:val="00613F2E"/>
    <w:rsid w:val="006A1A75"/>
    <w:rsid w:val="006A2CF5"/>
    <w:rsid w:val="006F1B6F"/>
    <w:rsid w:val="007046F9"/>
    <w:rsid w:val="00717061"/>
    <w:rsid w:val="00763ABB"/>
    <w:rsid w:val="0077151E"/>
    <w:rsid w:val="00791637"/>
    <w:rsid w:val="00791E24"/>
    <w:rsid w:val="0080122F"/>
    <w:rsid w:val="00822206"/>
    <w:rsid w:val="008368CB"/>
    <w:rsid w:val="00837211"/>
    <w:rsid w:val="0085501C"/>
    <w:rsid w:val="00883D93"/>
    <w:rsid w:val="00893FBD"/>
    <w:rsid w:val="008B75A4"/>
    <w:rsid w:val="008D23C6"/>
    <w:rsid w:val="008D3030"/>
    <w:rsid w:val="008E3848"/>
    <w:rsid w:val="00903C8F"/>
    <w:rsid w:val="00924EE0"/>
    <w:rsid w:val="009436AF"/>
    <w:rsid w:val="009612AA"/>
    <w:rsid w:val="009C167C"/>
    <w:rsid w:val="009E39A7"/>
    <w:rsid w:val="009E42A1"/>
    <w:rsid w:val="00A415B7"/>
    <w:rsid w:val="00AD27F5"/>
    <w:rsid w:val="00AD5D0C"/>
    <w:rsid w:val="00AE2FD0"/>
    <w:rsid w:val="00B31D18"/>
    <w:rsid w:val="00B42885"/>
    <w:rsid w:val="00B50C20"/>
    <w:rsid w:val="00B6769C"/>
    <w:rsid w:val="00B73068"/>
    <w:rsid w:val="00B837B7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85D0F"/>
    <w:rsid w:val="00CB5651"/>
    <w:rsid w:val="00CC20CB"/>
    <w:rsid w:val="00CF44DF"/>
    <w:rsid w:val="00D03B81"/>
    <w:rsid w:val="00D04E0B"/>
    <w:rsid w:val="00D62DA0"/>
    <w:rsid w:val="00D6543C"/>
    <w:rsid w:val="00DF4699"/>
    <w:rsid w:val="00DF594D"/>
    <w:rsid w:val="00E14FEE"/>
    <w:rsid w:val="00E71368"/>
    <w:rsid w:val="00E93816"/>
    <w:rsid w:val="00EA59ED"/>
    <w:rsid w:val="00EF48F2"/>
    <w:rsid w:val="00F04010"/>
    <w:rsid w:val="00F31608"/>
    <w:rsid w:val="00F34062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852406-FD29-44C1-B665-629B0BC0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rsid w:val="00F316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903C8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03C8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03C8F"/>
    <w:rPr>
      <w:sz w:val="18"/>
    </w:rPr>
  </w:style>
  <w:style w:type="paragraph" w:styleId="Footer">
    <w:name w:val="footer"/>
    <w:basedOn w:val="Normal"/>
    <w:link w:val="FooterChar"/>
    <w:semiHidden/>
    <w:rsid w:val="003026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026FC"/>
    <w:rPr>
      <w:sz w:val="24"/>
    </w:rPr>
  </w:style>
  <w:style w:type="paragraph" w:customStyle="1" w:styleId="Normal24a">
    <w:name w:val="Normal24a"/>
    <w:basedOn w:val="Normal"/>
    <w:rsid w:val="00791E24"/>
    <w:pPr>
      <w:spacing w:after="480"/>
    </w:pPr>
  </w:style>
  <w:style w:type="paragraph" w:customStyle="1" w:styleId="NormalBoldCenter">
    <w:name w:val="NormalBoldCenter"/>
    <w:basedOn w:val="Normal"/>
    <w:rsid w:val="00791E24"/>
    <w:pPr>
      <w:jc w:val="center"/>
    </w:pPr>
    <w:rPr>
      <w:b/>
    </w:rPr>
  </w:style>
  <w:style w:type="paragraph" w:styleId="BalloonText">
    <w:name w:val="Balloon Text"/>
    <w:basedOn w:val="Normal"/>
    <w:link w:val="BalloonTextChar"/>
    <w:semiHidden/>
    <w:unhideWhenUsed/>
    <w:rsid w:val="00AD27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D27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2F0FF-3C64-4071-AF08-E77D61B34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1492</Words>
  <Characters>7896</Characters>
  <Application>Microsoft Office Word</Application>
  <DocSecurity>0</DocSecurity>
  <Lines>161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NENICKOVA Sylvia</dc:creator>
  <cp:lastModifiedBy>CABRAL COUTO OLIVEIRA BARBOSA Vanda Maria</cp:lastModifiedBy>
  <cp:revision>2</cp:revision>
  <cp:lastPrinted>2002-12-11T09:25:00Z</cp:lastPrinted>
  <dcterms:created xsi:type="dcterms:W3CDTF">2024-01-17T16:31:00Z</dcterms:created>
  <dcterms:modified xsi:type="dcterms:W3CDTF">2024-01-17T16:31:00Z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1293168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\\eiciBRUpr1\pdocep$\DocEP\DOCS\General\PR\PR_Leg\NLE\PR_NLE-AP_Agreement.dotx(17/04/2020 18:28:04)</vt:lpwstr>
  </property>
  <property fmtid="{D5CDD505-2E9C-101B-9397-08002B2CF9AE}" pid="6" name="&lt;ModelTra&gt;">
    <vt:lpwstr>\\eiciBRUpr1\pdocep$\DocEP\TRANSFIL\EN\PR_NLE-AP_Agreement.EN(29/06/2022 09:21:42)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[20230920]</vt:lpwstr>
  </property>
  <property fmtid="{D5CDD505-2E9C-101B-9397-08002B2CF9AE}" pid="9" name="FooterPath">
    <vt:lpwstr>PR\1293168PT.docx</vt:lpwstr>
  </property>
  <property fmtid="{D5CDD505-2E9C-101B-9397-08002B2CF9AE}" pid="10" name="LastEdited with">
    <vt:lpwstr>9.16.1 Build [20230920]</vt:lpwstr>
  </property>
  <property fmtid="{D5CDD505-2E9C-101B-9397-08002B2CF9AE}" pid="11" name="PE number">
    <vt:lpwstr>757.013</vt:lpwstr>
  </property>
  <property fmtid="{D5CDD505-2E9C-101B-9397-08002B2CF9AE}" pid="12" name="SDLStudio">
    <vt:lpwstr/>
  </property>
  <property fmtid="{D5CDD505-2E9C-101B-9397-08002B2CF9AE}" pid="13" name="SendToEpades">
    <vt:lpwstr>OK - 2023/12/18 12:10</vt:lpwstr>
  </property>
</Properties>
</file>