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306B0" w:rsidTr="00C85D0F">
        <w:trPr>
          <w:trHeight w:hRule="exact" w:val="1418"/>
        </w:trPr>
        <w:tc>
          <w:tcPr>
            <w:tcW w:w="6804" w:type="dxa"/>
            <w:shd w:val="clear" w:color="auto" w:fill="auto"/>
            <w:vAlign w:val="center"/>
          </w:tcPr>
          <w:p w:rsidR="00C05DD8" w:rsidRPr="005F6643" w:rsidRDefault="00D52F92" w:rsidP="00C85D0F">
            <w:pPr>
              <w:pStyle w:val="EPName"/>
            </w:pPr>
            <w:r>
              <w:t>Parlamentul European</w:t>
            </w:r>
          </w:p>
          <w:p w:rsidR="00C05DD8" w:rsidRPr="005F6643" w:rsidRDefault="00D52F92" w:rsidP="004D7B76">
            <w:pPr>
              <w:pStyle w:val="EPTerm"/>
            </w:pPr>
            <w:r>
              <w:t>2019-2024</w:t>
            </w:r>
          </w:p>
        </w:tc>
        <w:tc>
          <w:tcPr>
            <w:tcW w:w="2268" w:type="dxa"/>
            <w:shd w:val="clear" w:color="auto" w:fill="auto"/>
          </w:tcPr>
          <w:p w:rsidR="00C05DD8" w:rsidRPr="005F6643" w:rsidRDefault="00D52F92" w:rsidP="00C85D0F">
            <w:pPr>
              <w:pStyle w:val="EPLogo"/>
            </w:pPr>
            <w:r w:rsidRPr="005F664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5F6643" w:rsidRDefault="009612AA" w:rsidP="009612AA">
      <w:pPr>
        <w:pStyle w:val="LineTop"/>
      </w:pPr>
    </w:p>
    <w:p w:rsidR="009612AA" w:rsidRPr="005F6643" w:rsidRDefault="00D52F92" w:rsidP="009612AA">
      <w:pPr>
        <w:pStyle w:val="EPBody"/>
      </w:pPr>
      <w:r>
        <w:rPr>
          <w:rStyle w:val="HideTWBExt"/>
        </w:rPr>
        <w:t>&lt;</w:t>
      </w:r>
      <w:r>
        <w:rPr>
          <w:rStyle w:val="HideTWBExt"/>
          <w:i w:val="0"/>
        </w:rPr>
        <w:t>Commission</w:t>
      </w:r>
      <w:r>
        <w:rPr>
          <w:rStyle w:val="HideTWBExt"/>
        </w:rPr>
        <w:t>&gt;</w:t>
      </w:r>
      <w:r>
        <w:rPr>
          <w:rStyle w:val="HideTWBInt"/>
          <w:color w:val="auto"/>
        </w:rPr>
        <w:t>{PECH}</w:t>
      </w:r>
      <w:r>
        <w:t xml:space="preserve">Comisia </w:t>
      </w:r>
      <w:bookmarkStart w:id="0" w:name="_GoBack"/>
      <w:bookmarkEnd w:id="0"/>
      <w:r>
        <w:t>pentru pescuit</w:t>
      </w:r>
      <w:r>
        <w:rPr>
          <w:rStyle w:val="HideTWBExt"/>
        </w:rPr>
        <w:t>&lt;/</w:t>
      </w:r>
      <w:r>
        <w:rPr>
          <w:rStyle w:val="HideTWBExt"/>
          <w:i w:val="0"/>
        </w:rPr>
        <w:t>Commission</w:t>
      </w:r>
      <w:r>
        <w:rPr>
          <w:rStyle w:val="HideTWBExt"/>
        </w:rPr>
        <w:t>&gt;</w:t>
      </w:r>
    </w:p>
    <w:p w:rsidR="009612AA" w:rsidRPr="005F6643" w:rsidRDefault="009612AA" w:rsidP="009612AA">
      <w:pPr>
        <w:pStyle w:val="LineBottom"/>
      </w:pPr>
    </w:p>
    <w:p w:rsidR="00363B94" w:rsidRPr="005F6643" w:rsidRDefault="00D52F92">
      <w:pPr>
        <w:pStyle w:val="CoverReference"/>
      </w:pPr>
      <w:r>
        <w:rPr>
          <w:rStyle w:val="HideTWBExt"/>
          <w:b w:val="0"/>
        </w:rPr>
        <w:t>&lt;RefProc&gt;</w:t>
      </w:r>
      <w:r>
        <w:t>2022/0362</w:t>
      </w:r>
      <w:r>
        <w:rPr>
          <w:rStyle w:val="HideTWBExt"/>
          <w:b w:val="0"/>
        </w:rPr>
        <w:t>&lt;/RefProc&gt;&lt;RefTypeProc&gt;</w:t>
      </w:r>
      <w:r>
        <w:t>(NLE)</w:t>
      </w:r>
      <w:r>
        <w:rPr>
          <w:rStyle w:val="HideTWBExt"/>
          <w:b w:val="0"/>
        </w:rPr>
        <w:t>&lt;/RefTypeProc&gt;</w:t>
      </w:r>
    </w:p>
    <w:p w:rsidR="00363B94" w:rsidRPr="005F6643" w:rsidRDefault="00D52F92">
      <w:pPr>
        <w:pStyle w:val="CoverDate"/>
      </w:pPr>
      <w:r>
        <w:rPr>
          <w:rStyle w:val="HideTWBExt"/>
        </w:rPr>
        <w:t>&lt;Date&gt;</w:t>
      </w:r>
      <w:r>
        <w:rPr>
          <w:rStyle w:val="HideTWBInt"/>
          <w:color w:val="auto"/>
        </w:rPr>
        <w:t>{18/12/2023}</w:t>
      </w:r>
      <w:r>
        <w:t>18.12.2023</w:t>
      </w:r>
      <w:r>
        <w:rPr>
          <w:rStyle w:val="HideTWBExt"/>
        </w:rPr>
        <w:t>&lt;/Date&gt;</w:t>
      </w:r>
    </w:p>
    <w:p w:rsidR="00363B94" w:rsidRPr="005F6643" w:rsidRDefault="00D52F92">
      <w:pPr>
        <w:pStyle w:val="CoverDocType"/>
      </w:pPr>
      <w:r>
        <w:rPr>
          <w:rStyle w:val="HideTWBExt"/>
          <w:b w:val="0"/>
        </w:rPr>
        <w:t>&lt;RefProcLect&gt;</w:t>
      </w:r>
      <w:r>
        <w:t>***</w:t>
      </w:r>
      <w:r>
        <w:rPr>
          <w:rStyle w:val="HideTWBExt"/>
          <w:b w:val="0"/>
        </w:rPr>
        <w:t>&lt;/RefProcLect&gt;</w:t>
      </w:r>
    </w:p>
    <w:p w:rsidR="00363B94" w:rsidRPr="005F6643" w:rsidRDefault="00D52F92">
      <w:pPr>
        <w:pStyle w:val="CoverDocType24a"/>
      </w:pPr>
      <w:r>
        <w:rPr>
          <w:rStyle w:val="HideTWBExt"/>
          <w:b w:val="0"/>
        </w:rPr>
        <w:t>&lt;TitreType&gt;</w:t>
      </w:r>
      <w:r>
        <w:t>PROIECT DE RECOMANDARE</w:t>
      </w:r>
      <w:r>
        <w:rPr>
          <w:rStyle w:val="HideTWBExt"/>
          <w:b w:val="0"/>
        </w:rPr>
        <w:t>&lt;/TitreType&gt;</w:t>
      </w:r>
    </w:p>
    <w:p w:rsidR="00363B94" w:rsidRPr="005F6643" w:rsidRDefault="00D52F92">
      <w:pPr>
        <w:pStyle w:val="CoverNormal"/>
      </w:pPr>
      <w:r>
        <w:rPr>
          <w:rStyle w:val="HideTWBExt"/>
        </w:rPr>
        <w:t>&lt;Titre&gt;</w:t>
      </w:r>
      <w:r>
        <w:t>referitoare la proiectul de decizie a Consiliului privind încheierea unui acord între Uniunea Europeană și Republica Seychelles privind accesul navelor de pescuit din Seychelles la apele Mayotte</w:t>
      </w:r>
      <w:r>
        <w:rPr>
          <w:rStyle w:val="HideTWBExt"/>
        </w:rPr>
        <w:t>&lt;/Titre&gt;</w:t>
      </w:r>
    </w:p>
    <w:p w:rsidR="00363B94" w:rsidRPr="005F6643" w:rsidRDefault="00D52F92">
      <w:pPr>
        <w:pStyle w:val="CoverNormal24a"/>
      </w:pPr>
      <w:r>
        <w:rPr>
          <w:rStyle w:val="HideTWBExt"/>
        </w:rPr>
        <w:t>&lt;DocRef&gt;</w:t>
      </w:r>
      <w:r>
        <w:t>(15048/2022 – C9</w:t>
      </w:r>
      <w:r>
        <w:noBreakHyphen/>
        <w:t>0051/202</w:t>
      </w:r>
      <w:r>
        <w:t>3 – 2022/0362(NLE))</w:t>
      </w:r>
      <w:r>
        <w:rPr>
          <w:rStyle w:val="HideTWBExt"/>
        </w:rPr>
        <w:t>&lt;/DocRef&gt;</w:t>
      </w:r>
    </w:p>
    <w:p w:rsidR="00363B94" w:rsidRPr="005F6643" w:rsidRDefault="00D52F92">
      <w:pPr>
        <w:pStyle w:val="CoverNormal24a"/>
      </w:pPr>
      <w:r>
        <w:rPr>
          <w:rStyle w:val="HideTWBExt"/>
        </w:rPr>
        <w:t>&lt;Commission&gt;</w:t>
      </w:r>
      <w:r>
        <w:rPr>
          <w:rStyle w:val="HideTWBInt"/>
          <w:color w:val="auto"/>
        </w:rPr>
        <w:t>{PECH}</w:t>
      </w:r>
      <w:r>
        <w:t>Comisia pentru pescuit</w:t>
      </w:r>
      <w:r>
        <w:rPr>
          <w:rStyle w:val="HideTWBExt"/>
        </w:rPr>
        <w:t>&lt;/Commission&gt;</w:t>
      </w:r>
    </w:p>
    <w:p w:rsidR="00363B94" w:rsidRPr="005F6643" w:rsidRDefault="00D52F92">
      <w:pPr>
        <w:pStyle w:val="CoverNormal24a"/>
      </w:pPr>
      <w:r>
        <w:t xml:space="preserve">Raportor: </w:t>
      </w:r>
      <w:r>
        <w:rPr>
          <w:rStyle w:val="HideTWBExt"/>
        </w:rPr>
        <w:t>&lt;Depute&gt;</w:t>
      </w:r>
      <w:r>
        <w:t>Gabriel Mato</w:t>
      </w:r>
      <w:r>
        <w:rPr>
          <w:rStyle w:val="HideTWBExt"/>
        </w:rPr>
        <w:t>&lt;/Depute&gt;</w:t>
      </w:r>
    </w:p>
    <w:p w:rsidR="00B42885" w:rsidRPr="005F6643" w:rsidRDefault="00B42885" w:rsidP="00B42885">
      <w:pPr>
        <w:pStyle w:val="CoverNormal"/>
      </w:pPr>
    </w:p>
    <w:p w:rsidR="00903C8F" w:rsidRPr="005F6643" w:rsidRDefault="00D52F92" w:rsidP="00016E55">
      <w:r>
        <w:br w:type="page"/>
      </w:r>
      <w:r w:rsidR="00C14BE8">
        <w:lastRenderedPageBreak/>
        <w:fldChar w:fldCharType="begin"/>
      </w:r>
      <w:r>
        <w:instrText xml:space="preserve"> TITLE  \* MERGEFORMAT </w:instrText>
      </w:r>
      <w:r w:rsidR="00C14BE8">
        <w:fldChar w:fldCharType="separate"/>
      </w:r>
      <w:r>
        <w:t>PR_NLE-AP_Agreement</w:t>
      </w:r>
      <w:r w:rsidR="00C14BE8">
        <w:fldChar w:fldCharType="end"/>
      </w:r>
    </w:p>
    <w:p w:rsidR="00903C8F" w:rsidRPr="005F6643" w:rsidRDefault="00903C8F" w:rsidP="00016E55"/>
    <w:p w:rsidR="00903C8F" w:rsidRPr="005F6643" w:rsidRDefault="00903C8F"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06B0" w:rsidTr="00431E27">
        <w:tc>
          <w:tcPr>
            <w:tcW w:w="5811" w:type="dxa"/>
            <w:tcBorders>
              <w:top w:val="single" w:sz="4" w:space="0" w:color="auto"/>
            </w:tcBorders>
          </w:tcPr>
          <w:p w:rsidR="00C14BE8" w:rsidRDefault="00D52F92" w:rsidP="00431E27">
            <w:pPr>
              <w:pStyle w:val="Lgendetitre"/>
              <w:rPr>
                <w:rFonts w:cstheme="minorBidi"/>
                <w:szCs w:val="24"/>
              </w:rPr>
            </w:pPr>
            <w:r>
              <w:t>Legenda simbolurilor utilizate</w:t>
            </w:r>
          </w:p>
        </w:tc>
      </w:tr>
      <w:tr w:rsidR="00C306B0" w:rsidTr="00431E27">
        <w:trPr>
          <w:cantSplit/>
          <w:trHeight w:val="2170"/>
        </w:trPr>
        <w:tc>
          <w:tcPr>
            <w:tcW w:w="5811" w:type="dxa"/>
            <w:tcBorders>
              <w:bottom w:val="single" w:sz="4" w:space="0" w:color="auto"/>
            </w:tcBorders>
          </w:tcPr>
          <w:p w:rsidR="00C14BE8" w:rsidRDefault="00D52F92" w:rsidP="00431E27">
            <w:pPr>
              <w:pStyle w:val="Lgendesigne"/>
              <w:rPr>
                <w:rFonts w:cstheme="minorBidi"/>
                <w:szCs w:val="24"/>
              </w:rPr>
            </w:pPr>
            <w:r>
              <w:tab/>
              <w:t>*</w:t>
            </w:r>
            <w:r>
              <w:tab/>
              <w:t>Procedura de consultare</w:t>
            </w:r>
          </w:p>
          <w:p w:rsidR="00C14BE8" w:rsidRDefault="00D52F92" w:rsidP="00431E27">
            <w:pPr>
              <w:pStyle w:val="Lgendesigne"/>
              <w:rPr>
                <w:rFonts w:cstheme="minorBidi"/>
                <w:szCs w:val="24"/>
              </w:rPr>
            </w:pPr>
            <w:r>
              <w:tab/>
              <w:t>***</w:t>
            </w:r>
            <w:r>
              <w:tab/>
              <w:t xml:space="preserve">Procedura de </w:t>
            </w:r>
            <w:r>
              <w:t>aprobare</w:t>
            </w:r>
          </w:p>
          <w:p w:rsidR="00C14BE8" w:rsidRDefault="00D52F92" w:rsidP="00431E27">
            <w:pPr>
              <w:pStyle w:val="Lgendesigne"/>
              <w:rPr>
                <w:rFonts w:cstheme="minorBidi"/>
                <w:szCs w:val="24"/>
              </w:rPr>
            </w:pPr>
            <w:r>
              <w:tab/>
              <w:t>***I</w:t>
            </w:r>
            <w:r>
              <w:tab/>
              <w:t>Procedura legislativă ordinară (prima lectură)</w:t>
            </w:r>
          </w:p>
          <w:p w:rsidR="00C14BE8" w:rsidRDefault="00D52F92" w:rsidP="00431E27">
            <w:pPr>
              <w:pStyle w:val="Lgendesigne"/>
              <w:rPr>
                <w:rFonts w:cstheme="minorBidi"/>
                <w:szCs w:val="24"/>
              </w:rPr>
            </w:pPr>
            <w:r>
              <w:tab/>
              <w:t>***II</w:t>
            </w:r>
            <w:r>
              <w:tab/>
              <w:t>Procedura legislativă ordinară (a doua lectură)</w:t>
            </w:r>
          </w:p>
          <w:p w:rsidR="00C14BE8" w:rsidRDefault="00D52F92" w:rsidP="00431E27">
            <w:pPr>
              <w:pStyle w:val="Lgendesigne"/>
              <w:rPr>
                <w:rFonts w:cstheme="minorBidi"/>
                <w:szCs w:val="24"/>
              </w:rPr>
            </w:pPr>
            <w:r>
              <w:tab/>
              <w:t>***III</w:t>
            </w:r>
            <w:r>
              <w:tab/>
              <w:t>Procedura legislativă ordinară (a treia lectură)</w:t>
            </w:r>
            <w:r>
              <w:br/>
            </w:r>
          </w:p>
          <w:p w:rsidR="00C14BE8" w:rsidRDefault="00D52F92" w:rsidP="00431E27">
            <w:pPr>
              <w:pStyle w:val="Lgendestandard"/>
              <w:rPr>
                <w:rFonts w:cstheme="minorBidi"/>
                <w:szCs w:val="24"/>
              </w:rPr>
            </w:pPr>
            <w:r>
              <w:t>(Procedura indicată se bazează pe temeiul juridic propus în proiectul de act.)</w:t>
            </w:r>
          </w:p>
          <w:p w:rsidR="00C14BE8" w:rsidRDefault="00C14BE8" w:rsidP="00431E27">
            <w:pPr>
              <w:pStyle w:val="Lgendestandard"/>
              <w:rPr>
                <w:rFonts w:cstheme="minorBidi"/>
                <w:szCs w:val="24"/>
              </w:rPr>
            </w:pPr>
          </w:p>
        </w:tc>
      </w:tr>
    </w:tbl>
    <w:p w:rsidR="00903C8F" w:rsidRPr="005F6643" w:rsidRDefault="00903C8F" w:rsidP="00016E55"/>
    <w:p w:rsidR="00363B94" w:rsidRPr="005F6643" w:rsidRDefault="00363B94" w:rsidP="00613F2E">
      <w:pPr>
        <w:widowControl/>
        <w:tabs>
          <w:tab w:val="center" w:pos="4677"/>
        </w:tabs>
      </w:pPr>
    </w:p>
    <w:p w:rsidR="00363B94" w:rsidRPr="005F6643" w:rsidRDefault="00D52F92">
      <w:pPr>
        <w:pStyle w:val="TOCHeading"/>
      </w:pPr>
      <w:r>
        <w:br w:type="page"/>
      </w:r>
      <w:r>
        <w:lastRenderedPageBreak/>
        <w:t>CUPRINS</w:t>
      </w:r>
    </w:p>
    <w:p w:rsidR="00363B94" w:rsidRPr="005F6643" w:rsidRDefault="00D52F92">
      <w:pPr>
        <w:pStyle w:val="TOCPage"/>
      </w:pPr>
      <w:r>
        <w:t>Pagina</w:t>
      </w:r>
    </w:p>
    <w:p w:rsidR="00D52F92" w:rsidRDefault="00D52F92">
      <w:pPr>
        <w:pStyle w:val="TOC1"/>
        <w:tabs>
          <w:tab w:val="right" w:leader="dot" w:pos="9060"/>
        </w:tabs>
        <w:rPr>
          <w:rFonts w:asciiTheme="minorHAnsi" w:eastAsiaTheme="minorEastAsia" w:hAnsiTheme="minorHAnsi" w:cstheme="minorBidi"/>
          <w:noProof/>
          <w:sz w:val="22"/>
          <w:szCs w:val="22"/>
          <w:lang w:eastAsia="ro-RO"/>
        </w:rPr>
      </w:pPr>
      <w:r w:rsidRPr="005F6643">
        <w:fldChar w:fldCharType="begin"/>
      </w:r>
      <w:r w:rsidRPr="005F6643">
        <w:instrText xml:space="preserve"> TOC \t "PageHeading</w:instrText>
      </w:r>
      <w:r w:rsidR="007046F9" w:rsidRPr="005F6643">
        <w:instrText>;</w:instrText>
      </w:r>
      <w:r w:rsidRPr="005F6643">
        <w:instrText xml:space="preserve">1" </w:instrText>
      </w:r>
      <w:r w:rsidRPr="005F6643">
        <w:fldChar w:fldCharType="separate"/>
      </w:r>
      <w:r>
        <w:rPr>
          <w:noProof/>
        </w:rPr>
        <w:t>PROIECT DE REZOLUȚIE LEGISLATIVĂ A PARLAMENTULUI EUROPEAN</w:t>
      </w:r>
      <w:r>
        <w:rPr>
          <w:noProof/>
        </w:rPr>
        <w:tab/>
      </w:r>
      <w:r>
        <w:rPr>
          <w:noProof/>
        </w:rPr>
        <w:fldChar w:fldCharType="begin"/>
      </w:r>
      <w:r>
        <w:rPr>
          <w:noProof/>
        </w:rPr>
        <w:instrText xml:space="preserve"> PAGEREF _Toc156470427 \h </w:instrText>
      </w:r>
      <w:r>
        <w:rPr>
          <w:noProof/>
        </w:rPr>
      </w:r>
      <w:r>
        <w:rPr>
          <w:noProof/>
        </w:rPr>
        <w:fldChar w:fldCharType="separate"/>
      </w:r>
      <w:r>
        <w:rPr>
          <w:noProof/>
        </w:rPr>
        <w:t>5</w:t>
      </w:r>
      <w:r>
        <w:rPr>
          <w:noProof/>
        </w:rPr>
        <w:fldChar w:fldCharType="end"/>
      </w:r>
    </w:p>
    <w:p w:rsidR="00D52F92" w:rsidRDefault="00D52F92">
      <w:pPr>
        <w:pStyle w:val="TOC1"/>
        <w:tabs>
          <w:tab w:val="right" w:leader="dot" w:pos="9060"/>
        </w:tabs>
        <w:rPr>
          <w:rFonts w:asciiTheme="minorHAnsi" w:eastAsiaTheme="minorEastAsia" w:hAnsiTheme="minorHAnsi" w:cstheme="minorBidi"/>
          <w:noProof/>
          <w:sz w:val="22"/>
          <w:szCs w:val="22"/>
          <w:lang w:eastAsia="ro-RO"/>
        </w:rPr>
      </w:pPr>
      <w:r>
        <w:rPr>
          <w:noProof/>
        </w:rPr>
        <w:t>EXPUNERE DE MOTIVE</w:t>
      </w:r>
      <w:r>
        <w:rPr>
          <w:noProof/>
        </w:rPr>
        <w:tab/>
      </w:r>
      <w:r>
        <w:rPr>
          <w:noProof/>
        </w:rPr>
        <w:fldChar w:fldCharType="begin"/>
      </w:r>
      <w:r>
        <w:rPr>
          <w:noProof/>
        </w:rPr>
        <w:instrText xml:space="preserve"> PAGEREF _Toc156470428 \h </w:instrText>
      </w:r>
      <w:r>
        <w:rPr>
          <w:noProof/>
        </w:rPr>
      </w:r>
      <w:r>
        <w:rPr>
          <w:noProof/>
        </w:rPr>
        <w:fldChar w:fldCharType="separate"/>
      </w:r>
      <w:r>
        <w:rPr>
          <w:noProof/>
        </w:rPr>
        <w:t>6</w:t>
      </w:r>
      <w:r>
        <w:rPr>
          <w:noProof/>
        </w:rPr>
        <w:fldChar w:fldCharType="end"/>
      </w:r>
    </w:p>
    <w:p w:rsidR="00D52F92" w:rsidRDefault="00D52F92">
      <w:pPr>
        <w:pStyle w:val="TOC1"/>
        <w:tabs>
          <w:tab w:val="right" w:leader="dot" w:pos="9060"/>
        </w:tabs>
        <w:rPr>
          <w:rFonts w:asciiTheme="minorHAnsi" w:eastAsiaTheme="minorEastAsia" w:hAnsiTheme="minorHAnsi" w:cstheme="minorBidi"/>
          <w:noProof/>
          <w:sz w:val="22"/>
          <w:szCs w:val="22"/>
          <w:lang w:eastAsia="ro-RO"/>
        </w:rPr>
      </w:pPr>
      <w:r>
        <w:rPr>
          <w:noProof/>
        </w:rPr>
        <w:t>ANEXĂ: ENTITĂȚILE SAU PERSOANELE DE LA CARE RAPORTORUL A PRIMIT CONTRIBUȚII</w:t>
      </w:r>
      <w:r>
        <w:rPr>
          <w:noProof/>
        </w:rPr>
        <w:tab/>
      </w:r>
      <w:r>
        <w:rPr>
          <w:noProof/>
        </w:rPr>
        <w:fldChar w:fldCharType="begin"/>
      </w:r>
      <w:r>
        <w:rPr>
          <w:noProof/>
        </w:rPr>
        <w:instrText xml:space="preserve"> PAGEREF _Toc156470429 \h </w:instrText>
      </w:r>
      <w:r>
        <w:rPr>
          <w:noProof/>
        </w:rPr>
      </w:r>
      <w:r>
        <w:rPr>
          <w:noProof/>
        </w:rPr>
        <w:fldChar w:fldCharType="separate"/>
      </w:r>
      <w:r>
        <w:rPr>
          <w:noProof/>
        </w:rPr>
        <w:t>8</w:t>
      </w:r>
      <w:r>
        <w:rPr>
          <w:noProof/>
        </w:rPr>
        <w:fldChar w:fldCharType="end"/>
      </w:r>
    </w:p>
    <w:p w:rsidR="004E1650" w:rsidRPr="005F6643" w:rsidRDefault="00D52F92" w:rsidP="00F04010">
      <w:r w:rsidRPr="005F6643">
        <w:fldChar w:fldCharType="end"/>
      </w:r>
    </w:p>
    <w:p w:rsidR="00363B94" w:rsidRPr="005F6643" w:rsidRDefault="00D52F92" w:rsidP="0006167F">
      <w:pPr>
        <w:pStyle w:val="PageHeading"/>
      </w:pPr>
      <w:r>
        <w:br w:type="page"/>
      </w:r>
      <w:r>
        <w:lastRenderedPageBreak/>
        <w:br w:type="page"/>
      </w:r>
      <w:bookmarkStart w:id="1" w:name="_Toc156470427"/>
      <w:r>
        <w:lastRenderedPageBreak/>
        <w:t>PROIECT DE REZOLUȚIE LEGISLAT</w:t>
      </w:r>
      <w:r>
        <w:t>IVĂ A PARLAMENTULUI EUROPEAN</w:t>
      </w:r>
      <w:bookmarkEnd w:id="1"/>
    </w:p>
    <w:p w:rsidR="00363B94" w:rsidRPr="005F6643" w:rsidRDefault="00D52F92">
      <w:pPr>
        <w:pStyle w:val="NormalBold"/>
      </w:pPr>
      <w:r>
        <w:t>referitoare la proiectul de decizie a Consiliului privind încheierea unui acord între Uniunea Europeană și Republica Seychelles privind accesul navelor de pescuit din Seychelles la apele Mayotte</w:t>
      </w:r>
    </w:p>
    <w:p w:rsidR="00363B94" w:rsidRPr="005F6643" w:rsidRDefault="00D52F92">
      <w:pPr>
        <w:pStyle w:val="NormalBold12a"/>
      </w:pPr>
      <w:r>
        <w:t>(15048/2022 – C9</w:t>
      </w:r>
      <w:r>
        <w:noBreakHyphen/>
        <w:t>0051/2023 – 202</w:t>
      </w:r>
      <w:r>
        <w:t>2/0362(NLE))</w:t>
      </w:r>
    </w:p>
    <w:p w:rsidR="00363B94" w:rsidRPr="005F6643" w:rsidRDefault="00D52F92" w:rsidP="00893FBD">
      <w:pPr>
        <w:pStyle w:val="NormalBold"/>
      </w:pPr>
      <w:r>
        <w:t>(Procedura de aprobare)</w:t>
      </w:r>
    </w:p>
    <w:p w:rsidR="00363B94" w:rsidRPr="005F6643" w:rsidRDefault="00D52F92">
      <w:pPr>
        <w:pStyle w:val="EPComma"/>
      </w:pPr>
      <w:r>
        <w:rPr>
          <w:i/>
          <w:iCs/>
        </w:rPr>
        <w:t>Parlamentul European</w:t>
      </w:r>
      <w:r>
        <w:t>,</w:t>
      </w:r>
    </w:p>
    <w:p w:rsidR="00BF7F55" w:rsidRPr="005F6643" w:rsidRDefault="00D52F92" w:rsidP="00BF7F55">
      <w:pPr>
        <w:pStyle w:val="NormalHanging12a"/>
      </w:pPr>
      <w:r>
        <w:t>–</w:t>
      </w:r>
      <w:r>
        <w:tab/>
        <w:t>având în vedere proiectul de decizie a Consiliului (15048/2022),</w:t>
      </w:r>
    </w:p>
    <w:p w:rsidR="00363B94" w:rsidRPr="005F6643" w:rsidRDefault="00D52F92">
      <w:pPr>
        <w:pStyle w:val="NormalHanging12a"/>
      </w:pPr>
      <w:r>
        <w:t>–</w:t>
      </w:r>
      <w:r>
        <w:tab/>
        <w:t xml:space="preserve">având în vedere Acordul dintre Uniunea Europeană și Republica Seychelles privind accesul navelor de pescuit din Seychelles la </w:t>
      </w:r>
      <w:r>
        <w:t>apele Mayotte (15088/2022),</w:t>
      </w:r>
    </w:p>
    <w:p w:rsidR="008368CB" w:rsidRPr="005F6643" w:rsidRDefault="00D52F92" w:rsidP="003026FC">
      <w:pPr>
        <w:pStyle w:val="NormalHanging12a"/>
      </w:pPr>
      <w:r>
        <w:t>–</w:t>
      </w:r>
      <w:r>
        <w:tab/>
        <w:t>având în vedere cererea de aprobare prezentată de Consiliu în conformitate cu articolul 43 și articolul 218 alineatul (6) al doilea paragraf litera (a) punctul (v) și alineatul (7) din Tratatul privind funcționarea Uniunii Eur</w:t>
      </w:r>
      <w:r>
        <w:t>opene (C9-0051/2023),</w:t>
      </w:r>
    </w:p>
    <w:p w:rsidR="00363B94" w:rsidRPr="005F6643" w:rsidRDefault="00D52F92">
      <w:pPr>
        <w:pStyle w:val="NormalHanging12a"/>
      </w:pPr>
      <w:r>
        <w:t>–</w:t>
      </w:r>
      <w:r>
        <w:tab/>
        <w:t>având în vedere articolul 105 alineatele (1) și (4) și articolul 114 alineatul (7) din Regulamentul său de procedură,</w:t>
      </w:r>
    </w:p>
    <w:p w:rsidR="00363B94" w:rsidRPr="005F6643" w:rsidRDefault="00D52F92">
      <w:pPr>
        <w:pStyle w:val="NormalHanging12a"/>
      </w:pPr>
      <w:r>
        <w:t>–</w:t>
      </w:r>
      <w:r>
        <w:tab/>
        <w:t>având în vedere recomandarea Comisiei pentru pescuit (A9</w:t>
      </w:r>
      <w:r>
        <w:noBreakHyphen/>
        <w:t>0000/2023),</w:t>
      </w:r>
    </w:p>
    <w:p w:rsidR="00363B94" w:rsidRPr="005F6643" w:rsidRDefault="00D52F92">
      <w:pPr>
        <w:pStyle w:val="NormalHanging12a"/>
      </w:pPr>
      <w:r>
        <w:t>1.</w:t>
      </w:r>
      <w:r>
        <w:tab/>
        <w:t>aprobă încheierea acordului;</w:t>
      </w:r>
    </w:p>
    <w:p w:rsidR="001D02E3" w:rsidRPr="005F6643" w:rsidRDefault="00D52F92">
      <w:pPr>
        <w:pStyle w:val="NormalHanging12a"/>
      </w:pPr>
      <w:r>
        <w:t>2.</w:t>
      </w:r>
      <w:r>
        <w:tab/>
        <w:t>încredin</w:t>
      </w:r>
      <w:r>
        <w:t>țează Președintei sarcina de a transmite poziția Parlamentului Consiliului și Comisiei, precum și guvernelor și parlamentelor statelor membre și ale Republicii Seychelles.</w:t>
      </w:r>
    </w:p>
    <w:p w:rsidR="00903C8F" w:rsidRPr="005F6643" w:rsidRDefault="00D52F92">
      <w:pPr>
        <w:widowControl/>
      </w:pPr>
      <w:r>
        <w:br w:type="page"/>
      </w:r>
    </w:p>
    <w:p w:rsidR="00903C8F" w:rsidRPr="005F6643" w:rsidRDefault="00D52F92" w:rsidP="00F31608">
      <w:pPr>
        <w:pStyle w:val="PageHeading"/>
      </w:pPr>
      <w:bookmarkStart w:id="2" w:name="_Toc19262960"/>
      <w:bookmarkStart w:id="3" w:name="_Toc156470428"/>
      <w:r>
        <w:lastRenderedPageBreak/>
        <w:t>EXPUNERE DE MOTIVE</w:t>
      </w:r>
      <w:bookmarkEnd w:id="2"/>
      <w:bookmarkEnd w:id="3"/>
    </w:p>
    <w:p w:rsidR="009E42A1" w:rsidRPr="005F6643" w:rsidRDefault="00D52F92" w:rsidP="009E42A1">
      <w:pPr>
        <w:spacing w:after="240"/>
        <w:jc w:val="both"/>
        <w:rPr>
          <w:b/>
        </w:rPr>
      </w:pPr>
      <w:r>
        <w:rPr>
          <w:b/>
        </w:rPr>
        <w:t>Context</w:t>
      </w:r>
    </w:p>
    <w:p w:rsidR="009E42A1" w:rsidRPr="005F6643" w:rsidRDefault="00D52F92" w:rsidP="009E42A1">
      <w:pPr>
        <w:spacing w:after="240"/>
        <w:jc w:val="both"/>
      </w:pPr>
      <w:r>
        <w:t xml:space="preserve">Mayotte, un arhipelag în Oceanul Indian și departament </w:t>
      </w:r>
      <w:r>
        <w:t>francez de peste mări, beneficiază la nivel european de statutul de regiune ultraperiferică din 2014. Întrucât tratatele conferă Uniunii Europene competență exclusivă pentru conservarea resurselor biologice marine în cadrul politicii comune în domeniul pes</w:t>
      </w:r>
      <w:r>
        <w:t xml:space="preserve">cuitului (PCP), accesul navelor de pescuit străine la apele din jurul Mayotte trebuie să fie reglementat de Uniunea Europeană. </w:t>
      </w:r>
    </w:p>
    <w:p w:rsidR="009E42A1" w:rsidRPr="005F6643" w:rsidRDefault="00D52F92" w:rsidP="009E42A1">
      <w:pPr>
        <w:spacing w:after="240"/>
        <w:jc w:val="both"/>
      </w:pPr>
      <w:r>
        <w:t>Un prim acord între Uniunea Europeană și Republica Seychelles privind accesul navelor de pescuit din Seychelles la apele Mayotte</w:t>
      </w:r>
      <w:r>
        <w:t xml:space="preserve"> a fost semnat la 20 mai 2014. După ce acesta a început să se aplice de la aceeași dată (inițial ca măsură provizorie) pentru o perioadă de 6 ani, acordul a fost reînnoit tacit la 20 mai 2020. </w:t>
      </w:r>
    </w:p>
    <w:p w:rsidR="009E42A1" w:rsidRPr="005F6643" w:rsidRDefault="00D52F92" w:rsidP="009E42A1">
      <w:pPr>
        <w:spacing w:after="240"/>
        <w:jc w:val="both"/>
      </w:pPr>
      <w:r>
        <w:t xml:space="preserve">Pe baza directivelor de negociere relevante, Comisia a purtat </w:t>
      </w:r>
      <w:r>
        <w:t xml:space="preserve">negocieri cu guvernul Republicii Seychelles în vederea încheierii unui nou acord privind accesul navelor de pescuit din Seychelles. În urma acestor negocieri, la 10 iunie 2022 a fost parafat un nou acord privind accesul la pescuit. Acest nou acord privind </w:t>
      </w:r>
      <w:r>
        <w:t>accesul la pescuit acoperă o perioadă de 6 ani, începând de la 10 martie 2023, data la care a fost semnat de ambele părți și de la care a început aplicarea provizorie a acordului, până la încheierea sa.</w:t>
      </w:r>
    </w:p>
    <w:p w:rsidR="009E42A1" w:rsidRPr="005F6643" w:rsidRDefault="00D52F92" w:rsidP="009E42A1">
      <w:pPr>
        <w:spacing w:after="240"/>
        <w:jc w:val="both"/>
      </w:pPr>
      <w:r>
        <w:t>Pe lângă noul acord privind accesul navelor de pescui</w:t>
      </w:r>
      <w:r>
        <w:t>t din Seychelles la apele Mayotte, UE și Seychelles colaborează, de asemenea, din 2020 în temeiul unui acord de parteneriat în domeniul pescuitului sustenabil (APPS) și al protocolului aferent de punere în aplicare ce reglementează accesul navelor de pescu</w:t>
      </w:r>
      <w:r>
        <w:t xml:space="preserve">it ale UE la apele Republicii Seychelles și drepturile de pescuit conexe în schimbul sprijinului financiar și tehnic acordat de UE Republicii Seychelles [a se vedea procedura 2020/0002(NLE)]. În cadrul acestui APPS, UE și Republica Seychelles au convenit, </w:t>
      </w:r>
      <w:r>
        <w:t>de asemenea, asupra unui ansamblu de mecanisme și norme care vizează promovarea unui pescuit sustenabil, inclusiv prin îmbunătățirea controlului pescuitului și a colectării de date, prin intensificarea luptei împotriva pescuitului ilegal, nedeclarat și ner</w:t>
      </w:r>
      <w:r>
        <w:t xml:space="preserve">eglementat (INN) și printr-o cooperare mai strânsă în cadrul organizațiilor regionale de gestionare a pescuitului din care fac parte atât UE, cât și Seychelles. </w:t>
      </w:r>
    </w:p>
    <w:p w:rsidR="009E42A1" w:rsidRPr="005F6643" w:rsidRDefault="00D52F92" w:rsidP="009E42A1">
      <w:pPr>
        <w:spacing w:after="240"/>
        <w:jc w:val="both"/>
        <w:rPr>
          <w:b/>
        </w:rPr>
      </w:pPr>
      <w:r>
        <w:rPr>
          <w:b/>
        </w:rPr>
        <w:t>Noul acord privind accesul la pescuit</w:t>
      </w:r>
    </w:p>
    <w:p w:rsidR="009E42A1" w:rsidRPr="005F6643" w:rsidRDefault="00D52F92" w:rsidP="009E42A1">
      <w:pPr>
        <w:spacing w:after="240"/>
        <w:jc w:val="both"/>
      </w:pPr>
      <w:r>
        <w:t>Obiectivul acestui nou acord este de a permite consolida</w:t>
      </w:r>
      <w:r>
        <w:t xml:space="preserve">rea în continuare a unui parteneriat strategic cu Republica Seychelles și de a contribui la pescuitul responsabil în apele UE și la dezvoltarea politicii în domeniul pescuitului în Mayotte. Condițiile tehnice și financiare ale Acordului privind accesul la </w:t>
      </w:r>
      <w:r>
        <w:t>pescuit sunt aliniate, de asemenea, la cele din APPS cu Seychelles și protocolul de punere în aplicare a acestuia, semnat în 2020.</w:t>
      </w:r>
    </w:p>
    <w:p w:rsidR="009E42A1" w:rsidRPr="005F6643" w:rsidRDefault="00D52F92" w:rsidP="009E42A1">
      <w:pPr>
        <w:spacing w:after="240"/>
        <w:jc w:val="both"/>
      </w:pPr>
      <w:r>
        <w:t>Acest acord stabilește principiile, normele și procedurile care reglementează cooperarea în sectorul pescuitului în vederea a</w:t>
      </w:r>
      <w:r>
        <w:t xml:space="preserve">sigurării unui pescuit responsabil și a conservării și exploatării sustenabile a resurselor piscicole din apele din jurul Mayotte, pe baza principiului nediscriminării între diferitele flote care pescuiesc în acele ape. </w:t>
      </w:r>
    </w:p>
    <w:p w:rsidR="009E42A1" w:rsidRPr="005F6643" w:rsidRDefault="00D52F92" w:rsidP="009E42A1">
      <w:pPr>
        <w:spacing w:after="240"/>
        <w:jc w:val="both"/>
      </w:pPr>
      <w:r>
        <w:t>Condițiile care reglementează acces</w:t>
      </w:r>
      <w:r>
        <w:t xml:space="preserve">ul navelor de pescuit din Seychelles la aceste ape ale UE sunt detaliate în anexa la acord (posibilități de pescuit, autorizații de pescuit, monitorizare și </w:t>
      </w:r>
      <w:r>
        <w:lastRenderedPageBreak/>
        <w:t>observatori etc.). În temeiul acordului, opt nave aflate sub pavilionul Republicii Seychelles (nave</w:t>
      </w:r>
      <w:r>
        <w:t xml:space="preserve"> cu plasă-pungă) vor putea pescui în apele Mayotte, dincolo de 24 de mile marine de coastele sale. Posibilitățile de pescuit se bazează pe cele mai bune avize științifice disponibile (și, după caz, în limitele surplusului disponibil) și urmează recomandări</w:t>
      </w:r>
      <w:r>
        <w:t>le organizației regionale de gestionare a pescuitului responsabile, și anume Comisia Tonului din Oceanul Indian (IOTC). Taxele pentru capturi vor fi de 135 EUR pe tonă de ton capturat (cu plata anticipată, din partea fiecărei nave, a sumei de 13 500 EUR pe</w:t>
      </w:r>
      <w:r>
        <w:t xml:space="preserve">ntru primele 100 de tone).  </w:t>
      </w:r>
    </w:p>
    <w:p w:rsidR="009E42A1" w:rsidRPr="005F6643" w:rsidRDefault="00D52F92" w:rsidP="009E42A1">
      <w:pPr>
        <w:spacing w:after="240"/>
        <w:jc w:val="both"/>
      </w:pPr>
      <w:r>
        <w:t>Acordul prevede, de asemenea, modalitățile de monitorizare și control al pescuitului și de prevenire a pescuitului ilegal, nedeclarat și nereglementat.</w:t>
      </w:r>
    </w:p>
    <w:p w:rsidR="009E42A1" w:rsidRPr="005F6643" w:rsidRDefault="00D52F92" w:rsidP="009E42A1">
      <w:pPr>
        <w:spacing w:after="240"/>
        <w:jc w:val="both"/>
        <w:rPr>
          <w:b/>
        </w:rPr>
      </w:pPr>
      <w:r>
        <w:rPr>
          <w:b/>
        </w:rPr>
        <w:t>Poziția raportorului</w:t>
      </w:r>
    </w:p>
    <w:p w:rsidR="009E42A1" w:rsidRPr="005F6643" w:rsidRDefault="00D52F92" w:rsidP="009E42A1">
      <w:pPr>
        <w:spacing w:after="240"/>
        <w:jc w:val="both"/>
      </w:pPr>
      <w:r>
        <w:t>Acest acord privind accesul la pescuit este strategic,</w:t>
      </w:r>
      <w:r>
        <w:t xml:space="preserve"> asigurând coerența și reciprocitatea între UE și Seychelles în vederea exploatării sustenabile a resurselor marine din Oceanul Indian. Prin intermediul acordului, părțile doresc în special să consolideze monitorizarea activităților de pescuit și să se asi</w:t>
      </w:r>
      <w:r>
        <w:t>gure că pescuitul tonului și al speciilor de tipul tonului se desfășoară în mod sustenabil, garantând în același timp protecția altor specii, în special a rechinilor pelagici.</w:t>
      </w:r>
    </w:p>
    <w:p w:rsidR="009E42A1" w:rsidRPr="005F6643" w:rsidRDefault="00D52F92" w:rsidP="009E42A1">
      <w:pPr>
        <w:spacing w:after="240"/>
        <w:jc w:val="both"/>
      </w:pPr>
      <w:r>
        <w:t>Acesta este un acord echilibrat, deoarece navele din Seychelles și-ar continua a</w:t>
      </w:r>
      <w:r>
        <w:t>ctivitățile de pescuit, însă totodată ar fi benefic și pentru Mayotte și ar contribui la dezvoltarea sectorului local al pescuitului în această regiune ultraperiferică a UE.</w:t>
      </w:r>
    </w:p>
    <w:p w:rsidR="009E42A1" w:rsidRPr="005F6643" w:rsidRDefault="00D52F92" w:rsidP="009E42A1">
      <w:pPr>
        <w:spacing w:after="240"/>
        <w:jc w:val="both"/>
      </w:pPr>
      <w:r>
        <w:t>Cu toate acestea, raportorul consideră că, pe termen lung, Mayotte – și, în genera</w:t>
      </w:r>
      <w:r>
        <w:t xml:space="preserve">l, regiunile ultraperiferice – ar trebui să își poată dezvolta propriile flote de pescuit prin intermediul sprijinului UE și național. Acest Parlament a solicitat în repetate rânduri, fără succes, ca, pentru a asigura supraviețuirea sectorului pescuitului </w:t>
      </w:r>
      <w:r>
        <w:t>în regiunile ultraperiferice și în conformitate cu principiile tratamentului diferențiat pentru insulele și teritoriile mici menționate în ODD nr. 14, să se acorde sprijin prin intermediul FEAMPA sau ajutor de stat, în temeiul articolului 349 din TFUE, pen</w:t>
      </w:r>
      <w:r>
        <w:t xml:space="preserve">tru reînnoirea flotelor de pescuit artizanal ale regiunilor ultraperiferice care își debarcă toate capturile în porturile din regiunile ultraperiferice și contribuie la dezvoltarea sustenabilă locală. </w:t>
      </w:r>
    </w:p>
    <w:p w:rsidR="009E42A1" w:rsidRPr="005F6643" w:rsidRDefault="00D52F92" w:rsidP="009E42A1">
      <w:pPr>
        <w:spacing w:after="240"/>
        <w:jc w:val="both"/>
      </w:pPr>
      <w:r>
        <w:t>Regiunile ultraperiferice se confruntă cu provocări sp</w:t>
      </w:r>
      <w:r>
        <w:t>ecifice legate de depărtarea lor, de topografie, de piețele mici de care dispun și de climă, astfel cum se menționează la articolul 349 din TFUE; cu toate acestea, în cadrul PCP nu se ține seama suficient de caracteristicile specifice ale pescuitului în re</w:t>
      </w:r>
      <w:r>
        <w:t>giunile ultraperiferice. În special, în cadrul politicii externe a PCP, parteneriatele strategice trebuie să țină seama de interesele regiunilor învecinate și, prin urmare, afectate ale UE.</w:t>
      </w:r>
    </w:p>
    <w:p w:rsidR="009E42A1" w:rsidRPr="005F6643" w:rsidRDefault="00D52F92" w:rsidP="009E42A1">
      <w:pPr>
        <w:spacing w:after="240"/>
        <w:jc w:val="both"/>
      </w:pPr>
      <w:r>
        <w:t>Pescuitul în regiunile ultraperiferice este un motor economic majo</w:t>
      </w:r>
      <w:r>
        <w:t>r, o sursă de suveranitate alimentară și o activitate tradițională care face parte din cultura acestor teritorii, creează locuri de muncă pe mare și în sectorul prelucrării și contribuie la dinamismul industriei turistice, care constituie un motor economic</w:t>
      </w:r>
      <w:r>
        <w:t xml:space="preserve"> important al acestor regiuni.</w:t>
      </w:r>
    </w:p>
    <w:p w:rsidR="00903C8F" w:rsidRPr="005F6643" w:rsidRDefault="00D52F92" w:rsidP="009E42A1">
      <w:pPr>
        <w:rPr>
          <w:rFonts w:asciiTheme="minorHAnsi" w:eastAsiaTheme="minorHAnsi" w:hAnsiTheme="minorHAnsi" w:cstheme="minorBidi"/>
          <w:sz w:val="22"/>
          <w:szCs w:val="22"/>
        </w:rPr>
      </w:pPr>
      <w:r>
        <w:t>Având în vedere cele de mai sus, raportorul recomandă Parlamentului să aprobe încheierea acestui acord privind accesul la pescuit, reiterând totodată apelul său de a se acorda sprijin din partea UE sau ajutoare de stat pentru</w:t>
      </w:r>
      <w:r>
        <w:t xml:space="preserve"> reînnoirea și dezvoltarea sustenabilă a flotelor de pescuit din Mayotte și din regiunile ultraperiferice în general.</w:t>
      </w:r>
    </w:p>
    <w:p w:rsidR="00C14BE8" w:rsidRDefault="00C14BE8">
      <w:pPr>
        <w:widowControl/>
        <w:sectPr w:rsidR="00C14BE8" w:rsidSect="00C14B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14BE8" w:rsidRDefault="00D52F92" w:rsidP="000A0FF0">
      <w:pPr>
        <w:pStyle w:val="PageHeading"/>
        <w:rPr>
          <w:noProof/>
        </w:rPr>
      </w:pPr>
      <w:bookmarkStart w:id="4" w:name="FootprintPageRR"/>
      <w:bookmarkStart w:id="5" w:name="_Toc156470429"/>
      <w:r>
        <w:lastRenderedPageBreak/>
        <w:t>ANEXĂ: ENTITĂȚILE SAU PERSOANELE</w:t>
      </w:r>
      <w:r>
        <w:br/>
        <w:t>DE LA CARE RAPORTORUL A PRIMIT CONTRIBUȚII</w:t>
      </w:r>
      <w:bookmarkEnd w:id="5"/>
    </w:p>
    <w:p w:rsidR="00C14BE8" w:rsidRPr="0099178F" w:rsidRDefault="00D52F92" w:rsidP="00037518">
      <w:pPr>
        <w:pStyle w:val="Normal24a"/>
      </w:pPr>
      <w:r>
        <w:rPr>
          <w:rStyle w:val="HideTWBExt"/>
        </w:rPr>
        <w:t>&lt;FootprintIntro&gt;</w:t>
      </w:r>
      <w:r>
        <w:t>Raportorul declară pe propri</w:t>
      </w:r>
      <w:r>
        <w:t>a răspundere că nu a primit nicio contribuție de la nicio entitate sau persoană care trebuie menționată în prezenta anexă în conformitate cu articolul 8 din anexa I la Regulamentul de procedură.</w:t>
      </w:r>
      <w:r>
        <w:rPr>
          <w:rStyle w:val="HideTWBExt"/>
        </w:rPr>
        <w:t>&lt;/FootprintIntro&gt;</w:t>
      </w:r>
    </w:p>
    <w:p w:rsidR="00C14BE8" w:rsidRPr="00837211" w:rsidRDefault="00C14BE8" w:rsidP="00837211"/>
    <w:p w:rsidR="00C14BE8" w:rsidRPr="00C14BE8" w:rsidRDefault="00C14BE8" w:rsidP="00C14BE8"/>
    <w:bookmarkEnd w:id="4"/>
    <w:p w:rsidR="00AD27F5" w:rsidRPr="005F6643" w:rsidRDefault="00AD27F5">
      <w:pPr>
        <w:widowControl/>
      </w:pPr>
    </w:p>
    <w:sectPr w:rsidR="00AD27F5" w:rsidRPr="005F6643" w:rsidSect="00C14B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2F92">
      <w:r>
        <w:separator/>
      </w:r>
    </w:p>
  </w:endnote>
  <w:endnote w:type="continuationSeparator" w:id="0">
    <w:p w:rsidR="00000000" w:rsidRDefault="00D52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A01" w:rsidRPr="005F6643" w:rsidRDefault="00D52F92" w:rsidP="004F1A01">
    <w:pPr>
      <w:pStyle w:val="EPFooter"/>
    </w:pPr>
    <w:r w:rsidRPr="005F6643">
      <w:t>PE</w:t>
    </w:r>
    <w:r w:rsidRPr="005F6643">
      <w:rPr>
        <w:rStyle w:val="HideTWBExt"/>
      </w:rPr>
      <w:t>&lt;NoPE&gt;</w:t>
    </w:r>
    <w:r w:rsidRPr="005F6643">
      <w:t>757.013</w:t>
    </w:r>
    <w:r w:rsidRPr="005F6643">
      <w:rPr>
        <w:rStyle w:val="HideTWBExt"/>
      </w:rPr>
      <w:t>&lt;/NoPE&gt;&lt;Version&gt;</w:t>
    </w:r>
    <w:r w:rsidRPr="005F6643">
      <w:t>v02-00</w:t>
    </w:r>
    <w:r w:rsidRPr="005F6643">
      <w:rPr>
        <w:rStyle w:val="HideTWBExt"/>
      </w:rPr>
      <w:t>&lt;/Version&gt;</w:t>
    </w:r>
    <w:r w:rsidRPr="005F6643">
      <w:tab/>
    </w:r>
    <w:r w:rsidRPr="005F6643">
      <w:fldChar w:fldCharType="begin"/>
    </w:r>
    <w:r w:rsidRPr="005F6643">
      <w:instrText xml:space="preserve"> PAGE  \* MERGEFORMAT </w:instrText>
    </w:r>
    <w:r w:rsidRPr="005F6643">
      <w:fldChar w:fldCharType="separate"/>
    </w:r>
    <w:r>
      <w:rPr>
        <w:noProof/>
      </w:rPr>
      <w:t>8</w:t>
    </w:r>
    <w:r w:rsidRPr="005F6643">
      <w:fldChar w:fldCharType="end"/>
    </w:r>
    <w:r w:rsidRPr="005F6643">
      <w:t>/</w:t>
    </w:r>
    <w:r w:rsidR="00C14BE8">
      <w:fldChar w:fldCharType="begin"/>
    </w:r>
    <w:r>
      <w:instrText xml:space="preserve"> NUMPAGES  \* MERGEFORMAT </w:instrText>
    </w:r>
    <w:r w:rsidR="00C14BE8">
      <w:fldChar w:fldCharType="separate"/>
    </w:r>
    <w:r>
      <w:rPr>
        <w:noProof/>
      </w:rPr>
      <w:t>8</w:t>
    </w:r>
    <w:r w:rsidR="00C14BE8">
      <w:rPr>
        <w:noProof/>
      </w:rPr>
      <w:fldChar w:fldCharType="end"/>
    </w:r>
    <w:r w:rsidRPr="005F6643">
      <w:tab/>
    </w:r>
    <w:r w:rsidRPr="005F6643">
      <w:rPr>
        <w:rStyle w:val="HideTWBExt"/>
      </w:rPr>
      <w:t>&lt;PathFdR&gt;</w:t>
    </w:r>
    <w:r w:rsidRPr="005F6643">
      <w:t>PR\1293168RO.docx</w:t>
    </w:r>
    <w:r w:rsidRPr="005F6643">
      <w:rPr>
        <w:rStyle w:val="HideTWBExt"/>
      </w:rPr>
      <w:t>&lt;/PathFdR&gt;</w:t>
    </w:r>
  </w:p>
  <w:p w:rsidR="0085501C" w:rsidRPr="005F6643" w:rsidRDefault="00D52F92" w:rsidP="004F1A01">
    <w:pPr>
      <w:pStyle w:val="EPFooter2"/>
    </w:pPr>
    <w:r w:rsidRPr="005F664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A01" w:rsidRPr="005F6643" w:rsidRDefault="00D52F92" w:rsidP="004F1A01">
    <w:pPr>
      <w:pStyle w:val="EPFooter"/>
    </w:pPr>
    <w:r w:rsidRPr="005F6643">
      <w:rPr>
        <w:rStyle w:val="HideTWBExt"/>
      </w:rPr>
      <w:t>&lt;PathFdR&gt;</w:t>
    </w:r>
    <w:r w:rsidRPr="005F6643">
      <w:t>PR\1293168RO.docx</w:t>
    </w:r>
    <w:r w:rsidRPr="005F6643">
      <w:rPr>
        <w:rStyle w:val="HideTWBExt"/>
      </w:rPr>
      <w:t>&lt;/PathFdR&gt;</w:t>
    </w:r>
    <w:r w:rsidRPr="005F6643">
      <w:tab/>
    </w:r>
    <w:r w:rsidRPr="005F6643">
      <w:fldChar w:fldCharType="begin"/>
    </w:r>
    <w:r w:rsidRPr="005F6643">
      <w:instrText xml:space="preserve"> PAGE  \* MERGEFORMAT </w:instrText>
    </w:r>
    <w:r w:rsidRPr="005F6643">
      <w:fldChar w:fldCharType="separate"/>
    </w:r>
    <w:r>
      <w:rPr>
        <w:noProof/>
      </w:rPr>
      <w:t>8</w:t>
    </w:r>
    <w:r w:rsidRPr="005F6643">
      <w:fldChar w:fldCharType="end"/>
    </w:r>
    <w:r w:rsidRPr="005F6643">
      <w:t>/</w:t>
    </w:r>
    <w:r w:rsidR="00C14BE8">
      <w:fldChar w:fldCharType="begin"/>
    </w:r>
    <w:r>
      <w:instrText xml:space="preserve"> NUMPAGES  \* MERGEFORMAT </w:instrText>
    </w:r>
    <w:r w:rsidR="00C14BE8">
      <w:fldChar w:fldCharType="separate"/>
    </w:r>
    <w:r>
      <w:rPr>
        <w:noProof/>
      </w:rPr>
      <w:t>8</w:t>
    </w:r>
    <w:r w:rsidR="00C14BE8">
      <w:rPr>
        <w:noProof/>
      </w:rPr>
      <w:fldChar w:fldCharType="end"/>
    </w:r>
    <w:r w:rsidRPr="005F6643">
      <w:tab/>
      <w:t>PE</w:t>
    </w:r>
    <w:r w:rsidRPr="005F6643">
      <w:rPr>
        <w:rStyle w:val="HideTWBExt"/>
      </w:rPr>
      <w:t>&lt;NoPE&gt;</w:t>
    </w:r>
    <w:r w:rsidRPr="005F6643">
      <w:t>757.013</w:t>
    </w:r>
    <w:r w:rsidRPr="005F6643">
      <w:rPr>
        <w:rStyle w:val="HideTWBExt"/>
      </w:rPr>
      <w:t>&lt;/NoPE&gt;&lt;Version&gt;</w:t>
    </w:r>
    <w:r w:rsidRPr="005F6643">
      <w:t>v02-00</w:t>
    </w:r>
    <w:r w:rsidRPr="005F6643">
      <w:rPr>
        <w:rStyle w:val="HideTWBExt"/>
      </w:rPr>
      <w:t>&lt;/Version&gt;</w:t>
    </w:r>
  </w:p>
  <w:p w:rsidR="0085501C" w:rsidRPr="005F6643" w:rsidRDefault="00D52F92" w:rsidP="004F1A01">
    <w:pPr>
      <w:pStyle w:val="EPFooter2"/>
    </w:pPr>
    <w:r w:rsidRPr="005F6643">
      <w:tab/>
    </w:r>
    <w:r w:rsidRPr="005F664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A01" w:rsidRPr="005F6643" w:rsidRDefault="00D52F92" w:rsidP="004F1A01">
    <w:pPr>
      <w:pStyle w:val="EPFooter"/>
    </w:pPr>
    <w:r w:rsidRPr="005F6643">
      <w:rPr>
        <w:rStyle w:val="HideTWBExt"/>
      </w:rPr>
      <w:t>&lt;PathFdR&gt;</w:t>
    </w:r>
    <w:r w:rsidRPr="005F6643">
      <w:t>PR\1293168RO.docx</w:t>
    </w:r>
    <w:r w:rsidRPr="005F6643">
      <w:rPr>
        <w:rStyle w:val="HideTWBExt"/>
      </w:rPr>
      <w:t>&lt;/PathFdR&gt;</w:t>
    </w:r>
    <w:r w:rsidRPr="005F6643">
      <w:tab/>
    </w:r>
    <w:r w:rsidRPr="005F6643">
      <w:tab/>
      <w:t>PE</w:t>
    </w:r>
    <w:r w:rsidRPr="005F6643">
      <w:rPr>
        <w:rStyle w:val="HideTWBExt"/>
      </w:rPr>
      <w:t>&lt;NoPE&gt;</w:t>
    </w:r>
    <w:r w:rsidRPr="005F6643">
      <w:t>757.013</w:t>
    </w:r>
    <w:r w:rsidRPr="005F6643">
      <w:rPr>
        <w:rStyle w:val="HideTWBExt"/>
      </w:rPr>
      <w:t>&lt;/NoPE&gt;&lt;Version&gt;</w:t>
    </w:r>
    <w:r w:rsidRPr="005F6643">
      <w:t>v02-00</w:t>
    </w:r>
    <w:r w:rsidRPr="005F6643">
      <w:rPr>
        <w:rStyle w:val="HideTWBExt"/>
      </w:rPr>
      <w:t>&lt;/Version&gt;</w:t>
    </w:r>
  </w:p>
  <w:p w:rsidR="0085501C" w:rsidRPr="005F6643" w:rsidRDefault="00D52F92" w:rsidP="004F1A01">
    <w:pPr>
      <w:pStyle w:val="EPFooter2"/>
    </w:pPr>
    <w:r w:rsidRPr="005F6643">
      <w:t>RO</w:t>
    </w:r>
    <w:r w:rsidRPr="005F6643">
      <w:tab/>
    </w:r>
    <w:r w:rsidRPr="005F6643">
      <w:rPr>
        <w:b w:val="0"/>
        <w:i/>
        <w:color w:val="C0C0C0"/>
        <w:sz w:val="22"/>
      </w:rPr>
      <w:t>Unită în diversitate</w:t>
    </w:r>
    <w:r w:rsidRPr="005F664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2F92">
      <w:r>
        <w:separator/>
      </w:r>
    </w:p>
  </w:footnote>
  <w:footnote w:type="continuationSeparator" w:id="0">
    <w:p w:rsidR="00000000" w:rsidRDefault="00D52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BE8" w:rsidRDefault="00C14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BE8" w:rsidRDefault="00C14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BE8" w:rsidRDefault="00C14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MNU" w:val=" 1"/>
    <w:docVar w:name="CIT1MNU" w:val=" 2"/>
    <w:docVar w:name="COMKEY" w:val="PECH"/>
    <w:docVar w:name="CONSENTMNU" w:val=" 1"/>
    <w:docVar w:name="CONTRIBUTIONMNU" w:val=" 2"/>
    <w:docVar w:name="LastEditedSection" w:val=" 1"/>
    <w:docVar w:name="strDocTypeID" w:val="PR_NLE-AP_Agreement"/>
    <w:docVar w:name="strSubDir" w:val="1293"/>
    <w:docVar w:name="TITLEMNU" w:val=" 2"/>
    <w:docVar w:name="TXTAUTHOR" w:val="Pierre Karleskind"/>
    <w:docVar w:name="TXTLANGUE" w:val="RO"/>
    <w:docVar w:name="TXTLANGUEMIN" w:val="ro"/>
    <w:docVar w:name="TXTNRC" w:val="0051/2023"/>
    <w:docVar w:name="TXTNRCOUNC" w:val="15048/2022"/>
    <w:docVar w:name="TXTNRNLE" w:val="2022/0362"/>
    <w:docVar w:name="TXTNRPE" w:val="757.013"/>
    <w:docVar w:name="TXTPEorAP" w:val="PE"/>
    <w:docVar w:name="TXTROUTE" w:val="PR\1293168RO.docx"/>
    <w:docVar w:name="TXTTITLE" w:val="on the conclusion of an Agreement between the European Union and the Republic of Seychelles on access for Seychelles fishing vessels to the waters of Mayotte"/>
    <w:docVar w:name="TXTVERSION" w:val="02-00"/>
  </w:docVars>
  <w:rsids>
    <w:rsidRoot w:val="001D0068"/>
    <w:rsid w:val="00001D52"/>
    <w:rsid w:val="0000443F"/>
    <w:rsid w:val="000053E3"/>
    <w:rsid w:val="00016E55"/>
    <w:rsid w:val="00037518"/>
    <w:rsid w:val="00055A81"/>
    <w:rsid w:val="0006167F"/>
    <w:rsid w:val="00061EFE"/>
    <w:rsid w:val="0006213E"/>
    <w:rsid w:val="00095D8B"/>
    <w:rsid w:val="000A0FF0"/>
    <w:rsid w:val="000A2F73"/>
    <w:rsid w:val="000C123D"/>
    <w:rsid w:val="000D78AF"/>
    <w:rsid w:val="00174115"/>
    <w:rsid w:val="0018057A"/>
    <w:rsid w:val="00180664"/>
    <w:rsid w:val="001874D8"/>
    <w:rsid w:val="001C24D6"/>
    <w:rsid w:val="001D0068"/>
    <w:rsid w:val="001D02E3"/>
    <w:rsid w:val="001F3FEB"/>
    <w:rsid w:val="001F7BBE"/>
    <w:rsid w:val="0021049A"/>
    <w:rsid w:val="0022685A"/>
    <w:rsid w:val="002E2E20"/>
    <w:rsid w:val="002F5A83"/>
    <w:rsid w:val="003026FC"/>
    <w:rsid w:val="003072BE"/>
    <w:rsid w:val="00337C92"/>
    <w:rsid w:val="00363B94"/>
    <w:rsid w:val="003B598C"/>
    <w:rsid w:val="004174FC"/>
    <w:rsid w:val="00431E27"/>
    <w:rsid w:val="00460BD6"/>
    <w:rsid w:val="004859B3"/>
    <w:rsid w:val="004C083C"/>
    <w:rsid w:val="004C7ECD"/>
    <w:rsid w:val="004D7B76"/>
    <w:rsid w:val="004E1650"/>
    <w:rsid w:val="004F1A01"/>
    <w:rsid w:val="00522F99"/>
    <w:rsid w:val="0053367A"/>
    <w:rsid w:val="00544D48"/>
    <w:rsid w:val="005877C0"/>
    <w:rsid w:val="005A6B14"/>
    <w:rsid w:val="005D0B97"/>
    <w:rsid w:val="005E2DA5"/>
    <w:rsid w:val="005F5D6C"/>
    <w:rsid w:val="005F662F"/>
    <w:rsid w:val="005F6643"/>
    <w:rsid w:val="006132CE"/>
    <w:rsid w:val="00613F2E"/>
    <w:rsid w:val="006A1A75"/>
    <w:rsid w:val="006A2CF5"/>
    <w:rsid w:val="006F1B6F"/>
    <w:rsid w:val="007046F9"/>
    <w:rsid w:val="00763ABB"/>
    <w:rsid w:val="0077151E"/>
    <w:rsid w:val="00791637"/>
    <w:rsid w:val="00791E24"/>
    <w:rsid w:val="007D67BC"/>
    <w:rsid w:val="0080122F"/>
    <w:rsid w:val="00822206"/>
    <w:rsid w:val="008368CB"/>
    <w:rsid w:val="00837211"/>
    <w:rsid w:val="0085501C"/>
    <w:rsid w:val="00893FBD"/>
    <w:rsid w:val="008B75A4"/>
    <w:rsid w:val="008D23C6"/>
    <w:rsid w:val="008D3030"/>
    <w:rsid w:val="008E3848"/>
    <w:rsid w:val="00903C8F"/>
    <w:rsid w:val="00924EE0"/>
    <w:rsid w:val="009436AF"/>
    <w:rsid w:val="009612AA"/>
    <w:rsid w:val="0099178F"/>
    <w:rsid w:val="009C167C"/>
    <w:rsid w:val="009E39A7"/>
    <w:rsid w:val="009E42A1"/>
    <w:rsid w:val="00A415B7"/>
    <w:rsid w:val="00AD27F5"/>
    <w:rsid w:val="00AD5D0C"/>
    <w:rsid w:val="00AE2FD0"/>
    <w:rsid w:val="00B31D18"/>
    <w:rsid w:val="00B42885"/>
    <w:rsid w:val="00B50C20"/>
    <w:rsid w:val="00B6769C"/>
    <w:rsid w:val="00B73068"/>
    <w:rsid w:val="00BB22CC"/>
    <w:rsid w:val="00BB41C8"/>
    <w:rsid w:val="00BE5E72"/>
    <w:rsid w:val="00BF0A0F"/>
    <w:rsid w:val="00BF2E15"/>
    <w:rsid w:val="00BF7F55"/>
    <w:rsid w:val="00C05DD8"/>
    <w:rsid w:val="00C14BE8"/>
    <w:rsid w:val="00C15447"/>
    <w:rsid w:val="00C306B0"/>
    <w:rsid w:val="00C35D01"/>
    <w:rsid w:val="00C85D0F"/>
    <w:rsid w:val="00CB5651"/>
    <w:rsid w:val="00CC20CB"/>
    <w:rsid w:val="00CF44DF"/>
    <w:rsid w:val="00D03B81"/>
    <w:rsid w:val="00D04E0B"/>
    <w:rsid w:val="00D52F92"/>
    <w:rsid w:val="00D62DA0"/>
    <w:rsid w:val="00D6543C"/>
    <w:rsid w:val="00DF4699"/>
    <w:rsid w:val="00DF594D"/>
    <w:rsid w:val="00E14FEE"/>
    <w:rsid w:val="00E71368"/>
    <w:rsid w:val="00E93816"/>
    <w:rsid w:val="00EA59ED"/>
    <w:rsid w:val="00EF48F2"/>
    <w:rsid w:val="00F04010"/>
    <w:rsid w:val="00F31608"/>
    <w:rsid w:val="00F34062"/>
    <w:rsid w:val="00FC699E"/>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852406-FD29-44C1-B665-629B0BC0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F31608"/>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903C8F"/>
    <w:pPr>
      <w:tabs>
        <w:tab w:val="right" w:pos="454"/>
        <w:tab w:val="left" w:pos="737"/>
      </w:tabs>
      <w:ind w:left="737" w:hanging="737"/>
    </w:pPr>
    <w:rPr>
      <w:snapToGrid w:val="0"/>
      <w:sz w:val="18"/>
      <w:lang w:eastAsia="en-US"/>
    </w:rPr>
  </w:style>
  <w:style w:type="paragraph" w:customStyle="1" w:styleId="Lgendetitre">
    <w:name w:val="Légende titre"/>
    <w:basedOn w:val="Normal"/>
    <w:rsid w:val="00903C8F"/>
    <w:pPr>
      <w:spacing w:before="240" w:after="240"/>
    </w:pPr>
    <w:rPr>
      <w:b/>
      <w:i/>
      <w:snapToGrid w:val="0"/>
      <w:lang w:eastAsia="en-US"/>
    </w:rPr>
  </w:style>
  <w:style w:type="paragraph" w:customStyle="1" w:styleId="Lgendestandard">
    <w:name w:val="Légende standard"/>
    <w:basedOn w:val="Normal"/>
    <w:rsid w:val="00903C8F"/>
    <w:rPr>
      <w:sz w:val="18"/>
    </w:rPr>
  </w:style>
  <w:style w:type="paragraph" w:styleId="Footer">
    <w:name w:val="footer"/>
    <w:basedOn w:val="Normal"/>
    <w:link w:val="FooterChar"/>
    <w:semiHidden/>
    <w:rsid w:val="003026FC"/>
    <w:pPr>
      <w:tabs>
        <w:tab w:val="center" w:pos="4513"/>
        <w:tab w:val="right" w:pos="9026"/>
      </w:tabs>
    </w:pPr>
  </w:style>
  <w:style w:type="character" w:customStyle="1" w:styleId="FooterChar">
    <w:name w:val="Footer Char"/>
    <w:basedOn w:val="DefaultParagraphFont"/>
    <w:link w:val="Footer"/>
    <w:semiHidden/>
    <w:rsid w:val="003026FC"/>
    <w:rPr>
      <w:sz w:val="24"/>
    </w:rPr>
  </w:style>
  <w:style w:type="paragraph" w:customStyle="1" w:styleId="Normal24a">
    <w:name w:val="Normal24a"/>
    <w:basedOn w:val="Normal"/>
    <w:rsid w:val="00791E24"/>
    <w:pPr>
      <w:spacing w:after="480"/>
    </w:pPr>
  </w:style>
  <w:style w:type="paragraph" w:customStyle="1" w:styleId="NormalBoldCenter">
    <w:name w:val="NormalBoldCenter"/>
    <w:basedOn w:val="Normal"/>
    <w:rsid w:val="00791E24"/>
    <w:pPr>
      <w:jc w:val="center"/>
    </w:pPr>
    <w:rPr>
      <w:b/>
    </w:rPr>
  </w:style>
  <w:style w:type="paragraph" w:styleId="BalloonText">
    <w:name w:val="Balloon Text"/>
    <w:basedOn w:val="Normal"/>
    <w:link w:val="BalloonTextChar"/>
    <w:semiHidden/>
    <w:unhideWhenUsed/>
    <w:rsid w:val="00AD27F5"/>
    <w:rPr>
      <w:rFonts w:ascii="Segoe UI" w:hAnsi="Segoe UI" w:cs="Segoe UI"/>
      <w:sz w:val="18"/>
      <w:szCs w:val="18"/>
    </w:rPr>
  </w:style>
  <w:style w:type="character" w:customStyle="1" w:styleId="BalloonTextChar">
    <w:name w:val="Balloon Text Char"/>
    <w:basedOn w:val="DefaultParagraphFont"/>
    <w:link w:val="BalloonText"/>
    <w:semiHidden/>
    <w:rsid w:val="00AD2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D4F78-8EBE-4314-990D-164591BB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8260</Characters>
  <Application>Microsoft Office Word</Application>
  <DocSecurity>0</DocSecurity>
  <Lines>168</Lines>
  <Paragraphs>73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Sylvia</dc:creator>
  <cp:lastModifiedBy>OBADA Liliana</cp:lastModifiedBy>
  <cp:revision>2</cp:revision>
  <cp:lastPrinted>2002-12-11T09:25:00Z</cp:lastPrinted>
  <dcterms:created xsi:type="dcterms:W3CDTF">2024-01-18T10:40:00Z</dcterms:created>
  <dcterms:modified xsi:type="dcterms:W3CDTF">2024-01-18T10:40:00Z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1293168</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9.16.1 Build [20230920]</vt:lpwstr>
  </property>
  <property fmtid="{D5CDD505-2E9C-101B-9397-08002B2CF9AE}" pid="9" name="FooterPath">
    <vt:lpwstr>PR\1293168RO.docx</vt:lpwstr>
  </property>
  <property fmtid="{D5CDD505-2E9C-101B-9397-08002B2CF9AE}" pid="10" name="LastEdited with">
    <vt:lpwstr>9.17.0 Build [20231101]</vt:lpwstr>
  </property>
  <property fmtid="{D5CDD505-2E9C-101B-9397-08002B2CF9AE}" pid="11" name="PE number">
    <vt:lpwstr>757.013</vt:lpwstr>
  </property>
  <property fmtid="{D5CDD505-2E9C-101B-9397-08002B2CF9AE}" pid="12" name="SDLStudio">
    <vt:lpwstr/>
  </property>
  <property fmtid="{D5CDD505-2E9C-101B-9397-08002B2CF9AE}" pid="13" name="SendToEpades">
    <vt:lpwstr>OK - 2023/12/18 12:10</vt:lpwstr>
  </property>
</Properties>
</file>