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C05DD8" w:rsidRPr="008C2796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C05DD8" w:rsidRPr="008C2796" w:rsidRDefault="001B4AF5" w:rsidP="00C85D0F">
            <w:pPr>
              <w:pStyle w:val="EPName"/>
            </w:pPr>
            <w:bookmarkStart w:id="0" w:name="_GoBack"/>
            <w:bookmarkEnd w:id="0"/>
            <w:r>
              <w:t>Evropský parlament</w:t>
            </w:r>
          </w:p>
          <w:p w:rsidR="00C05DD8" w:rsidRPr="008C2796" w:rsidRDefault="00851B14" w:rsidP="00851B14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:rsidR="00C05DD8" w:rsidRPr="008C2796" w:rsidRDefault="00C05DD8" w:rsidP="00C85D0F">
            <w:pPr>
              <w:pStyle w:val="EPLogo"/>
            </w:pPr>
            <w:r w:rsidRPr="008C2796">
              <w:rPr>
                <w:noProof/>
                <w:lang w:eastAsia="cs-CZ"/>
              </w:rPr>
              <w:drawing>
                <wp:inline distT="0" distB="0" distL="0" distR="0" wp14:anchorId="4B8BE00E" wp14:editId="501F4E6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2AA" w:rsidRPr="008C2796" w:rsidRDefault="009612AA" w:rsidP="009612AA">
      <w:pPr>
        <w:pStyle w:val="LineTop"/>
      </w:pPr>
    </w:p>
    <w:p w:rsidR="009612AA" w:rsidRPr="008C2796" w:rsidRDefault="009612AA" w:rsidP="009612AA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{PECH}</w:t>
      </w:r>
      <w:r>
        <w:t>Výbor pro rybolov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9612AA" w:rsidRPr="008C2796" w:rsidRDefault="009612AA" w:rsidP="009612AA">
      <w:pPr>
        <w:pStyle w:val="LineBottom"/>
      </w:pPr>
    </w:p>
    <w:p w:rsidR="00363B94" w:rsidRPr="008C2796" w:rsidRDefault="00363B94">
      <w:pPr>
        <w:pStyle w:val="CoverReference"/>
      </w:pPr>
      <w:r>
        <w:rPr>
          <w:rStyle w:val="HideTWBExt"/>
          <w:b w:val="0"/>
        </w:rPr>
        <w:t>&lt;RefProc&gt;</w:t>
      </w:r>
      <w:r>
        <w:t>2024/0159</w:t>
      </w:r>
      <w:r>
        <w:rPr>
          <w:rStyle w:val="HideTWBExt"/>
          <w:b w:val="0"/>
        </w:rPr>
        <w:t>&lt;/RefProc&gt;&lt;RefTypeProc&gt;</w:t>
      </w:r>
      <w:r>
        <w:t>(NLE)</w:t>
      </w:r>
      <w:r>
        <w:rPr>
          <w:rStyle w:val="HideTWBExt"/>
          <w:b w:val="0"/>
        </w:rPr>
        <w:t>&lt;/RefTypeProc&gt;</w:t>
      </w:r>
    </w:p>
    <w:p w:rsidR="00363B94" w:rsidRPr="008C2796" w:rsidRDefault="00363B94">
      <w:pPr>
        <w:pStyle w:val="CoverDate"/>
      </w:pPr>
      <w:r>
        <w:rPr>
          <w:rStyle w:val="HideTWBExt"/>
        </w:rPr>
        <w:t>&lt;Date&gt;</w:t>
      </w:r>
      <w:r>
        <w:t>14.11.2024</w:t>
      </w:r>
      <w:r>
        <w:rPr>
          <w:rStyle w:val="HideTWBExt"/>
        </w:rPr>
        <w:t>&lt;/Date&gt;</w:t>
      </w:r>
    </w:p>
    <w:p w:rsidR="00363B94" w:rsidRPr="008C2796" w:rsidRDefault="00363B94">
      <w:pPr>
        <w:pStyle w:val="CoverDocType"/>
      </w:pPr>
      <w:r>
        <w:rPr>
          <w:rStyle w:val="HideTWBExt"/>
          <w:b w:val="0"/>
        </w:rPr>
        <w:t>&lt;RefProcLect&gt;</w:t>
      </w:r>
      <w:r>
        <w:t>***</w:t>
      </w:r>
      <w:r>
        <w:rPr>
          <w:rStyle w:val="HideTWBExt"/>
          <w:b w:val="0"/>
        </w:rPr>
        <w:t>&lt;/RefProcLect&gt;</w:t>
      </w:r>
    </w:p>
    <w:p w:rsidR="00363B94" w:rsidRPr="008C2796" w:rsidRDefault="00363B94">
      <w:pPr>
        <w:pStyle w:val="CoverDocType24a"/>
      </w:pPr>
      <w:r>
        <w:rPr>
          <w:rStyle w:val="HideTWBExt"/>
          <w:b w:val="0"/>
        </w:rPr>
        <w:t>&lt;TitreType&gt;</w:t>
      </w:r>
      <w:r>
        <w:t>NÁVRH DOPORUČENÍ</w:t>
      </w:r>
      <w:r>
        <w:rPr>
          <w:rStyle w:val="HideTWBExt"/>
          <w:b w:val="0"/>
        </w:rPr>
        <w:t>&lt;/TitreType&gt;</w:t>
      </w:r>
    </w:p>
    <w:p w:rsidR="00851B14" w:rsidRPr="008C2796" w:rsidRDefault="00363B94" w:rsidP="00851B14">
      <w:pPr>
        <w:pStyle w:val="CoverNormal"/>
        <w:rPr>
          <w:bCs/>
          <w:sz w:val="23"/>
          <w:szCs w:val="23"/>
        </w:rPr>
      </w:pPr>
      <w:r>
        <w:rPr>
          <w:rStyle w:val="HideTWBExt"/>
        </w:rPr>
        <w:t>&lt;Titre&gt;</w:t>
      </w:r>
      <w:r>
        <w:t>k návrhu rozhodnutí Rady o uzavření Protokolu (2024–2029) o provádění Dohody mezi Evropským společenstvím a Republikou Guinea-Bissau o partnerství v odvětví rybolovu jménem Evropské unie</w:t>
      </w:r>
    </w:p>
    <w:p w:rsidR="00363B94" w:rsidRPr="008C2796" w:rsidRDefault="00851B14" w:rsidP="00851B14">
      <w:pPr>
        <w:pStyle w:val="CoverNormal"/>
      </w:pPr>
      <w:r>
        <w:rPr>
          <w:sz w:val="23"/>
        </w:rPr>
        <w:t xml:space="preserve">  </w:t>
      </w:r>
      <w:r>
        <w:rPr>
          <w:rStyle w:val="HideTWBExt"/>
        </w:rPr>
        <w:t>&lt;/Titre&gt;</w:t>
      </w:r>
    </w:p>
    <w:p w:rsidR="00363B94" w:rsidRPr="008C2796" w:rsidRDefault="00363B94">
      <w:pPr>
        <w:pStyle w:val="CoverNormal24a"/>
      </w:pPr>
      <w:r>
        <w:rPr>
          <w:rStyle w:val="HideTWBExt"/>
        </w:rPr>
        <w:t>&lt;DocRef&gt;</w:t>
      </w:r>
      <w:r>
        <w:t>(12475/2024 – C10</w:t>
      </w:r>
      <w:r>
        <w:noBreakHyphen/>
        <w:t>0108/2024 – 2024/0159(NLE))</w:t>
      </w:r>
      <w:r>
        <w:rPr>
          <w:rStyle w:val="HideTWBExt"/>
        </w:rPr>
        <w:t>&lt;/DocRef&gt;</w:t>
      </w:r>
    </w:p>
    <w:p w:rsidR="00363B94" w:rsidRPr="008C2796" w:rsidRDefault="00363B94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{PECH}</w:t>
      </w:r>
      <w:r>
        <w:t>Výbor pro rybolov</w:t>
      </w:r>
      <w:r>
        <w:rPr>
          <w:rStyle w:val="HideTWBExt"/>
        </w:rPr>
        <w:t>&lt;/Commission&gt;</w:t>
      </w:r>
    </w:p>
    <w:p w:rsidR="00363B94" w:rsidRPr="008C2796" w:rsidRDefault="00851B14">
      <w:pPr>
        <w:pStyle w:val="CoverNormal24a"/>
      </w:pPr>
      <w:r>
        <w:t xml:space="preserve">Zpravodaj: </w:t>
      </w:r>
      <w:r>
        <w:rPr>
          <w:rStyle w:val="HideTWBExt"/>
        </w:rPr>
        <w:t>&lt;Depute&gt;</w:t>
      </w:r>
      <w:r>
        <w:t>Eric Sargiacomo</w:t>
      </w:r>
      <w:r>
        <w:rPr>
          <w:rStyle w:val="HideTWBExt"/>
        </w:rPr>
        <w:t>&lt;/Depute&gt;</w:t>
      </w:r>
    </w:p>
    <w:p w:rsidR="00B42885" w:rsidRPr="008C2796" w:rsidRDefault="00B42885" w:rsidP="00B42885">
      <w:pPr>
        <w:pStyle w:val="CoverNormal"/>
      </w:pPr>
    </w:p>
    <w:p w:rsidR="00851B14" w:rsidRPr="008C2796" w:rsidRDefault="00363B94" w:rsidP="00016E55">
      <w:r>
        <w:br w:type="page"/>
      </w:r>
      <w:fldSimple w:instr=" TITLE  \* MERGEFORMAT ">
        <w:r w:rsidR="00815B47">
          <w:t>PR_NLE-AP_Agreement</w:t>
        </w:r>
      </w:fldSimple>
    </w:p>
    <w:p w:rsidR="00851B14" w:rsidRPr="008C2796" w:rsidRDefault="00851B14" w:rsidP="00016E55"/>
    <w:p w:rsidR="00851B14" w:rsidRPr="008C2796" w:rsidRDefault="00851B14" w:rsidP="00016E55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851B14" w:rsidRPr="008C2796">
        <w:tc>
          <w:tcPr>
            <w:tcW w:w="5811" w:type="dxa"/>
          </w:tcPr>
          <w:p w:rsidR="00851B14" w:rsidRPr="008C2796" w:rsidRDefault="00851B14" w:rsidP="00016E55">
            <w:pPr>
              <w:pStyle w:val="Lgendetitre"/>
            </w:pPr>
            <w:r>
              <w:t>Vysvětlivky</w:t>
            </w:r>
          </w:p>
        </w:tc>
      </w:tr>
      <w:tr w:rsidR="00851B14" w:rsidRPr="008C2796" w:rsidTr="00114A3C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851B14" w:rsidRPr="008C2796" w:rsidRDefault="00851B14" w:rsidP="00343C61">
            <w:pPr>
              <w:pStyle w:val="Lgendesigne"/>
            </w:pPr>
            <w:r>
              <w:tab/>
              <w:t>*</w:t>
            </w:r>
            <w:r>
              <w:tab/>
              <w:t>Postup konzultace</w:t>
            </w:r>
            <w:r>
              <w:tab/>
            </w:r>
          </w:p>
          <w:p w:rsidR="00851B14" w:rsidRPr="008C2796" w:rsidRDefault="00851B14" w:rsidP="00343C61">
            <w:pPr>
              <w:pStyle w:val="Lgendesigne"/>
            </w:pPr>
            <w:r>
              <w:tab/>
              <w:t>***</w:t>
            </w:r>
            <w:r>
              <w:tab/>
              <w:t>Postup souhlasu</w:t>
            </w:r>
          </w:p>
          <w:p w:rsidR="00851B14" w:rsidRPr="008C2796" w:rsidRDefault="00851B14" w:rsidP="00343C61">
            <w:pPr>
              <w:pStyle w:val="Lgendesigne"/>
            </w:pPr>
            <w:r>
              <w:tab/>
              <w:t>***I</w:t>
            </w:r>
            <w:r>
              <w:tab/>
              <w:t>Řádný legislativní postup (první čtení)</w:t>
            </w:r>
          </w:p>
          <w:p w:rsidR="00851B14" w:rsidRPr="008C2796" w:rsidRDefault="00851B14" w:rsidP="00343C61">
            <w:pPr>
              <w:pStyle w:val="Lgendesigne"/>
            </w:pPr>
            <w:r>
              <w:tab/>
              <w:t>***II</w:t>
            </w:r>
            <w:r>
              <w:tab/>
              <w:t>Řádný legislativní postup (druhé čtení)</w:t>
            </w:r>
          </w:p>
          <w:p w:rsidR="00851B14" w:rsidRPr="008C2796" w:rsidRDefault="00851B14" w:rsidP="00343C61">
            <w:pPr>
              <w:pStyle w:val="Lgendesigne"/>
              <w:rPr>
                <w:noProof/>
              </w:rPr>
            </w:pPr>
            <w:r>
              <w:tab/>
              <w:t>***III</w:t>
            </w:r>
            <w:r>
              <w:tab/>
              <w:t>Řádný legislativní postup (třetí čtení)</w:t>
            </w:r>
          </w:p>
          <w:p w:rsidR="00851B14" w:rsidRPr="008C2796" w:rsidRDefault="00851B14" w:rsidP="00016E55">
            <w:pPr>
              <w:pStyle w:val="Lgendestandard"/>
            </w:pPr>
          </w:p>
          <w:p w:rsidR="00851B14" w:rsidRPr="008C2796" w:rsidRDefault="00851B14" w:rsidP="00016E55">
            <w:pPr>
              <w:pStyle w:val="Lgendestandard"/>
            </w:pPr>
            <w:r>
              <w:t>(Druh postupu závisí na právním základu navrženém v návrhu aktu.)</w:t>
            </w:r>
          </w:p>
          <w:p w:rsidR="00851B14" w:rsidRPr="008C2796" w:rsidRDefault="00851B14" w:rsidP="002B1E3A">
            <w:pPr>
              <w:pStyle w:val="Lgendestandard"/>
            </w:pPr>
          </w:p>
        </w:tc>
      </w:tr>
    </w:tbl>
    <w:p w:rsidR="00851B14" w:rsidRPr="008C2796" w:rsidRDefault="00851B14" w:rsidP="00016E55"/>
    <w:p w:rsidR="00363B94" w:rsidRPr="008C2796" w:rsidRDefault="00363B94" w:rsidP="00613F2E">
      <w:pPr>
        <w:widowControl/>
        <w:tabs>
          <w:tab w:val="center" w:pos="4677"/>
        </w:tabs>
      </w:pPr>
    </w:p>
    <w:p w:rsidR="00363B94" w:rsidRPr="008C2796" w:rsidRDefault="00363B94">
      <w:pPr>
        <w:pStyle w:val="TOCHeading"/>
      </w:pPr>
      <w:r>
        <w:br w:type="page"/>
      </w:r>
      <w:r>
        <w:lastRenderedPageBreak/>
        <w:t>OBSAH</w:t>
      </w:r>
    </w:p>
    <w:p w:rsidR="00363B94" w:rsidRPr="008C2796" w:rsidRDefault="001B4AF5">
      <w:pPr>
        <w:pStyle w:val="TOCPage"/>
      </w:pPr>
      <w:r>
        <w:t>Strana</w:t>
      </w:r>
    </w:p>
    <w:p w:rsidR="00815B47" w:rsidRDefault="00EF48F2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eastAsia="cs-CZ"/>
        </w:rPr>
      </w:pPr>
      <w:r w:rsidRPr="008C2796">
        <w:fldChar w:fldCharType="begin"/>
      </w:r>
      <w:r w:rsidRPr="008C2796">
        <w:instrText xml:space="preserve"> TOC \t "PageHeading</w:instrText>
      </w:r>
      <w:r w:rsidR="00815B47">
        <w:instrText>;</w:instrText>
      </w:r>
      <w:r w:rsidRPr="008C2796">
        <w:instrText xml:space="preserve">1" </w:instrText>
      </w:r>
      <w:r w:rsidRPr="008C2796">
        <w:fldChar w:fldCharType="separate"/>
      </w:r>
      <w:r w:rsidR="00815B47">
        <w:rPr>
          <w:noProof/>
        </w:rPr>
        <w:t>NÁVRH LEGISLATIVNÍHO USNESENÍ EVROPSKÉHO PARLAMENTU</w:t>
      </w:r>
      <w:r w:rsidR="00815B47">
        <w:rPr>
          <w:noProof/>
        </w:rPr>
        <w:tab/>
      </w:r>
      <w:r w:rsidR="00815B47">
        <w:rPr>
          <w:noProof/>
        </w:rPr>
        <w:fldChar w:fldCharType="begin"/>
      </w:r>
      <w:r w:rsidR="00815B47">
        <w:rPr>
          <w:noProof/>
        </w:rPr>
        <w:instrText xml:space="preserve"> PAGEREF _Toc183698987 \h </w:instrText>
      </w:r>
      <w:r w:rsidR="00815B47">
        <w:rPr>
          <w:noProof/>
        </w:rPr>
      </w:r>
      <w:r w:rsidR="00815B47">
        <w:rPr>
          <w:noProof/>
        </w:rPr>
        <w:fldChar w:fldCharType="separate"/>
      </w:r>
      <w:r w:rsidR="00815B47">
        <w:rPr>
          <w:noProof/>
        </w:rPr>
        <w:t>5</w:t>
      </w:r>
      <w:r w:rsidR="00815B47">
        <w:rPr>
          <w:noProof/>
        </w:rPr>
        <w:fldChar w:fldCharType="end"/>
      </w:r>
    </w:p>
    <w:p w:rsidR="00815B47" w:rsidRDefault="00815B47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eastAsia="cs-CZ"/>
        </w:rPr>
      </w:pPr>
      <w:r>
        <w:rPr>
          <w:noProof/>
        </w:rPr>
        <w:t>VYSVĚTLUJÍCÍ PROHLÁŠENÍ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_Toc183698988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15B47" w:rsidRDefault="00815B47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eastAsia="cs-CZ"/>
        </w:rPr>
      </w:pPr>
      <w:r>
        <w:rPr>
          <w:noProof/>
        </w:rPr>
        <w:t>PŘÍLOHA: SUBJEKTY NEBO OSOBY, OD NICHŽ ZPRAVODAJ OBDRŽEL PODNĚTY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_Toc183698989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E1650" w:rsidRPr="008C2796" w:rsidRDefault="00EF48F2" w:rsidP="00F04010">
      <w:r w:rsidRPr="008C2796">
        <w:fldChar w:fldCharType="end"/>
      </w:r>
    </w:p>
    <w:p w:rsidR="00363B94" w:rsidRPr="008C2796" w:rsidRDefault="00363B94" w:rsidP="0006167F">
      <w:pPr>
        <w:pStyle w:val="PageHeading"/>
      </w:pPr>
      <w:r>
        <w:br w:type="page"/>
      </w:r>
      <w:r>
        <w:lastRenderedPageBreak/>
        <w:br w:type="page"/>
      </w:r>
      <w:bookmarkStart w:id="1" w:name="_Toc183698987"/>
      <w:r>
        <w:lastRenderedPageBreak/>
        <w:t>NÁVRH LEGISLATIVNÍHO USNESENÍ EVROPSKÉHO PARLAMENTU</w:t>
      </w:r>
      <w:bookmarkEnd w:id="1"/>
    </w:p>
    <w:p w:rsidR="00851B14" w:rsidRPr="008C2796" w:rsidRDefault="00851B14" w:rsidP="00851B14">
      <w:pPr>
        <w:pStyle w:val="NormalBold"/>
      </w:pPr>
      <w:r>
        <w:t>o návrhu rozhodnutí Rady o uzavření Protokolu (2024–2029) o provádění Dohody mezi Evropským společenstvím a Republikou Guinea-Bissau o partnerství v odvětví rybolovu jménem Evropské unie</w:t>
      </w:r>
    </w:p>
    <w:p w:rsidR="00363B94" w:rsidRPr="008C2796" w:rsidRDefault="00851B14" w:rsidP="00851B14">
      <w:pPr>
        <w:pStyle w:val="NormalBold12a"/>
      </w:pPr>
      <w:r>
        <w:t>(12475/2024 – C10</w:t>
      </w:r>
      <w:r>
        <w:noBreakHyphen/>
        <w:t>0108/2024 – 2024/0159(NLE))</w:t>
      </w:r>
    </w:p>
    <w:p w:rsidR="00363B94" w:rsidRPr="008C2796" w:rsidRDefault="001B4AF5" w:rsidP="00893FBD">
      <w:pPr>
        <w:pStyle w:val="NormalBold"/>
      </w:pPr>
      <w:r>
        <w:t>(Souhlas)</w:t>
      </w:r>
    </w:p>
    <w:p w:rsidR="00851B14" w:rsidRPr="008C2796" w:rsidRDefault="001B4AF5" w:rsidP="00851B14">
      <w:pPr>
        <w:pStyle w:val="EPComma"/>
      </w:pPr>
      <w:r>
        <w:rPr>
          <w:i/>
        </w:rPr>
        <w:t>Evropský parlament</w:t>
      </w:r>
      <w:r>
        <w:t>,</w:t>
      </w:r>
    </w:p>
    <w:p w:rsidR="00851B14" w:rsidRPr="008C2796" w:rsidRDefault="00851B14" w:rsidP="00851B14">
      <w:pPr>
        <w:pStyle w:val="NormalHanging12a"/>
      </w:pPr>
      <w:r>
        <w:t>–</w:t>
      </w:r>
      <w:r>
        <w:tab/>
        <w:t>s ohledem na návrh rozhodnutí Rady (12475/2024),</w:t>
      </w:r>
    </w:p>
    <w:p w:rsidR="00851B14" w:rsidRPr="008C2796" w:rsidRDefault="00851B14" w:rsidP="00851B14">
      <w:pPr>
        <w:pStyle w:val="NormalHanging12a"/>
      </w:pPr>
      <w:r>
        <w:t>–</w:t>
      </w:r>
      <w:r>
        <w:tab/>
        <w:t>s ohledem na prováděcí protokol k Dohodě mezi Evropským společenstvím a Republikou Guinea-Bissau o partnerství v odvětví rybolovu na roky 2024–2019 (12189/2024),</w:t>
      </w:r>
    </w:p>
    <w:p w:rsidR="00851B14" w:rsidRPr="008C2796" w:rsidRDefault="00851B14" w:rsidP="00851B14">
      <w:pPr>
        <w:pStyle w:val="NormalHanging12a"/>
      </w:pPr>
      <w:r>
        <w:t>–</w:t>
      </w:r>
      <w:r>
        <w:tab/>
        <w:t>s ohledem na žádost o udělení souhlasu, kterou předložila Rada v souladu s čl. 43 odst. 2, čl. 218 odst. 6 druhým pododstavcem písm. a) bodem v) a čl. 218 odst. 7 Smlouvy o fungování Evropské unie (C10</w:t>
      </w:r>
      <w:r>
        <w:noBreakHyphen/>
        <w:t>0108/2024),</w:t>
      </w:r>
    </w:p>
    <w:p w:rsidR="00851B14" w:rsidRPr="008C2796" w:rsidRDefault="00851B14" w:rsidP="00851B14">
      <w:pPr>
        <w:pStyle w:val="NormalHanging12a"/>
      </w:pPr>
      <w:r>
        <w:t>–</w:t>
      </w:r>
      <w:r>
        <w:tab/>
        <w:t>s ohledem na své nelegislativní usnesení ze dne ...</w:t>
      </w:r>
      <w:r w:rsidRPr="008C2796">
        <w:rPr>
          <w:vertAlign w:val="superscript"/>
        </w:rPr>
        <w:footnoteReference w:id="1"/>
      </w:r>
      <w:r>
        <w:t xml:space="preserve"> o návrhu rozhodnutí,</w:t>
      </w:r>
    </w:p>
    <w:p w:rsidR="00851B14" w:rsidRPr="008C2796" w:rsidRDefault="00851B14" w:rsidP="00851B14">
      <w:pPr>
        <w:pStyle w:val="NormalHanging12a"/>
      </w:pPr>
      <w:r>
        <w:t>–</w:t>
      </w:r>
      <w:r>
        <w:tab/>
        <w:t>s ohledem na rozpočtové posouzení poskytnuté Rozpočtovým výborem,</w:t>
      </w:r>
    </w:p>
    <w:p w:rsidR="00851B14" w:rsidRPr="008C2796" w:rsidRDefault="00851B14" w:rsidP="00851B14">
      <w:pPr>
        <w:pStyle w:val="NormalHanging12a"/>
      </w:pPr>
      <w:r>
        <w:t>–</w:t>
      </w:r>
      <w:r>
        <w:tab/>
        <w:t>s ohledem na čl. 107 odst. 1 a 4 a čl. 117 odst. 7 jednacího řádu,</w:t>
      </w:r>
    </w:p>
    <w:p w:rsidR="00851B14" w:rsidRPr="008C2796" w:rsidRDefault="00851B14" w:rsidP="00851B14">
      <w:pPr>
        <w:pStyle w:val="NormalHanging12a"/>
      </w:pPr>
      <w:r>
        <w:t>–</w:t>
      </w:r>
      <w:r>
        <w:tab/>
        <w:t>s ohledem na stanovisko Výboru pro rozvoj,</w:t>
      </w:r>
    </w:p>
    <w:p w:rsidR="00851B14" w:rsidRPr="008C2796" w:rsidRDefault="00851B14" w:rsidP="00851B14">
      <w:pPr>
        <w:pStyle w:val="NormalHanging12a"/>
      </w:pPr>
      <w:r>
        <w:t>–</w:t>
      </w:r>
      <w:r>
        <w:tab/>
        <w:t>s ohledem na doporučení Výboru pro rybolov (A10</w:t>
      </w:r>
      <w:r>
        <w:noBreakHyphen/>
        <w:t>0000/2024),</w:t>
      </w:r>
    </w:p>
    <w:p w:rsidR="00851B14" w:rsidRPr="008C2796" w:rsidRDefault="00851B14" w:rsidP="00851B14">
      <w:pPr>
        <w:pStyle w:val="NormalHanging12a"/>
      </w:pPr>
      <w:r>
        <w:t>1.</w:t>
      </w:r>
      <w:r>
        <w:tab/>
        <w:t>uděluje souhlas s uzavřením dohody;</w:t>
      </w:r>
    </w:p>
    <w:p w:rsidR="00EF48F2" w:rsidRPr="008C2796" w:rsidRDefault="00851B14" w:rsidP="008C2796">
      <w:pPr>
        <w:pStyle w:val="EPComma"/>
        <w:spacing w:before="240"/>
        <w:ind w:left="567" w:hanging="567"/>
      </w:pPr>
      <w:r>
        <w:t>2.</w:t>
      </w:r>
      <w:r>
        <w:tab/>
        <w:t>pověřuje svou předsedkyni, aby předala postoj Parlamentu Radě, Komisi a vládám a parlamentům členských států a Republiky Guinea-Bissau.</w:t>
      </w:r>
    </w:p>
    <w:p w:rsidR="008C2796" w:rsidRPr="008C2796" w:rsidRDefault="008C2796">
      <w:pPr>
        <w:widowControl/>
      </w:pPr>
      <w:r>
        <w:br w:type="page"/>
      </w:r>
    </w:p>
    <w:p w:rsidR="008C2796" w:rsidRPr="008C2796" w:rsidRDefault="008C2796" w:rsidP="008C2796">
      <w:pPr>
        <w:pStyle w:val="PageHeading"/>
      </w:pPr>
      <w:bookmarkStart w:id="2" w:name="_Toc183698988"/>
      <w:r>
        <w:lastRenderedPageBreak/>
        <w:t>VYSVĚTLUJÍCÍ PROHLÁŠENÍ</w:t>
      </w:r>
      <w:bookmarkEnd w:id="2"/>
    </w:p>
    <w:p w:rsidR="008C2796" w:rsidRPr="008C2796" w:rsidRDefault="008C2796" w:rsidP="008C2796">
      <w:pPr>
        <w:pStyle w:val="Normal12Hanging"/>
        <w:ind w:left="0" w:firstLine="0"/>
        <w:rPr>
          <w:u w:val="single"/>
        </w:rPr>
      </w:pPr>
      <w:r>
        <w:rPr>
          <w:u w:val="single"/>
        </w:rPr>
        <w:t>Republika Guinea-Bissau</w:t>
      </w:r>
    </w:p>
    <w:p w:rsidR="008C2796" w:rsidRPr="008C2796" w:rsidRDefault="008C2796" w:rsidP="008C2796">
      <w:pPr>
        <w:pStyle w:val="Normal12Hanging"/>
        <w:ind w:left="0" w:firstLine="0"/>
      </w:pPr>
      <w:r>
        <w:t>Guinea-Bissau je zemí, ve které žije 1,8 milionu obyvatel pocházejících z 11 etnických skupin. Polovina populace žije v městských oblastech. Očekává se, že tento podíl vzroste. Přibližně 60 % obyvatel je mladších 25 let; vysokou porodnost doprovází také vysoká kojenecká úmrtnost (54,8 úmrtí na tisíc porodů). Více než 40 % obyvatel je negramotných. Podle indexu lidského rozvoje OSN (UNHDI, 2021) země od podpisu předchozího protokolu klesla o dvě místa a zařadila se na 179. místo ze 193 zemí.</w:t>
      </w:r>
    </w:p>
    <w:p w:rsidR="008C2796" w:rsidRPr="008C2796" w:rsidRDefault="008C2796" w:rsidP="008C2796">
      <w:r>
        <w:t>V minulosti se země soustředila na své domácí přírodní zdroje. Zemědělství přispívá k HDP země 56 % a 90 % vývozu se soustředí na jedinou plodinu, ořechy kešu. Jednou z výzev, jimž musí tato země čelit, je diverzifikace produkce.</w:t>
      </w:r>
    </w:p>
    <w:p w:rsidR="008C2796" w:rsidRPr="008C2796" w:rsidRDefault="008C2796" w:rsidP="008C2796"/>
    <w:p w:rsidR="008C2796" w:rsidRPr="008C2796" w:rsidRDefault="008C2796" w:rsidP="008C2796">
      <w:r>
        <w:t>Takřka třetina veřejných příjmů pocházela z mezinárodní pomoci, z čehož pomoc Evropské unie činí zhruba jednu třetinu. Finanční prostředky převáděné prostřednictvím dohody o partnerství v oblasti udržitelného rybolovu v jejím nejnovějším znění (dále jen dohoda) jako kompenzace za přístup k rybolovným zdrojům představují významný přínos pro veřejné finance této země.</w:t>
      </w:r>
    </w:p>
    <w:p w:rsidR="008C2796" w:rsidRPr="008C2796" w:rsidRDefault="008C2796" w:rsidP="008C2796"/>
    <w:p w:rsidR="008C2796" w:rsidRPr="008C2796" w:rsidRDefault="008C2796" w:rsidP="008C2796">
      <w:r>
        <w:t>K bohatství jejích rybolovných zdrojů, a zejména druhů žijících u pobřeží i na otevřeném oceánu, přispívá rozsáhlý kontinentální šelf napájený řekami a sezónní vzestupné oceánské proudění.Hlavní druhy s obchodní hodnotou zahrnují demerzální druhy, malé pelagické druhy, velké migrující pelagické druhy, korýše (krevety včetně hlubokomořských krevet) a hlavonožce (chobotnice a olihně).</w:t>
      </w:r>
    </w:p>
    <w:p w:rsidR="008C2796" w:rsidRPr="008C2796" w:rsidRDefault="008C2796" w:rsidP="008C2796"/>
    <w:p w:rsidR="008C2796" w:rsidRPr="008C2796" w:rsidRDefault="008C2796" w:rsidP="008C2796">
      <w:r>
        <w:t xml:space="preserve">Drobný rybolov včetně rybolovu na obživu zajišťuje živobytí několika tisíc rybářů (počty se podle různých odhadů liší), z nichž někteří pocházejí ze sousedních zemí, a jejich rodin. </w:t>
      </w:r>
    </w:p>
    <w:p w:rsidR="008C2796" w:rsidRPr="008C2796" w:rsidRDefault="008C2796" w:rsidP="008C2796"/>
    <w:p w:rsidR="008C2796" w:rsidRPr="008C2796" w:rsidRDefault="008C2796" w:rsidP="008C2796">
      <w:r>
        <w:t xml:space="preserve">Obchodu s produkty rybolovu s EU navzdory úsilí této země brání její neschopnost dodržovat hygienická opatření vyžadovaná EU. Očekává se, že posílení kapacit Guineje-Bissau v této oblasti prostřednictvím zřízení laboratoře pro kontrolu a analýzy kvality (v červenci 2014, přičemž situace se vyvíjí) a dokončení dlouhodobého procesu certifikace této laboratoře může přispět ke změně této situace. </w:t>
      </w:r>
    </w:p>
    <w:p w:rsidR="008C2796" w:rsidRPr="008C2796" w:rsidRDefault="008C2796" w:rsidP="008C2796"/>
    <w:p w:rsidR="008C2796" w:rsidRPr="008C2796" w:rsidRDefault="008C2796" w:rsidP="008C2796">
      <w:pPr>
        <w:rPr>
          <w:u w:val="single"/>
        </w:rPr>
      </w:pPr>
      <w:r>
        <w:rPr>
          <w:u w:val="single"/>
        </w:rPr>
        <w:t>Dohoda o rybolovu mezi EU a Guineou-Bissau</w:t>
      </w:r>
    </w:p>
    <w:p w:rsidR="008C2796" w:rsidRPr="008C2796" w:rsidRDefault="008C2796" w:rsidP="008C2796"/>
    <w:p w:rsidR="008C2796" w:rsidRPr="008C2796" w:rsidRDefault="008C2796" w:rsidP="008C2796">
      <w:pPr>
        <w:pStyle w:val="Normal12Hanging"/>
        <w:ind w:left="0" w:firstLine="0"/>
      </w:pPr>
      <w:r>
        <w:t>První dohoda o rybolovu uzavřená mezi Republikou Guinea-Bissau a Evropským společenstvím pochází z roku 1980. Loďstva členských států EHS/EU mají od té doby přístup k rybolovným právům ve vodách této země. V roce 2007 podepsaly obě strany dohodu o partnerství v odvětví rybolovu. Od té doby byly vyjednávány nebo automaticky prodlužovány po sobě následující prováděcí protokoly k dohodě. Po vojenském převratu byla dohoda z podnětu EU pozastavena od dubna 2012 do října 2014. V nedávné době bylo při jednáních o tomto protokolu zdůrazněno, že je třeba přezkoumat finanční příspěvky poskytované výměnou za rybolovná práva pro loďstva EU v rámci protokolu.</w:t>
      </w:r>
    </w:p>
    <w:p w:rsidR="008C2796" w:rsidRPr="008C2796" w:rsidRDefault="008C2796" w:rsidP="008C2796">
      <w:pPr>
        <w:pStyle w:val="Normal12Hanging"/>
        <w:ind w:left="0" w:firstLine="0"/>
      </w:pPr>
      <w:r>
        <w:t xml:space="preserve">Současný protokol o provádění Dohody mezi Evropským společenstvím a Republikou Guinea-Bissau o partnerství v odvětví rybolovu (2024-2029) se prozatímně uplatňuje ode dne jeho podpisu, tj. od 18. září 2024. Tato dohoda o rybolovu umožňuje plavidlům z různých členských států EU lovit ve vodách Guineje-Bissau. </w:t>
      </w:r>
    </w:p>
    <w:p w:rsidR="008C2796" w:rsidRPr="008C2796" w:rsidRDefault="008C2796" w:rsidP="008C2796">
      <w:pPr>
        <w:pStyle w:val="Normal12Hanging"/>
        <w:ind w:left="0" w:firstLine="0"/>
      </w:pPr>
      <w:r>
        <w:t xml:space="preserve">Protokol stanoví rybolovná práva v těchto kategoriích: mrazírenské trawlery lovící garnáty; mrazírenské trawlery lovící ryby a hlavonožce; trawlery lovící malé pelagické druhy; mrazírenská plavidla lovící tuňáky vlečnou sítí a na dlouhou lovnou šňůru; plavidla lovící tuňáky na udice. </w:t>
      </w:r>
    </w:p>
    <w:p w:rsidR="008C2796" w:rsidRPr="008C2796" w:rsidRDefault="008C2796" w:rsidP="008C2796">
      <w:pPr>
        <w:pStyle w:val="Normal12Hanging"/>
        <w:ind w:left="0" w:firstLine="0"/>
      </w:pPr>
      <w:r>
        <w:t>Jedná se o dohodu týkající se více druhů, jež zahrnuje tuňáky i hlavonožce, krevety a druhy žijící při dně. Dohoda je součástí sítě dohod o lovu tuňáků v západní Africe a je jednou z pouhých tří dohod týkajících se více druhů v regionu (další dvě jsou dohody s Marokem a Mauritánií).</w:t>
      </w:r>
    </w:p>
    <w:p w:rsidR="008C2796" w:rsidRPr="008C2796" w:rsidRDefault="008C2796" w:rsidP="008C2796">
      <w:pPr>
        <w:pStyle w:val="Normal12Hanging"/>
        <w:ind w:left="0" w:firstLine="0"/>
      </w:pPr>
      <w:r>
        <w:t xml:space="preserve">Stanovená rybolovná práva jsou založena na nejlepším dostupném vědeckém poradenství a vycházejí z doporučení Mezinárodní komise pro ochranu tuňáků v Atlantiku (ICCAT). </w:t>
      </w:r>
    </w:p>
    <w:p w:rsidR="008C2796" w:rsidRPr="008C2796" w:rsidRDefault="008C2796" w:rsidP="008C2796">
      <w:pPr>
        <w:pStyle w:val="Normal12Hanging"/>
        <w:ind w:left="0" w:firstLine="0"/>
      </w:pPr>
      <w:r>
        <w:t xml:space="preserve">Příspěvek EU na tento nový protokol se odhaduje na 85 milionů EUR na dobu pěti let, tedy 17 milionů EUR ročně, z čehož se 4,5 milionu EUR vyčlení na posílení kapacit Guineje-Bissau v oblasti udržitelného řízení rybolovu, kontroly a dohledu a na podporu místních rybářských komunit.  </w:t>
      </w:r>
    </w:p>
    <w:p w:rsidR="008C2796" w:rsidRPr="008C2796" w:rsidRDefault="008C2796" w:rsidP="008C2796">
      <w:pPr>
        <w:pStyle w:val="Normal12Hanging"/>
        <w:ind w:left="0" w:firstLine="0"/>
      </w:pPr>
      <w:r>
        <w:t>Kromě příspěvku EU budou majitelé lodí platit správním útvarům Guineje-Bissau poplatky za licenci a odlov, aby získali oprávnění k rybolovu.</w:t>
      </w:r>
      <w:r w:rsidR="00044FB4">
        <w:t xml:space="preserve"> </w:t>
      </w:r>
      <w:r>
        <w:t> Příspěvek EU spolu s poplatky hrazenými hospodářskými subjekty EU představuje celkové odhadované finanční krytí ve výši více než 100 milionů EUR na období 5 let.</w:t>
      </w:r>
    </w:p>
    <w:p w:rsidR="008C2796" w:rsidRPr="008C2796" w:rsidRDefault="008C2796" w:rsidP="008C2796">
      <w:pPr>
        <w:pStyle w:val="Normal12Hanging"/>
        <w:ind w:left="0" w:firstLine="0"/>
      </w:pPr>
      <w:r>
        <w:t xml:space="preserve">Zpravodaj doufá, že nový protokol umožní EU a Republice Guinea-Bissau úžeji spolupracovat s cílem podpořit udržitelné využívání rybolovných zdrojů v jejích vodách a podpořit její úsilí o rozvoj vnitrostátního odvětví rybolovu a souvisejících oblastí. </w:t>
      </w:r>
    </w:p>
    <w:p w:rsidR="008C2796" w:rsidRPr="008C2796" w:rsidRDefault="008C2796" w:rsidP="008C2796">
      <w:pPr>
        <w:pStyle w:val="Normal12Hanging"/>
        <w:ind w:left="0" w:firstLine="0"/>
      </w:pPr>
      <w:r>
        <w:t xml:space="preserve">Nedávné investice Africké rozvojové banky a dalších investorů (např. Číny) do infrastruktury a do rybářského přístavu pro drobný rybolov (na vykládku a zpracování) v lokalitě Alto Bandim představují pro tuto zemi příležitost, avšak k uspokojení potřeb nestačí. Rozvoj infrastruktury pro vykládku, skladování a zpracování ryb, kterou by mohlo využívat průmyslové rybářské loďstvo lovící ve vodách Guineje-Bissau, by byl obzvláště důležitý nejen pro tento rybolov, ale také pro rozvoj odvětví rybolovu této země, a to i pro vytvoření trhů, distribučních a obchodních struktur a laboratoří pro analýzy kvality. </w:t>
      </w:r>
    </w:p>
    <w:p w:rsidR="008C2796" w:rsidRPr="008C2796" w:rsidRDefault="008C2796" w:rsidP="008C2796">
      <w:pPr>
        <w:pStyle w:val="Normal12Hanging"/>
        <w:ind w:left="0" w:firstLine="0"/>
      </w:pPr>
      <w:r>
        <w:t xml:space="preserve">Zpravodaj je toho názoru, že dohoda musí přispět ke zlepšení operační nezávislosti této země, podporovat její rozvojovou strategii a zaručovat její svrchovanost. </w:t>
      </w:r>
    </w:p>
    <w:p w:rsidR="008C2796" w:rsidRPr="008C2796" w:rsidRDefault="008C2796" w:rsidP="008C2796">
      <w:pPr>
        <w:pStyle w:val="Normal12Hanging"/>
        <w:ind w:left="0" w:firstLine="0"/>
      </w:pPr>
      <w:r>
        <w:t>Zpravodaj proto doporučuje, aby Parlament udělil souhlas s podpisem tohoto protokolu vzhledem k jeho významu pro Guineu-Bissau a pro loďstva EU působící v jejích vodách.</w:t>
      </w:r>
    </w:p>
    <w:p w:rsidR="008C2796" w:rsidRPr="008C2796" w:rsidRDefault="008C2796" w:rsidP="008C2796">
      <w:pPr>
        <w:pStyle w:val="Normal12Hanging"/>
        <w:ind w:left="0" w:firstLine="0"/>
      </w:pPr>
      <w:r>
        <w:t>S ohledem na úlohu a pravomoci Parlamentu v této oblasti považuje zpravodaj za vhodné a nezbytné přijmout k této dohodě nelegislativní usnesení, v němž budou uvedeny úvahy a doporučení, jež by Evropská komise měla brát v úvahu během období platnosti stávajícího protokolu (což bohužel nebylo vždy v minulosti pravidlem).</w:t>
      </w:r>
    </w:p>
    <w:p w:rsidR="008C2796" w:rsidRPr="008C2796" w:rsidRDefault="008C2796" w:rsidP="008C2796">
      <w:pPr>
        <w:pStyle w:val="Normal12Hanging"/>
        <w:ind w:left="0" w:firstLine="0"/>
      </w:pPr>
      <w:r>
        <w:t>Kromě výše uvedených skutečností si zpravodaj přeje zdůraznit následující otázky, jež vyžadují zvláštní pozornost.</w:t>
      </w:r>
    </w:p>
    <w:p w:rsidR="008C2796" w:rsidRPr="008C2796" w:rsidRDefault="008C2796" w:rsidP="008C2796">
      <w:pPr>
        <w:pStyle w:val="Normal12Hanging"/>
        <w:ind w:left="0" w:firstLine="0"/>
      </w:pPr>
      <w:r>
        <w:t>Dohoda musí podporovat skutečný udržitelný rozvoj rybolovného odvětví Guiney-Bissau a s ním spojený průmysl a činnosti, přičemž by měla zvyšovat přidanou hodnotu, která v zemi zůstává z využívání jejích přírodních zdrojů.</w:t>
      </w:r>
    </w:p>
    <w:p w:rsidR="008C2796" w:rsidRPr="008C2796" w:rsidRDefault="008C2796" w:rsidP="008C2796">
      <w:r>
        <w:t>Závěrem zpravodaj zdůrazňuje, že Evropský parlament musí být všech etapách okamžitě a plně informován o postupech týkajících se protokolu či prodloužení jeho platnosti a jeho provádění, jak je podrobně uvedeno v nelegislativním usnesení připojeném k tomuto doporučení.</w:t>
      </w:r>
    </w:p>
    <w:p w:rsidR="008C2796" w:rsidRPr="008C2796" w:rsidRDefault="008C2796" w:rsidP="008C2796"/>
    <w:p w:rsidR="008C2796" w:rsidRPr="008C2796" w:rsidRDefault="008C2796" w:rsidP="008C2796"/>
    <w:p w:rsidR="008C2796" w:rsidRPr="008C2796" w:rsidRDefault="008C2796" w:rsidP="008C2796">
      <w:pPr>
        <w:sectPr w:rsidR="008C2796" w:rsidRPr="008C2796" w:rsidSect="008C279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8C2796" w:rsidRPr="008C2796" w:rsidRDefault="008C2796" w:rsidP="008C2796">
      <w:pPr>
        <w:pStyle w:val="PageHeading"/>
        <w:rPr>
          <w:noProof/>
        </w:rPr>
      </w:pPr>
      <w:bookmarkStart w:id="3" w:name="_Toc182494724"/>
      <w:bookmarkStart w:id="4" w:name="FootprintPageRR"/>
      <w:bookmarkStart w:id="5" w:name="_Toc183698989"/>
      <w:r>
        <w:t>PŘÍLOHA: SUBJEKTY NEBO OSOBY, OD NICHŽ ZPRAVODAJ OBDRŽEL PODNĚTY</w:t>
      </w:r>
      <w:bookmarkEnd w:id="3"/>
      <w:bookmarkEnd w:id="5"/>
    </w:p>
    <w:p w:rsidR="008C2796" w:rsidRPr="008C2796" w:rsidRDefault="008C2796" w:rsidP="008C2796">
      <w:pPr>
        <w:pStyle w:val="Normal24a"/>
        <w:spacing w:after="240"/>
      </w:pPr>
      <w:r>
        <w:rPr>
          <w:rStyle w:val="HideTWBExt"/>
        </w:rPr>
        <w:t>&lt;FootprintIntro&gt;</w:t>
      </w:r>
      <w:r>
        <w:t>Zpravodaj v souladu s článkem 8 přílohy I jednacího řádu prohlašuje, že při vypracovávání návrhu zprávy až do okamžiku jejího přijetí ve výboru obdržel podněty od těchto subjektů nebo osob:</w:t>
      </w:r>
      <w:r>
        <w:rPr>
          <w:rStyle w:val="HideTWBExt"/>
        </w:rPr>
        <w:t>&lt;/FootprintIntro&gt;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8C2796" w:rsidRPr="008C2796" w:rsidTr="00012183">
        <w:tc>
          <w:tcPr>
            <w:tcW w:w="9060" w:type="dxa"/>
            <w:shd w:val="clear" w:color="auto" w:fill="auto"/>
          </w:tcPr>
          <w:p w:rsidR="008C2796" w:rsidRPr="008C2796" w:rsidRDefault="008C2796" w:rsidP="00012183">
            <w:pPr>
              <w:pStyle w:val="NormalBoldCenter"/>
            </w:pPr>
            <w:r>
              <w:t>Subjekt či osoba</w:t>
            </w:r>
          </w:p>
        </w:tc>
      </w:tr>
      <w:tr w:rsidR="008C2796" w:rsidRPr="008C2796" w:rsidTr="00012183">
        <w:tc>
          <w:tcPr>
            <w:tcW w:w="9060" w:type="dxa"/>
            <w:shd w:val="clear" w:color="auto" w:fill="auto"/>
          </w:tcPr>
          <w:p w:rsidR="008C2796" w:rsidRPr="008C2796" w:rsidRDefault="008C2796" w:rsidP="00012183">
            <w:pPr>
              <w:pStyle w:val="NormalSingle"/>
            </w:pPr>
            <w:r>
              <w:t>Europêche</w:t>
            </w:r>
          </w:p>
        </w:tc>
      </w:tr>
      <w:tr w:rsidR="008C2796" w:rsidRPr="008C2796" w:rsidTr="00012183">
        <w:tc>
          <w:tcPr>
            <w:tcW w:w="9060" w:type="dxa"/>
            <w:shd w:val="clear" w:color="auto" w:fill="auto"/>
          </w:tcPr>
          <w:p w:rsidR="008C2796" w:rsidRPr="008C2796" w:rsidRDefault="008C2796" w:rsidP="00012183">
            <w:pPr>
              <w:pStyle w:val="NormalSingle"/>
            </w:pPr>
            <w:r>
              <w:t>European Transport Workers' Federation (ETF)</w:t>
            </w:r>
          </w:p>
        </w:tc>
      </w:tr>
      <w:tr w:rsidR="008C2796" w:rsidRPr="008C2796" w:rsidTr="00012183">
        <w:tc>
          <w:tcPr>
            <w:tcW w:w="9060" w:type="dxa"/>
            <w:shd w:val="clear" w:color="auto" w:fill="auto"/>
          </w:tcPr>
          <w:p w:rsidR="008C2796" w:rsidRPr="008C2796" w:rsidRDefault="008C2796" w:rsidP="00012183">
            <w:pPr>
              <w:pStyle w:val="NormalSingle"/>
            </w:pPr>
            <w:r>
              <w:t>Coalition pour des Accords de Pêche Equitables CAPE/CFFA</w:t>
            </w:r>
          </w:p>
        </w:tc>
      </w:tr>
    </w:tbl>
    <w:p w:rsidR="008C2796" w:rsidRPr="008C2796" w:rsidRDefault="008C2796" w:rsidP="008C2796">
      <w:pPr>
        <w:pStyle w:val="Footprint12b"/>
      </w:pPr>
      <w:r>
        <w:t>Výše uvedený seznam je sestaven na výhradní odpovědnost zpravodajky.</w:t>
      </w:r>
    </w:p>
    <w:p w:rsidR="008C2796" w:rsidRPr="008C2796" w:rsidRDefault="008C2796" w:rsidP="008C2796">
      <w:pPr>
        <w:pStyle w:val="Footprint12b"/>
      </w:pPr>
      <w:r>
        <w:t>Pokud jsou na seznamu uvedena jména, funkce, případně jména i funkce fyzických osob, zpravodaj prohlašuje, že příslušné fyzické osoby byly seznámeny s prohlášením Evropského parlamentu o ochraně osobních údajů č. 484 (</w:t>
      </w:r>
      <w:hyperlink r:id="rId15" w:history="1">
        <w:r>
          <w:rPr>
            <w:rStyle w:val="Hyperlink"/>
          </w:rPr>
          <w:t>https://www.europarl.europa.eu/data-protect/index.do</w:t>
        </w:r>
      </w:hyperlink>
      <w:r>
        <w:t>), které stanoví podmínky platné pro zpracování jejich osobních údajů a práva související s tímto zpracováním.</w:t>
      </w:r>
    </w:p>
    <w:p w:rsidR="008C2796" w:rsidRPr="008C2796" w:rsidRDefault="008C2796" w:rsidP="008C2796">
      <w:pPr>
        <w:pStyle w:val="Footprint12b"/>
      </w:pPr>
    </w:p>
    <w:p w:rsidR="008C2796" w:rsidRPr="008C2796" w:rsidRDefault="008C2796" w:rsidP="008C2796"/>
    <w:bookmarkEnd w:id="4"/>
    <w:p w:rsidR="008C2796" w:rsidRPr="008C2796" w:rsidRDefault="008C2796" w:rsidP="008C2796">
      <w:pPr>
        <w:widowControl/>
      </w:pPr>
    </w:p>
    <w:p w:rsidR="00363B94" w:rsidRPr="008C2796" w:rsidRDefault="00363B94" w:rsidP="00822206"/>
    <w:sectPr w:rsidR="00363B94" w:rsidRPr="008C2796" w:rsidSect="008C2796">
      <w:footerReference w:type="first" r:id="rId16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AF5" w:rsidRPr="008C2796" w:rsidRDefault="001B4AF5">
      <w:r w:rsidRPr="008C2796">
        <w:separator/>
      </w:r>
    </w:p>
  </w:endnote>
  <w:endnote w:type="continuationSeparator" w:id="0">
    <w:p w:rsidR="001B4AF5" w:rsidRPr="008C2796" w:rsidRDefault="001B4AF5">
      <w:r w:rsidRPr="008C279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796" w:rsidRPr="008C2796" w:rsidRDefault="008C2796" w:rsidP="008C2796">
    <w:pPr>
      <w:pStyle w:val="EPFooter"/>
    </w:pPr>
    <w:r w:rsidRPr="008C2796">
      <w:t>PE</w:t>
    </w:r>
    <w:r w:rsidRPr="008C2796">
      <w:rPr>
        <w:rStyle w:val="HideTWBExt"/>
      </w:rPr>
      <w:t>&lt;NoPE&gt;</w:t>
    </w:r>
    <w:r w:rsidRPr="008C2796">
      <w:t>765.182</w:t>
    </w:r>
    <w:r w:rsidRPr="008C2796">
      <w:rPr>
        <w:rStyle w:val="HideTWBExt"/>
      </w:rPr>
      <w:t>&lt;/NoPE&gt;&lt;Version&gt;</w:t>
    </w:r>
    <w:r w:rsidRPr="008C2796">
      <w:t>v01-00</w:t>
    </w:r>
    <w:r w:rsidRPr="008C2796">
      <w:rPr>
        <w:rStyle w:val="HideTWBExt"/>
      </w:rPr>
      <w:t>&lt;/Version&gt;</w:t>
    </w:r>
    <w:r w:rsidRPr="008C2796">
      <w:tab/>
    </w:r>
    <w:r w:rsidRPr="008C2796">
      <w:fldChar w:fldCharType="begin"/>
    </w:r>
    <w:r w:rsidRPr="008C2796">
      <w:instrText xml:space="preserve"> PAGE  \* MERGEFORMAT </w:instrText>
    </w:r>
    <w:r w:rsidRPr="008C2796">
      <w:fldChar w:fldCharType="separate"/>
    </w:r>
    <w:r w:rsidR="00815B47">
      <w:rPr>
        <w:noProof/>
      </w:rPr>
      <w:t>4</w:t>
    </w:r>
    <w:r w:rsidRPr="008C2796">
      <w:fldChar w:fldCharType="end"/>
    </w:r>
    <w:r w:rsidRPr="008C2796">
      <w:t>/</w:t>
    </w:r>
    <w:fldSimple w:instr=" NUMPAGES  \* MERGEFORMAT ">
      <w:r w:rsidR="00815B47">
        <w:rPr>
          <w:noProof/>
        </w:rPr>
        <w:t>9</w:t>
      </w:r>
    </w:fldSimple>
    <w:r w:rsidRPr="008C2796">
      <w:tab/>
    </w:r>
    <w:r w:rsidRPr="008C2796">
      <w:rPr>
        <w:rStyle w:val="HideTWBExt"/>
      </w:rPr>
      <w:t>&lt;PathFdR&gt;</w:t>
    </w:r>
    <w:r w:rsidRPr="008C2796">
      <w:t>PR\1308977CS.docx</w:t>
    </w:r>
    <w:r w:rsidRPr="008C2796">
      <w:rPr>
        <w:rStyle w:val="HideTWBExt"/>
      </w:rPr>
      <w:t>&lt;/PathFdR&gt;</w:t>
    </w:r>
  </w:p>
  <w:p w:rsidR="008C2796" w:rsidRPr="008C2796" w:rsidRDefault="008C2796" w:rsidP="008C2796">
    <w:pPr>
      <w:pStyle w:val="EPFooter2"/>
    </w:pPr>
    <w:r w:rsidRPr="008C2796"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796" w:rsidRPr="008C2796" w:rsidRDefault="008C2796" w:rsidP="008C2796">
    <w:pPr>
      <w:pStyle w:val="EPFooter"/>
    </w:pPr>
    <w:r w:rsidRPr="008C2796">
      <w:rPr>
        <w:rStyle w:val="HideTWBExt"/>
      </w:rPr>
      <w:t>&lt;PathFdR&gt;</w:t>
    </w:r>
    <w:r w:rsidRPr="008C2796">
      <w:t>PR\1308977CS.docx</w:t>
    </w:r>
    <w:r w:rsidRPr="008C2796">
      <w:rPr>
        <w:rStyle w:val="HideTWBExt"/>
      </w:rPr>
      <w:t>&lt;/PathFdR&gt;</w:t>
    </w:r>
    <w:r w:rsidRPr="008C2796">
      <w:tab/>
    </w:r>
    <w:r w:rsidRPr="008C2796">
      <w:fldChar w:fldCharType="begin"/>
    </w:r>
    <w:r w:rsidRPr="008C2796">
      <w:instrText xml:space="preserve"> PAGE  \* MERGEFORMAT </w:instrText>
    </w:r>
    <w:r w:rsidRPr="008C2796">
      <w:fldChar w:fldCharType="separate"/>
    </w:r>
    <w:r w:rsidR="00815B47">
      <w:rPr>
        <w:noProof/>
      </w:rPr>
      <w:t>3</w:t>
    </w:r>
    <w:r w:rsidRPr="008C2796">
      <w:fldChar w:fldCharType="end"/>
    </w:r>
    <w:r w:rsidRPr="008C2796">
      <w:t>/</w:t>
    </w:r>
    <w:fldSimple w:instr=" NUMPAGES  \* MERGEFORMAT ">
      <w:r w:rsidR="00815B47">
        <w:rPr>
          <w:noProof/>
        </w:rPr>
        <w:t>9</w:t>
      </w:r>
    </w:fldSimple>
    <w:r w:rsidRPr="008C2796">
      <w:tab/>
      <w:t>PE</w:t>
    </w:r>
    <w:r w:rsidRPr="008C2796">
      <w:rPr>
        <w:rStyle w:val="HideTWBExt"/>
      </w:rPr>
      <w:t>&lt;NoPE&gt;</w:t>
    </w:r>
    <w:r w:rsidRPr="008C2796">
      <w:t>765.182</w:t>
    </w:r>
    <w:r w:rsidRPr="008C2796">
      <w:rPr>
        <w:rStyle w:val="HideTWBExt"/>
      </w:rPr>
      <w:t>&lt;/NoPE&gt;&lt;Version&gt;</w:t>
    </w:r>
    <w:r w:rsidRPr="008C2796">
      <w:t>v01-00</w:t>
    </w:r>
    <w:r w:rsidRPr="008C2796">
      <w:rPr>
        <w:rStyle w:val="HideTWBExt"/>
      </w:rPr>
      <w:t>&lt;/Version&gt;</w:t>
    </w:r>
  </w:p>
  <w:p w:rsidR="008C2796" w:rsidRPr="008C2796" w:rsidRDefault="008C2796" w:rsidP="008C2796">
    <w:pPr>
      <w:pStyle w:val="EPFooter2"/>
    </w:pPr>
    <w:r w:rsidRPr="008C2796">
      <w:tab/>
    </w:r>
    <w:r w:rsidRPr="008C2796">
      <w:tab/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796" w:rsidRPr="008C2796" w:rsidRDefault="008C2796" w:rsidP="008C2796">
    <w:pPr>
      <w:pStyle w:val="EPFooter"/>
    </w:pPr>
    <w:r w:rsidRPr="008C2796">
      <w:rPr>
        <w:rStyle w:val="HideTWBExt"/>
      </w:rPr>
      <w:t>&lt;PathFdR&gt;</w:t>
    </w:r>
    <w:r w:rsidRPr="008C2796">
      <w:t>PR\1308977CS.docx</w:t>
    </w:r>
    <w:r w:rsidRPr="008C2796">
      <w:rPr>
        <w:rStyle w:val="HideTWBExt"/>
      </w:rPr>
      <w:t>&lt;/PathFdR&gt;</w:t>
    </w:r>
    <w:r w:rsidRPr="008C2796">
      <w:tab/>
    </w:r>
    <w:r w:rsidRPr="008C2796">
      <w:tab/>
      <w:t>PE</w:t>
    </w:r>
    <w:r w:rsidRPr="008C2796">
      <w:rPr>
        <w:rStyle w:val="HideTWBExt"/>
      </w:rPr>
      <w:t>&lt;NoPE&gt;</w:t>
    </w:r>
    <w:r w:rsidRPr="008C2796">
      <w:t>765.182</w:t>
    </w:r>
    <w:r w:rsidRPr="008C2796">
      <w:rPr>
        <w:rStyle w:val="HideTWBExt"/>
      </w:rPr>
      <w:t>&lt;/NoPE&gt;&lt;Version&gt;</w:t>
    </w:r>
    <w:r w:rsidRPr="008C2796">
      <w:t>v01-00</w:t>
    </w:r>
    <w:r w:rsidRPr="008C2796">
      <w:rPr>
        <w:rStyle w:val="HideTWBExt"/>
      </w:rPr>
      <w:t>&lt;/Version&gt;</w:t>
    </w:r>
  </w:p>
  <w:p w:rsidR="008C2796" w:rsidRPr="008C2796" w:rsidRDefault="008C2796" w:rsidP="008C2796">
    <w:pPr>
      <w:pStyle w:val="EPFooter2"/>
    </w:pPr>
    <w:r w:rsidRPr="008C2796">
      <w:t>CS</w:t>
    </w:r>
    <w:r w:rsidRPr="008C2796">
      <w:tab/>
    </w:r>
    <w:r w:rsidRPr="008C2796">
      <w:rPr>
        <w:b w:val="0"/>
        <w:i/>
        <w:color w:val="C0C0C0"/>
        <w:sz w:val="22"/>
      </w:rPr>
      <w:t>Jednotná v rozmanitosti</w:t>
    </w:r>
    <w:r w:rsidRPr="008C2796">
      <w:tab/>
      <w:t>CS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B14" w:rsidRPr="008C2796" w:rsidRDefault="00851B14" w:rsidP="00851B14">
    <w:pPr>
      <w:pStyle w:val="EPFooter"/>
    </w:pPr>
    <w:r w:rsidRPr="008C2796">
      <w:rPr>
        <w:rStyle w:val="HideTWBExt"/>
      </w:rPr>
      <w:t>&lt;PathFdR&gt;</w:t>
    </w:r>
    <w:r w:rsidRPr="008C2796">
      <w:t>PR\1308977CS.docx</w:t>
    </w:r>
    <w:r w:rsidRPr="008C2796">
      <w:rPr>
        <w:rStyle w:val="HideTWBExt"/>
      </w:rPr>
      <w:t>&lt;/PathFdR&gt;</w:t>
    </w:r>
    <w:r w:rsidRPr="008C2796">
      <w:tab/>
    </w:r>
    <w:r w:rsidRPr="008C2796">
      <w:tab/>
      <w:t>PE</w:t>
    </w:r>
    <w:r w:rsidRPr="008C2796">
      <w:rPr>
        <w:rStyle w:val="HideTWBExt"/>
      </w:rPr>
      <w:t>&lt;NoPE&gt;</w:t>
    </w:r>
    <w:r w:rsidRPr="008C2796">
      <w:t>765.182</w:t>
    </w:r>
    <w:r w:rsidRPr="008C2796">
      <w:rPr>
        <w:rStyle w:val="HideTWBExt"/>
      </w:rPr>
      <w:t>&lt;/NoPE&gt;&lt;Version&gt;</w:t>
    </w:r>
    <w:r w:rsidRPr="008C2796">
      <w:t>v01-00</w:t>
    </w:r>
    <w:r w:rsidRPr="008C2796">
      <w:rPr>
        <w:rStyle w:val="HideTWBExt"/>
      </w:rPr>
      <w:t>&lt;/Version&gt;</w:t>
    </w:r>
  </w:p>
  <w:p w:rsidR="0085501C" w:rsidRPr="008C2796" w:rsidRDefault="00851B14" w:rsidP="00851B14">
    <w:pPr>
      <w:pStyle w:val="EPFooter2"/>
    </w:pPr>
    <w:r w:rsidRPr="008C2796">
      <w:t>CS</w:t>
    </w:r>
    <w:r w:rsidRPr="008C2796">
      <w:tab/>
    </w:r>
    <w:r w:rsidRPr="008C2796">
      <w:rPr>
        <w:b w:val="0"/>
        <w:i/>
        <w:color w:val="C0C0C0"/>
        <w:sz w:val="22"/>
      </w:rPr>
      <w:t>Jednotná v rozmanitosti</w:t>
    </w:r>
    <w:r w:rsidRPr="008C2796">
      <w:tab/>
      <w:t>CS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AF5" w:rsidRPr="008C2796" w:rsidRDefault="001B4AF5">
      <w:r w:rsidRPr="008C2796">
        <w:separator/>
      </w:r>
    </w:p>
  </w:footnote>
  <w:footnote w:type="continuationSeparator" w:id="0">
    <w:p w:rsidR="001B4AF5" w:rsidRPr="008C2796" w:rsidRDefault="001B4AF5">
      <w:r w:rsidRPr="008C2796">
        <w:continuationSeparator/>
      </w:r>
    </w:p>
  </w:footnote>
  <w:footnote w:id="1">
    <w:p w:rsidR="00851B14" w:rsidRPr="008C2796" w:rsidRDefault="00851B14" w:rsidP="00851B14">
      <w:pPr>
        <w:pStyle w:val="FootnoteText"/>
      </w:pPr>
      <w:r>
        <w:rPr>
          <w:rStyle w:val="FootnoteReference"/>
        </w:rPr>
        <w:footnoteRef/>
      </w:r>
      <w:r>
        <w:tab/>
        <w:t>Přijaté texty, P10_TA(0000)0000.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744" w:rsidRDefault="005167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744" w:rsidRDefault="005167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744" w:rsidRDefault="005167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NU" w:val=" 1"/>
    <w:docVar w:name="COMKEY" w:val="PECH"/>
    <w:docVar w:name="LastEditedSection" w:val=" 1"/>
    <w:docVar w:name="strDocTypeID" w:val="PR_NLE-AP_Agreement"/>
    <w:docVar w:name="strSubDir" w:val="1308"/>
    <w:docVar w:name="TITLEMNU" w:val=" 2"/>
    <w:docVar w:name="TXTAUTHOR" w:val="Eric Sargiacomo"/>
    <w:docVar w:name="TXTLANGUE" w:val="CS"/>
    <w:docVar w:name="TXTLANGUEMIN" w:val="cs"/>
    <w:docVar w:name="TXTNRNLE" w:val="2024/0159"/>
    <w:docVar w:name="TXTNRPE" w:val="765.182"/>
    <w:docVar w:name="TXTPEorAP" w:val="PE"/>
    <w:docVar w:name="TXTROUTE" w:val="PR\1308977CS.docx"/>
    <w:docVar w:name="TXTVERSION" w:val="01-00"/>
  </w:docVars>
  <w:rsids>
    <w:rsidRoot w:val="001B4AF5"/>
    <w:rsid w:val="00001D52"/>
    <w:rsid w:val="0000443F"/>
    <w:rsid w:val="000053E3"/>
    <w:rsid w:val="00044FB4"/>
    <w:rsid w:val="0006167F"/>
    <w:rsid w:val="00061EFE"/>
    <w:rsid w:val="00095D8B"/>
    <w:rsid w:val="000A2F73"/>
    <w:rsid w:val="000C123D"/>
    <w:rsid w:val="000D78AF"/>
    <w:rsid w:val="00180664"/>
    <w:rsid w:val="001874D8"/>
    <w:rsid w:val="001B4AF5"/>
    <w:rsid w:val="001D02E3"/>
    <w:rsid w:val="001F7BBE"/>
    <w:rsid w:val="0021049A"/>
    <w:rsid w:val="0022685A"/>
    <w:rsid w:val="002E2E20"/>
    <w:rsid w:val="002F5A83"/>
    <w:rsid w:val="003072BE"/>
    <w:rsid w:val="00337C92"/>
    <w:rsid w:val="00363B94"/>
    <w:rsid w:val="003B598C"/>
    <w:rsid w:val="004174FC"/>
    <w:rsid w:val="00460BD6"/>
    <w:rsid w:val="004859B3"/>
    <w:rsid w:val="004C083C"/>
    <w:rsid w:val="004E1650"/>
    <w:rsid w:val="005027B1"/>
    <w:rsid w:val="00516744"/>
    <w:rsid w:val="0053367A"/>
    <w:rsid w:val="00544D48"/>
    <w:rsid w:val="005877C0"/>
    <w:rsid w:val="005A6B14"/>
    <w:rsid w:val="005D0B97"/>
    <w:rsid w:val="005F5D6C"/>
    <w:rsid w:val="006132CE"/>
    <w:rsid w:val="00613F2E"/>
    <w:rsid w:val="006A1A75"/>
    <w:rsid w:val="006A2CF5"/>
    <w:rsid w:val="006F1B6F"/>
    <w:rsid w:val="00791637"/>
    <w:rsid w:val="0080122F"/>
    <w:rsid w:val="00815B47"/>
    <w:rsid w:val="00822206"/>
    <w:rsid w:val="008368CB"/>
    <w:rsid w:val="00851B14"/>
    <w:rsid w:val="0085501C"/>
    <w:rsid w:val="00893FBD"/>
    <w:rsid w:val="008B75A4"/>
    <w:rsid w:val="008C2796"/>
    <w:rsid w:val="008D23C6"/>
    <w:rsid w:val="008D3030"/>
    <w:rsid w:val="008E3848"/>
    <w:rsid w:val="00924EE0"/>
    <w:rsid w:val="009612AA"/>
    <w:rsid w:val="009E39A7"/>
    <w:rsid w:val="00A415B7"/>
    <w:rsid w:val="00AD5D0C"/>
    <w:rsid w:val="00B31D18"/>
    <w:rsid w:val="00B42885"/>
    <w:rsid w:val="00B50C20"/>
    <w:rsid w:val="00B6769C"/>
    <w:rsid w:val="00BB22CC"/>
    <w:rsid w:val="00BB41C8"/>
    <w:rsid w:val="00BE5E72"/>
    <w:rsid w:val="00BF0A0F"/>
    <w:rsid w:val="00BF2E15"/>
    <w:rsid w:val="00BF7F55"/>
    <w:rsid w:val="00C05DD8"/>
    <w:rsid w:val="00C15447"/>
    <w:rsid w:val="00C35D01"/>
    <w:rsid w:val="00CB5651"/>
    <w:rsid w:val="00CC20CB"/>
    <w:rsid w:val="00CF44DF"/>
    <w:rsid w:val="00D04E0B"/>
    <w:rsid w:val="00D62DA0"/>
    <w:rsid w:val="00D6543C"/>
    <w:rsid w:val="00DF594D"/>
    <w:rsid w:val="00E14FEE"/>
    <w:rsid w:val="00E71368"/>
    <w:rsid w:val="00E93816"/>
    <w:rsid w:val="00EA59ED"/>
    <w:rsid w:val="00EF48F2"/>
    <w:rsid w:val="00F04010"/>
    <w:rsid w:val="00FC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E169F2"/>
  <w15:chartTrackingRefBased/>
  <w15:docId w15:val="{BEA1F237-2A7E-4885-982E-C876E06D1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67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893FBD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6167F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13F2E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B6769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8E3848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B6769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22685A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96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9612AA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9612AA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9612AA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13F2E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13F2E"/>
    <w:pPr>
      <w:jc w:val="right"/>
    </w:pPr>
  </w:style>
  <w:style w:type="paragraph" w:customStyle="1" w:styleId="EPFooter">
    <w:name w:val="EPFooter"/>
    <w:basedOn w:val="Normal"/>
    <w:rsid w:val="00B6769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22685A"/>
    <w:rPr>
      <w:sz w:val="24"/>
    </w:rPr>
  </w:style>
  <w:style w:type="paragraph" w:customStyle="1" w:styleId="Lgendesigne">
    <w:name w:val="Légende signe"/>
    <w:basedOn w:val="Normal"/>
    <w:rsid w:val="00851B14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851B14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851B14"/>
    <w:rPr>
      <w:sz w:val="18"/>
    </w:rPr>
  </w:style>
  <w:style w:type="paragraph" w:styleId="FootnoteText">
    <w:name w:val="footnote text"/>
    <w:basedOn w:val="Normal"/>
    <w:link w:val="FootnoteTextChar"/>
    <w:unhideWhenUsed/>
    <w:rsid w:val="00851B14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851B14"/>
  </w:style>
  <w:style w:type="character" w:styleId="FootnoteReference">
    <w:name w:val="footnote reference"/>
    <w:basedOn w:val="DefaultParagraphFont"/>
    <w:unhideWhenUsed/>
    <w:rsid w:val="00851B14"/>
    <w:rPr>
      <w:vertAlign w:val="superscript"/>
    </w:rPr>
  </w:style>
  <w:style w:type="paragraph" w:customStyle="1" w:styleId="Normal12Hanging">
    <w:name w:val="Normal12Hanging"/>
    <w:basedOn w:val="Normal"/>
    <w:rsid w:val="008C2796"/>
    <w:pPr>
      <w:spacing w:after="240"/>
      <w:ind w:left="567" w:hanging="567"/>
    </w:pPr>
  </w:style>
  <w:style w:type="character" w:styleId="Hyperlink">
    <w:name w:val="Hyperlink"/>
    <w:basedOn w:val="DefaultParagraphFont"/>
    <w:unhideWhenUsed/>
    <w:rsid w:val="008C2796"/>
    <w:rPr>
      <w:color w:val="0563C1" w:themeColor="hyperlink"/>
      <w:u w:val="single"/>
    </w:rPr>
  </w:style>
  <w:style w:type="paragraph" w:customStyle="1" w:styleId="Normal24a">
    <w:name w:val="Normal24a"/>
    <w:basedOn w:val="Normal"/>
    <w:rsid w:val="008C2796"/>
    <w:pPr>
      <w:spacing w:after="480"/>
    </w:pPr>
  </w:style>
  <w:style w:type="paragraph" w:customStyle="1" w:styleId="NormalBoldCenter">
    <w:name w:val="NormalBoldCenter"/>
    <w:basedOn w:val="Normal"/>
    <w:rsid w:val="008C2796"/>
    <w:pPr>
      <w:jc w:val="center"/>
    </w:pPr>
    <w:rPr>
      <w:b/>
    </w:rPr>
  </w:style>
  <w:style w:type="paragraph" w:customStyle="1" w:styleId="Footprint12b">
    <w:name w:val="Footprint12b"/>
    <w:basedOn w:val="Normal"/>
    <w:rsid w:val="008C2796"/>
    <w:pPr>
      <w:spacing w:before="240"/>
    </w:pPr>
    <w:rPr>
      <w:szCs w:val="24"/>
    </w:rPr>
  </w:style>
  <w:style w:type="paragraph" w:customStyle="1" w:styleId="NormalSingle">
    <w:name w:val="NormalSingle"/>
    <w:basedOn w:val="Normal"/>
    <w:qFormat/>
    <w:rsid w:val="008C2796"/>
    <w:rPr>
      <w:szCs w:val="24"/>
    </w:rPr>
  </w:style>
  <w:style w:type="paragraph" w:styleId="Footer">
    <w:name w:val="footer"/>
    <w:basedOn w:val="Normal"/>
    <w:link w:val="FooterChar"/>
    <w:semiHidden/>
    <w:rsid w:val="008C27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8C2796"/>
    <w:rPr>
      <w:sz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6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europarl.europa.eu/data-protect/index.do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AB68E-0F0F-4AE0-85AB-3ED11796F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1351</Words>
  <Characters>8081</Characters>
  <Application>Microsoft Office Word</Application>
  <DocSecurity>0</DocSecurity>
  <Lines>179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PR_NLE-AP_Agreement</vt:lpstr>
    </vt:vector>
  </TitlesOfParts>
  <Company>European Parliament</Company>
  <LinksUpToDate>false</LinksUpToDate>
  <CharactersWithSpaces>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PR_NLE-AP_Agreement</dc:title>
  <dc:subject/>
  <dc:creator>EINHORNOVA Marta</dc:creator>
  <cp:keywords/>
  <cp:lastModifiedBy>HANUSOVA Jindra</cp:lastModifiedBy>
  <cp:revision>2</cp:revision>
  <cp:lastPrinted>2002-12-11T09:25:00Z</cp:lastPrinted>
  <dcterms:created xsi:type="dcterms:W3CDTF">2024-11-28T14:09:00Z</dcterms:created>
  <dcterms:modified xsi:type="dcterms:W3CDTF">2024-11-28T14:09:00Z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Created with">
    <vt:lpwstr>10.0.0 Build [20241005]</vt:lpwstr>
  </property>
  <property fmtid="{D5CDD505-2E9C-101B-9397-08002B2CF9AE}" pid="4" name="LastEdited with">
    <vt:lpwstr>10.0.0 Build [20241005]</vt:lpwstr>
  </property>
  <property fmtid="{D5CDD505-2E9C-101B-9397-08002B2CF9AE}" pid="5" name="&lt;FdR&gt;">
    <vt:lpwstr>1308977</vt:lpwstr>
  </property>
  <property fmtid="{D5CDD505-2E9C-101B-9397-08002B2CF9AE}" pid="6" name="&lt;Type&gt;">
    <vt:lpwstr>PR</vt:lpwstr>
  </property>
  <property fmtid="{D5CDD505-2E9C-101B-9397-08002B2CF9AE}" pid="7" name="&lt;ModelCod&gt;">
    <vt:lpwstr>\\eiciLUXpr1\pdocep$\DocEP\DOCS\General\PR\PR_Leg\NLE\PR_NLE-AP_Agreement.dotx(12/08/2024 16:05:00)</vt:lpwstr>
  </property>
  <property fmtid="{D5CDD505-2E9C-101B-9397-08002B2CF9AE}" pid="8" name="&lt;ModelTra&gt;">
    <vt:lpwstr>\\eiciLUXpr1\pdocep$\DocEP\TRANSFIL\CS\PR_NLE-AP_Agreement.CS(07/10/2024 15:33:02)</vt:lpwstr>
  </property>
  <property fmtid="{D5CDD505-2E9C-101B-9397-08002B2CF9AE}" pid="9" name="&lt;Model&gt;">
    <vt:lpwstr>PR_NLE-AP_Agreement</vt:lpwstr>
  </property>
  <property fmtid="{D5CDD505-2E9C-101B-9397-08002B2CF9AE}" pid="10" name="FooterPath">
    <vt:lpwstr>PR\1308977CS.docx</vt:lpwstr>
  </property>
  <property fmtid="{D5CDD505-2E9C-101B-9397-08002B2CF9AE}" pid="11" name="PE number">
    <vt:lpwstr>765.182</vt:lpwstr>
  </property>
  <property fmtid="{D5CDD505-2E9C-101B-9397-08002B2CF9AE}" pid="12" name="Bookout">
    <vt:lpwstr>OK - 2024/11/28 15:09</vt:lpwstr>
  </property>
  <property fmtid="{D5CDD505-2E9C-101B-9397-08002B2CF9AE}" pid="13" name="SDLStudio">
    <vt:lpwstr/>
  </property>
</Properties>
</file>