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67112" w:rsidRPr="00B00436" w:rsidTr="00C85D0F">
        <w:trPr>
          <w:trHeight w:hRule="exact" w:val="1418"/>
        </w:trPr>
        <w:tc>
          <w:tcPr>
            <w:tcW w:w="6804" w:type="dxa"/>
            <w:shd w:val="clear" w:color="auto" w:fill="auto"/>
            <w:vAlign w:val="center"/>
          </w:tcPr>
          <w:p w:rsidR="00C05DD8" w:rsidRPr="00B00436" w:rsidRDefault="00C33F59" w:rsidP="00C85D0F">
            <w:pPr>
              <w:pStyle w:val="EPName"/>
            </w:pPr>
            <w:r w:rsidRPr="00B00436">
              <w:t>Europa-Parlamentet</w:t>
            </w:r>
          </w:p>
          <w:p w:rsidR="00C05DD8" w:rsidRPr="00B00436" w:rsidRDefault="00C33F59" w:rsidP="00553671">
            <w:pPr>
              <w:pStyle w:val="EPTerm"/>
            </w:pPr>
            <w:r w:rsidRPr="00B00436">
              <w:t>2024-2029</w:t>
            </w:r>
          </w:p>
        </w:tc>
        <w:tc>
          <w:tcPr>
            <w:tcW w:w="2268" w:type="dxa"/>
            <w:shd w:val="clear" w:color="auto" w:fill="auto"/>
          </w:tcPr>
          <w:p w:rsidR="00C05DD8" w:rsidRPr="00B00436" w:rsidRDefault="00C33F59" w:rsidP="00C85D0F">
            <w:pPr>
              <w:pStyle w:val="EPLogo"/>
            </w:pPr>
            <w:r w:rsidRPr="00B0043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B00436" w:rsidRDefault="009612AA" w:rsidP="009612AA">
      <w:pPr>
        <w:pStyle w:val="LineTop"/>
      </w:pPr>
    </w:p>
    <w:p w:rsidR="009612AA" w:rsidRPr="00B00436" w:rsidRDefault="00C33F59" w:rsidP="009612AA">
      <w:pPr>
        <w:pStyle w:val="EPBody"/>
      </w:pPr>
      <w:r w:rsidRPr="00B00436">
        <w:rPr>
          <w:rStyle w:val="HideTWBExt"/>
        </w:rPr>
        <w:t>&lt;</w:t>
      </w:r>
      <w:r w:rsidRPr="00B00436">
        <w:rPr>
          <w:rStyle w:val="HideTWBExt"/>
          <w:i w:val="0"/>
        </w:rPr>
        <w:t>Commission</w:t>
      </w:r>
      <w:r w:rsidRPr="00B00436">
        <w:rPr>
          <w:rStyle w:val="HideTWBExt"/>
        </w:rPr>
        <w:t>&gt;</w:t>
      </w:r>
      <w:r w:rsidRPr="00B00436">
        <w:rPr>
          <w:rStyle w:val="HideTWBInt"/>
          <w:color w:val="auto"/>
        </w:rPr>
        <w:t>{PECH}</w:t>
      </w:r>
      <w:r w:rsidRPr="00B00436">
        <w:t>Fiskeriudvalget</w:t>
      </w:r>
      <w:r w:rsidRPr="00B00436">
        <w:rPr>
          <w:rStyle w:val="HideTWBExt"/>
        </w:rPr>
        <w:t>&lt;/</w:t>
      </w:r>
      <w:r w:rsidRPr="00B00436">
        <w:rPr>
          <w:rStyle w:val="HideTWBExt"/>
          <w:i w:val="0"/>
        </w:rPr>
        <w:t>Commission</w:t>
      </w:r>
      <w:r w:rsidRPr="00B00436">
        <w:rPr>
          <w:rStyle w:val="HideTWBExt"/>
        </w:rPr>
        <w:t>&gt;</w:t>
      </w:r>
    </w:p>
    <w:p w:rsidR="009612AA" w:rsidRPr="00B00436" w:rsidRDefault="009612AA" w:rsidP="009612AA">
      <w:pPr>
        <w:pStyle w:val="LineBottom"/>
      </w:pPr>
    </w:p>
    <w:p w:rsidR="00363B94" w:rsidRPr="00B00436" w:rsidRDefault="00C33F59">
      <w:pPr>
        <w:pStyle w:val="CoverReference"/>
      </w:pPr>
      <w:r w:rsidRPr="00B00436">
        <w:rPr>
          <w:rStyle w:val="HideTWBExt"/>
          <w:b w:val="0"/>
        </w:rPr>
        <w:t>&lt;RefProc&gt;</w:t>
      </w:r>
      <w:r w:rsidRPr="00B00436">
        <w:t>2024/0159</w:t>
      </w:r>
      <w:r w:rsidRPr="00B00436">
        <w:rPr>
          <w:rStyle w:val="HideTWBExt"/>
          <w:b w:val="0"/>
        </w:rPr>
        <w:t>&lt;/RefProc&gt;&lt;RefTypeProc&gt;</w:t>
      </w:r>
      <w:r w:rsidRPr="00B00436">
        <w:t>(NLE)</w:t>
      </w:r>
      <w:r w:rsidRPr="00B00436">
        <w:rPr>
          <w:rStyle w:val="HideTWBExt"/>
          <w:b w:val="0"/>
        </w:rPr>
        <w:t>&lt;/RefTypeProc&gt;</w:t>
      </w:r>
    </w:p>
    <w:p w:rsidR="00363B94" w:rsidRPr="00B00436" w:rsidRDefault="00C33F59">
      <w:pPr>
        <w:pStyle w:val="CoverDate"/>
      </w:pPr>
      <w:r w:rsidRPr="00B00436">
        <w:rPr>
          <w:rStyle w:val="HideTWBExt"/>
        </w:rPr>
        <w:t>&lt;Date&gt;</w:t>
      </w:r>
      <w:r w:rsidRPr="00B00436">
        <w:rPr>
          <w:rStyle w:val="HideTWBInt"/>
          <w:color w:val="auto"/>
        </w:rPr>
        <w:t>{14/11/2024}</w:t>
      </w:r>
      <w:r w:rsidRPr="00B00436">
        <w:t>14.11.2024</w:t>
      </w:r>
      <w:r w:rsidRPr="00B00436">
        <w:rPr>
          <w:rStyle w:val="HideTWBExt"/>
        </w:rPr>
        <w:t>&lt;/Date&gt;</w:t>
      </w:r>
    </w:p>
    <w:p w:rsidR="00363B94" w:rsidRPr="00B00436" w:rsidRDefault="00C33F59">
      <w:pPr>
        <w:pStyle w:val="CoverDocType"/>
      </w:pPr>
      <w:r w:rsidRPr="00B00436">
        <w:rPr>
          <w:rStyle w:val="HideTWBExt"/>
          <w:b w:val="0"/>
        </w:rPr>
        <w:t>&lt;RefProcLect&gt;</w:t>
      </w:r>
      <w:r w:rsidRPr="00B00436">
        <w:t>***</w:t>
      </w:r>
      <w:r w:rsidRPr="00B00436">
        <w:rPr>
          <w:rStyle w:val="HideTWBExt"/>
          <w:b w:val="0"/>
        </w:rPr>
        <w:t>&lt;/RefProcLect&gt;</w:t>
      </w:r>
    </w:p>
    <w:p w:rsidR="00363B94" w:rsidRPr="00B00436" w:rsidRDefault="00C33F59">
      <w:pPr>
        <w:pStyle w:val="CoverDocType24a"/>
      </w:pPr>
      <w:r w:rsidRPr="00B00436">
        <w:rPr>
          <w:rStyle w:val="HideTWBExt"/>
          <w:b w:val="0"/>
        </w:rPr>
        <w:t>&lt;TitreType&gt;</w:t>
      </w:r>
      <w:r w:rsidRPr="00B00436">
        <w:t>UDKAST TIL HENSTILLING</w:t>
      </w:r>
      <w:r w:rsidRPr="00B00436">
        <w:rPr>
          <w:rStyle w:val="HideTWBExt"/>
          <w:b w:val="0"/>
        </w:rPr>
        <w:t>&lt;/TitreType&gt;</w:t>
      </w:r>
    </w:p>
    <w:p w:rsidR="00367A49" w:rsidRPr="00B00436" w:rsidRDefault="00C33F59" w:rsidP="00367A49">
      <w:pPr>
        <w:pStyle w:val="CoverNormal"/>
        <w:rPr>
          <w:bCs/>
          <w:sz w:val="23"/>
          <w:szCs w:val="23"/>
        </w:rPr>
      </w:pPr>
      <w:r w:rsidRPr="00B00436">
        <w:rPr>
          <w:rStyle w:val="HideTWBExt"/>
        </w:rPr>
        <w:t>&lt;Titre&gt;</w:t>
      </w:r>
      <w:r w:rsidRPr="00B00436">
        <w:t>om udkast til Rådets afgørelse om indgåelse på Den Europæiske Unions vegne af protokollen om gennemførelse af fiskeripartnerskabsaftalen</w:t>
      </w:r>
    </w:p>
    <w:p w:rsidR="00363B94" w:rsidRPr="00B00436" w:rsidRDefault="00C33F59" w:rsidP="00367A49">
      <w:pPr>
        <w:pStyle w:val="CoverNormal"/>
      </w:pPr>
      <w:r w:rsidRPr="00B00436">
        <w:rPr>
          <w:sz w:val="23"/>
        </w:rPr>
        <w:t>mellem Det Europæiske Fællesskab og Republikken Guinea-Bissau (2024-2029)</w:t>
      </w:r>
      <w:r w:rsidRPr="00B00436">
        <w:rPr>
          <w:rStyle w:val="HideTWBExt"/>
        </w:rPr>
        <w:t>&lt;/Titre&gt;</w:t>
      </w:r>
    </w:p>
    <w:p w:rsidR="00363B94" w:rsidRPr="00B00436" w:rsidRDefault="00C33F59">
      <w:pPr>
        <w:pStyle w:val="CoverNormal24a"/>
      </w:pPr>
      <w:r w:rsidRPr="00B00436">
        <w:rPr>
          <w:rStyle w:val="HideTWBExt"/>
        </w:rPr>
        <w:t>&lt;DocRef&gt;</w:t>
      </w:r>
      <w:r w:rsidRPr="00B00436">
        <w:t>(12475/2024 – C10</w:t>
      </w:r>
      <w:r w:rsidRPr="00B00436">
        <w:noBreakHyphen/>
        <w:t>0108</w:t>
      </w:r>
      <w:r w:rsidRPr="00B00436">
        <w:t>/2024 – 2024/0159(NLE))</w:t>
      </w:r>
      <w:r w:rsidRPr="00B00436">
        <w:rPr>
          <w:rStyle w:val="HideTWBExt"/>
        </w:rPr>
        <w:t>&lt;/DocRef&gt;</w:t>
      </w:r>
    </w:p>
    <w:p w:rsidR="00363B94" w:rsidRPr="00B00436" w:rsidRDefault="00C33F59">
      <w:pPr>
        <w:pStyle w:val="CoverNormal24a"/>
      </w:pPr>
      <w:r w:rsidRPr="00B00436">
        <w:rPr>
          <w:rStyle w:val="HideTWBExt"/>
        </w:rPr>
        <w:t>&lt;Commission&gt;</w:t>
      </w:r>
      <w:r w:rsidRPr="00B00436">
        <w:rPr>
          <w:rStyle w:val="HideTWBInt"/>
          <w:color w:val="auto"/>
        </w:rPr>
        <w:t>{PECH}</w:t>
      </w:r>
      <w:r w:rsidRPr="00B00436">
        <w:t>Fiskeriudvalget</w:t>
      </w:r>
      <w:r w:rsidRPr="00B00436">
        <w:rPr>
          <w:rStyle w:val="HideTWBExt"/>
        </w:rPr>
        <w:t>&lt;/Commission&gt;</w:t>
      </w:r>
    </w:p>
    <w:p w:rsidR="00363B94" w:rsidRPr="00B00436" w:rsidRDefault="00C33F59">
      <w:pPr>
        <w:pStyle w:val="CoverNormal24a"/>
      </w:pPr>
      <w:r w:rsidRPr="00B00436">
        <w:t xml:space="preserve">Ordfører: </w:t>
      </w:r>
      <w:r w:rsidRPr="00B00436">
        <w:rPr>
          <w:rStyle w:val="HideTWBExt"/>
        </w:rPr>
        <w:t>&lt;Depute&gt;</w:t>
      </w:r>
      <w:r w:rsidRPr="00B00436">
        <w:t>Eric Sargiacomo</w:t>
      </w:r>
      <w:r w:rsidRPr="00B00436">
        <w:rPr>
          <w:rStyle w:val="HideTWBExt"/>
        </w:rPr>
        <w:t>&lt;/Depute&gt;</w:t>
      </w:r>
    </w:p>
    <w:p w:rsidR="00B42885" w:rsidRPr="00B00436" w:rsidRDefault="00B42885" w:rsidP="00B42885">
      <w:pPr>
        <w:pStyle w:val="CoverNormal"/>
      </w:pPr>
    </w:p>
    <w:p w:rsidR="00553671" w:rsidRPr="00B00436" w:rsidRDefault="00C33F59" w:rsidP="00016E55">
      <w:r w:rsidRPr="00B00436">
        <w:br w:type="page"/>
      </w:r>
      <w:r w:rsidRPr="00B00436">
        <w:lastRenderedPageBreak/>
        <w:fldChar w:fldCharType="begin"/>
      </w:r>
      <w:r w:rsidRPr="00B00436">
        <w:instrText xml:space="preserve"> TITLE  \* MERGEFORMAT </w:instrText>
      </w:r>
      <w:r w:rsidRPr="00B00436">
        <w:fldChar w:fldCharType="separate"/>
      </w:r>
      <w:r>
        <w:t>PR_NLE-AP_Agreement</w:t>
      </w:r>
      <w:r w:rsidRPr="00B00436">
        <w:fldChar w:fldCharType="end"/>
      </w:r>
    </w:p>
    <w:p w:rsidR="00553671" w:rsidRPr="00B00436" w:rsidRDefault="00553671" w:rsidP="00016E55"/>
    <w:p w:rsidR="00553671" w:rsidRPr="00B00436" w:rsidRDefault="00553671"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67112" w:rsidRPr="00B00436">
        <w:tc>
          <w:tcPr>
            <w:tcW w:w="5811" w:type="dxa"/>
          </w:tcPr>
          <w:p w:rsidR="00553671" w:rsidRPr="00B00436" w:rsidRDefault="00C33F59" w:rsidP="00016E55">
            <w:pPr>
              <w:pStyle w:val="Lgendetitre"/>
            </w:pPr>
            <w:r w:rsidRPr="00B00436">
              <w:t>Tegnforklaring</w:t>
            </w:r>
          </w:p>
        </w:tc>
      </w:tr>
      <w:tr w:rsidR="00467112" w:rsidRPr="00B00436" w:rsidTr="004247A2">
        <w:trPr>
          <w:cantSplit/>
          <w:trHeight w:val="1807"/>
        </w:trPr>
        <w:tc>
          <w:tcPr>
            <w:tcW w:w="5811" w:type="dxa"/>
            <w:tcBorders>
              <w:bottom w:val="single" w:sz="4" w:space="0" w:color="auto"/>
            </w:tcBorders>
          </w:tcPr>
          <w:p w:rsidR="00553671" w:rsidRPr="00B00436" w:rsidRDefault="00C33F59" w:rsidP="00717061">
            <w:pPr>
              <w:pStyle w:val="Lgendesigne"/>
            </w:pPr>
            <w:r w:rsidRPr="00B00436">
              <w:tab/>
              <w:t>*</w:t>
            </w:r>
            <w:r w:rsidRPr="00B00436">
              <w:tab/>
              <w:t>Høringsprocedure</w:t>
            </w:r>
          </w:p>
          <w:p w:rsidR="00553671" w:rsidRPr="00B00436" w:rsidRDefault="00C33F59" w:rsidP="00717061">
            <w:pPr>
              <w:pStyle w:val="Lgendesigne"/>
            </w:pPr>
            <w:r w:rsidRPr="00B00436">
              <w:tab/>
              <w:t>***</w:t>
            </w:r>
            <w:r w:rsidRPr="00B00436">
              <w:tab/>
              <w:t>Godkendelsesprocedure</w:t>
            </w:r>
          </w:p>
          <w:p w:rsidR="00553671" w:rsidRPr="00B00436" w:rsidRDefault="00C33F59" w:rsidP="00717061">
            <w:pPr>
              <w:pStyle w:val="Lgendesigne"/>
            </w:pPr>
            <w:r w:rsidRPr="00B00436">
              <w:tab/>
              <w:t>***I</w:t>
            </w:r>
            <w:r w:rsidRPr="00B00436">
              <w:tab/>
              <w:t xml:space="preserve">Almindelig </w:t>
            </w:r>
            <w:r w:rsidRPr="00B00436">
              <w:t>lovgivningsprocedure (førstebehandling)</w:t>
            </w:r>
          </w:p>
          <w:p w:rsidR="00553671" w:rsidRPr="00B00436" w:rsidRDefault="00C33F59" w:rsidP="00717061">
            <w:pPr>
              <w:pStyle w:val="Lgendesigne"/>
            </w:pPr>
            <w:r w:rsidRPr="00B00436">
              <w:tab/>
              <w:t>***II</w:t>
            </w:r>
            <w:r w:rsidRPr="00B00436">
              <w:tab/>
              <w:t>Almindelig lovgivningsprocedure (andenbehandling)</w:t>
            </w:r>
          </w:p>
          <w:p w:rsidR="00553671" w:rsidRPr="00B00436" w:rsidRDefault="00C33F59" w:rsidP="00717061">
            <w:pPr>
              <w:pStyle w:val="Lgendesigne"/>
            </w:pPr>
            <w:r w:rsidRPr="00B00436">
              <w:tab/>
              <w:t>***III</w:t>
            </w:r>
            <w:r w:rsidRPr="00B00436">
              <w:tab/>
              <w:t>Almindelig lovgivningsprocedure (tredjebehandling)</w:t>
            </w:r>
          </w:p>
          <w:p w:rsidR="00553671" w:rsidRPr="00B00436" w:rsidRDefault="00553671" w:rsidP="00717061">
            <w:pPr>
              <w:pStyle w:val="Lgendestandard"/>
            </w:pPr>
          </w:p>
          <w:p w:rsidR="00553671" w:rsidRPr="00B00436" w:rsidRDefault="00C33F59" w:rsidP="00717061">
            <w:pPr>
              <w:pStyle w:val="Lgendestandard"/>
            </w:pPr>
            <w:r w:rsidRPr="00B00436">
              <w:t>(Proceduren afhænger af, hvilket retsgrundlag der er valgt i udkastet til retsakt)</w:t>
            </w:r>
          </w:p>
          <w:p w:rsidR="00553671" w:rsidRPr="00B00436" w:rsidRDefault="00553671" w:rsidP="00B837B7">
            <w:pPr>
              <w:pStyle w:val="Lgendestandard"/>
            </w:pPr>
          </w:p>
        </w:tc>
      </w:tr>
    </w:tbl>
    <w:p w:rsidR="00553671" w:rsidRPr="00B00436" w:rsidRDefault="00553671" w:rsidP="00016E55"/>
    <w:p w:rsidR="00363B94" w:rsidRPr="00B00436" w:rsidRDefault="00363B94" w:rsidP="00613F2E">
      <w:pPr>
        <w:widowControl/>
        <w:tabs>
          <w:tab w:val="center" w:pos="4677"/>
        </w:tabs>
      </w:pPr>
    </w:p>
    <w:p w:rsidR="00363B94" w:rsidRPr="00B00436" w:rsidRDefault="00C33F59">
      <w:pPr>
        <w:pStyle w:val="TOCHeading"/>
      </w:pPr>
      <w:r w:rsidRPr="00B00436">
        <w:br w:type="page"/>
      </w:r>
      <w:r w:rsidRPr="00B00436">
        <w:lastRenderedPageBreak/>
        <w:t>INDHOLD</w:t>
      </w:r>
    </w:p>
    <w:p w:rsidR="00363B94" w:rsidRPr="00B00436" w:rsidRDefault="00C33F59">
      <w:pPr>
        <w:pStyle w:val="TOCPage"/>
      </w:pPr>
      <w:r w:rsidRPr="00B00436">
        <w:t>Side</w:t>
      </w:r>
    </w:p>
    <w:p w:rsidR="00C33F59" w:rsidRDefault="00C33F59">
      <w:pPr>
        <w:pStyle w:val="TOC1"/>
        <w:tabs>
          <w:tab w:val="right" w:leader="dot" w:pos="9060"/>
        </w:tabs>
        <w:rPr>
          <w:rFonts w:asciiTheme="minorHAnsi" w:eastAsiaTheme="minorEastAsia" w:hAnsiTheme="minorHAnsi" w:cstheme="minorBidi"/>
          <w:noProof/>
          <w:sz w:val="22"/>
          <w:szCs w:val="22"/>
          <w:lang w:val="en-GB"/>
        </w:rPr>
      </w:pPr>
      <w:r w:rsidRPr="00B00436">
        <w:fldChar w:fldCharType="begin"/>
      </w:r>
      <w:r w:rsidRPr="00B00436">
        <w:instrText xml:space="preserve"> TOC \t "PageHeading</w:instrText>
      </w:r>
      <w:r w:rsidR="00367A49" w:rsidRPr="00B00436">
        <w:instrText>;</w:instrText>
      </w:r>
      <w:r w:rsidRPr="00B00436">
        <w:instrText xml:space="preserve">1" </w:instrText>
      </w:r>
      <w:r w:rsidRPr="00B00436">
        <w:fldChar w:fldCharType="separate"/>
      </w:r>
      <w:r>
        <w:rPr>
          <w:noProof/>
        </w:rPr>
        <w:t>FORSLAG TIL EUROPA-PARLAMENTETS LOVGIVNINGSMÆSSIGE BESLUTNING</w:t>
      </w:r>
      <w:r>
        <w:rPr>
          <w:noProof/>
        </w:rPr>
        <w:tab/>
      </w:r>
      <w:r>
        <w:rPr>
          <w:noProof/>
        </w:rPr>
        <w:fldChar w:fldCharType="begin"/>
      </w:r>
      <w:r>
        <w:rPr>
          <w:noProof/>
        </w:rPr>
        <w:instrText xml:space="preserve"> PAGEREF _Toc183619286 \h </w:instrText>
      </w:r>
      <w:r>
        <w:rPr>
          <w:noProof/>
        </w:rPr>
      </w:r>
      <w:r>
        <w:rPr>
          <w:noProof/>
        </w:rPr>
        <w:fldChar w:fldCharType="separate"/>
      </w:r>
      <w:r>
        <w:rPr>
          <w:noProof/>
        </w:rPr>
        <w:t>5</w:t>
      </w:r>
      <w:r>
        <w:rPr>
          <w:noProof/>
        </w:rPr>
        <w:fldChar w:fldCharType="end"/>
      </w:r>
    </w:p>
    <w:p w:rsidR="00C33F59" w:rsidRDefault="00C33F59">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_Toc183619287 \h </w:instrText>
      </w:r>
      <w:r>
        <w:rPr>
          <w:noProof/>
        </w:rPr>
      </w:r>
      <w:r>
        <w:rPr>
          <w:noProof/>
        </w:rPr>
        <w:fldChar w:fldCharType="separate"/>
      </w:r>
      <w:r>
        <w:rPr>
          <w:noProof/>
        </w:rPr>
        <w:t>6</w:t>
      </w:r>
      <w:r>
        <w:rPr>
          <w:noProof/>
        </w:rPr>
        <w:fldChar w:fldCharType="end"/>
      </w:r>
    </w:p>
    <w:p w:rsidR="00C33F59" w:rsidRDefault="00C33F59">
      <w:pPr>
        <w:pStyle w:val="TOC1"/>
        <w:tabs>
          <w:tab w:val="right" w:leader="dot" w:pos="9060"/>
        </w:tabs>
        <w:rPr>
          <w:rFonts w:asciiTheme="minorHAnsi" w:eastAsiaTheme="minorEastAsia" w:hAnsiTheme="minorHAnsi" w:cstheme="minorBidi"/>
          <w:noProof/>
          <w:sz w:val="22"/>
          <w:szCs w:val="22"/>
          <w:lang w:val="en-GB"/>
        </w:rPr>
      </w:pPr>
      <w:r>
        <w:rPr>
          <w:noProof/>
        </w:rPr>
        <w:t>BILAG: ENHEDER ELLER PERSONER, SOM ORDFØREREN HAR MODTAGET INPUT FRA</w:t>
      </w:r>
      <w:r>
        <w:rPr>
          <w:noProof/>
        </w:rPr>
        <w:tab/>
      </w:r>
      <w:r>
        <w:rPr>
          <w:noProof/>
        </w:rPr>
        <w:fldChar w:fldCharType="begin"/>
      </w:r>
      <w:r>
        <w:rPr>
          <w:noProof/>
        </w:rPr>
        <w:instrText xml:space="preserve"> PAGEREF _Toc183619288 \h </w:instrText>
      </w:r>
      <w:r>
        <w:rPr>
          <w:noProof/>
        </w:rPr>
      </w:r>
      <w:r>
        <w:rPr>
          <w:noProof/>
        </w:rPr>
        <w:fldChar w:fldCharType="separate"/>
      </w:r>
      <w:r>
        <w:rPr>
          <w:noProof/>
        </w:rPr>
        <w:t>9</w:t>
      </w:r>
      <w:r>
        <w:rPr>
          <w:noProof/>
        </w:rPr>
        <w:fldChar w:fldCharType="end"/>
      </w:r>
    </w:p>
    <w:p w:rsidR="00363B94" w:rsidRPr="00B00436" w:rsidRDefault="00C33F59" w:rsidP="001D7F84">
      <w:pPr>
        <w:pStyle w:val="PageHeading"/>
      </w:pPr>
      <w:r w:rsidRPr="00B00436">
        <w:fldChar w:fldCharType="end"/>
      </w:r>
      <w:r w:rsidRPr="00B00436">
        <w:br w:type="page"/>
      </w:r>
      <w:r w:rsidRPr="00B00436">
        <w:lastRenderedPageBreak/>
        <w:br w:type="page"/>
      </w:r>
      <w:bookmarkStart w:id="0" w:name="_Toc183619286"/>
      <w:r w:rsidRPr="00B00436">
        <w:t>FORSLAG TIL EUROPA-PARLAMENTETS LOVGIVNINGSMÆSSIGE</w:t>
      </w:r>
      <w:r w:rsidRPr="00B00436">
        <w:t xml:space="preserve"> BESLUTNING</w:t>
      </w:r>
      <w:bookmarkEnd w:id="0"/>
    </w:p>
    <w:p w:rsidR="00363B94" w:rsidRPr="00B00436" w:rsidRDefault="00C33F59" w:rsidP="00367A49">
      <w:pPr>
        <w:pStyle w:val="NormalBold"/>
      </w:pPr>
      <w:r w:rsidRPr="00B00436">
        <w:t>om udkast til Rådets afgørelse om indgåelse på Den Europæiske Unions vegne af protokollen om gennemførelse af fiskeripartnerskabsaftalen mellem Det Europæiske Fællesskab og Republikken Guinea-Bissau (2024-2029)</w:t>
      </w:r>
    </w:p>
    <w:p w:rsidR="00363B94" w:rsidRPr="00B00436" w:rsidRDefault="00C33F59">
      <w:pPr>
        <w:pStyle w:val="NormalBold12a"/>
      </w:pPr>
      <w:r w:rsidRPr="00B00436">
        <w:t>(12475/2024 – C10</w:t>
      </w:r>
      <w:r w:rsidRPr="00B00436">
        <w:noBreakHyphen/>
        <w:t>0108/2024 – 202</w:t>
      </w:r>
      <w:r w:rsidRPr="00B00436">
        <w:t>4/0159(NLE))</w:t>
      </w:r>
    </w:p>
    <w:p w:rsidR="00363B94" w:rsidRPr="00B00436" w:rsidRDefault="00C33F59" w:rsidP="00893FBD">
      <w:pPr>
        <w:pStyle w:val="NormalBold"/>
      </w:pPr>
      <w:r w:rsidRPr="00B00436">
        <w:t>(Godkendelse)</w:t>
      </w:r>
    </w:p>
    <w:p w:rsidR="00363B94" w:rsidRPr="00B00436" w:rsidRDefault="00C33F59">
      <w:pPr>
        <w:pStyle w:val="EPComma"/>
      </w:pPr>
      <w:r w:rsidRPr="00B00436">
        <w:rPr>
          <w:i/>
        </w:rPr>
        <w:t>Europa-Parlamentet</w:t>
      </w:r>
      <w:r w:rsidRPr="00B00436">
        <w:t>,</w:t>
      </w:r>
    </w:p>
    <w:p w:rsidR="00BF7F55" w:rsidRPr="00B00436" w:rsidRDefault="00C33F59" w:rsidP="00BF7F55">
      <w:pPr>
        <w:pStyle w:val="NormalHanging12a"/>
      </w:pPr>
      <w:r w:rsidRPr="00B00436">
        <w:t>–</w:t>
      </w:r>
      <w:r w:rsidRPr="00B00436">
        <w:tab/>
        <w:t>der henviser til udkast til Rådets afgørelse (12475/2024),</w:t>
      </w:r>
    </w:p>
    <w:p w:rsidR="00363B94" w:rsidRPr="00B00436" w:rsidRDefault="00C33F59">
      <w:pPr>
        <w:pStyle w:val="NormalHanging12a"/>
      </w:pPr>
      <w:r w:rsidRPr="00B00436">
        <w:t>–</w:t>
      </w:r>
      <w:r w:rsidRPr="00B00436">
        <w:tab/>
        <w:t xml:space="preserve">der henviser til protokollen om gennemførelse af fiskeripartnerskabsaftalen mellem Det Europæiske Fællesskab og Republikken Guinea-Bissau </w:t>
      </w:r>
      <w:r w:rsidRPr="00B00436">
        <w:t>(2024-2029) (12189/2024),</w:t>
      </w:r>
    </w:p>
    <w:p w:rsidR="00363B94" w:rsidRPr="00B00436" w:rsidRDefault="00C33F59">
      <w:pPr>
        <w:pStyle w:val="NormalHanging12a"/>
      </w:pPr>
      <w:r w:rsidRPr="00B00436">
        <w:t>–</w:t>
      </w:r>
      <w:r w:rsidRPr="00B00436">
        <w:tab/>
        <w:t>der henviser til den anmodning om godkendelse, som Rådet har forelagt, jf. artikel 43, stk. 2, og artikel 218, stk. 6, andet afsnit, litra a), nr. v), og stk. 7, i traktaten om Den Europæiske Unions funktionsmåde (C10</w:t>
      </w:r>
      <w:r w:rsidRPr="00B00436">
        <w:noBreakHyphen/>
        <w:t>0108/2024)</w:t>
      </w:r>
      <w:r w:rsidRPr="00B00436">
        <w:t>,</w:t>
      </w:r>
    </w:p>
    <w:p w:rsidR="00434610" w:rsidRPr="00B00436" w:rsidRDefault="00C33F59" w:rsidP="00434610">
      <w:pPr>
        <w:pStyle w:val="NormalHanging12a"/>
      </w:pPr>
      <w:r w:rsidRPr="00B00436">
        <w:t>–</w:t>
      </w:r>
      <w:r w:rsidRPr="00B00436">
        <w:tab/>
        <w:t>der henviser til sin ikkelovgivningsmæssige beslutning af ...</w:t>
      </w:r>
      <w:r w:rsidRPr="00B00436">
        <w:rPr>
          <w:vertAlign w:val="superscript"/>
        </w:rPr>
        <w:footnoteReference w:id="1"/>
      </w:r>
      <w:r w:rsidRPr="00B00436">
        <w:t xml:space="preserve"> om forslaget til afgørelse,</w:t>
      </w:r>
    </w:p>
    <w:p w:rsidR="00463710" w:rsidRPr="00B00436" w:rsidRDefault="00C33F59">
      <w:pPr>
        <w:pStyle w:val="NormalHanging12a"/>
      </w:pPr>
      <w:r w:rsidRPr="00B00436">
        <w:t>–</w:t>
      </w:r>
      <w:r w:rsidRPr="00B00436">
        <w:tab/>
        <w:t>der henviser til budgetmæssig vurdering fra Budgetudvalget,</w:t>
      </w:r>
    </w:p>
    <w:p w:rsidR="00363B94" w:rsidRPr="00B00436" w:rsidRDefault="00C33F59">
      <w:pPr>
        <w:pStyle w:val="NormalHanging12a"/>
      </w:pPr>
      <w:r w:rsidRPr="00B00436">
        <w:t>–</w:t>
      </w:r>
      <w:r w:rsidRPr="00B00436">
        <w:tab/>
        <w:t>der henviser til forretningsordenens artikel 107, stk. 1 og 4, og artikel 117, stk. 7,</w:t>
      </w:r>
    </w:p>
    <w:p w:rsidR="00C35D01" w:rsidRPr="00B00436" w:rsidRDefault="00C33F59" w:rsidP="00C35D01">
      <w:pPr>
        <w:pStyle w:val="NormalHanging12a"/>
      </w:pPr>
      <w:r w:rsidRPr="00B00436">
        <w:t>–</w:t>
      </w:r>
      <w:r w:rsidRPr="00B00436">
        <w:tab/>
        <w:t>der henv</w:t>
      </w:r>
      <w:r w:rsidRPr="00B00436">
        <w:t>iser til udtalelse fra Udviklingsudvalget,</w:t>
      </w:r>
    </w:p>
    <w:p w:rsidR="00363B94" w:rsidRPr="00B00436" w:rsidRDefault="00C33F59">
      <w:pPr>
        <w:pStyle w:val="NormalHanging12a"/>
      </w:pPr>
      <w:r w:rsidRPr="00B00436">
        <w:t>–</w:t>
      </w:r>
      <w:r w:rsidRPr="00B00436">
        <w:tab/>
        <w:t>der henviser til henstilling fra Fiskeriudvalget (A10</w:t>
      </w:r>
      <w:r w:rsidRPr="00B00436">
        <w:noBreakHyphen/>
        <w:t>0000/2024),</w:t>
      </w:r>
    </w:p>
    <w:p w:rsidR="00363B94" w:rsidRPr="00B00436" w:rsidRDefault="00C33F59">
      <w:pPr>
        <w:pStyle w:val="NormalHanging12a"/>
      </w:pPr>
      <w:r w:rsidRPr="00B00436">
        <w:t>1.</w:t>
      </w:r>
      <w:r w:rsidRPr="00B00436">
        <w:tab/>
        <w:t>godkender indgåelsen af aftalen;</w:t>
      </w:r>
    </w:p>
    <w:p w:rsidR="001D02E3" w:rsidRPr="00B00436" w:rsidRDefault="00C33F59">
      <w:pPr>
        <w:pStyle w:val="NormalHanging12a"/>
      </w:pPr>
      <w:r w:rsidRPr="00B00436">
        <w:t>2.</w:t>
      </w:r>
      <w:r w:rsidRPr="00B00436">
        <w:tab/>
        <w:t>pålægger sin formand at sende Parlamentets holdning til Rådet og Kommissionen samt til medlemsstaternes re</w:t>
      </w:r>
      <w:r w:rsidRPr="00B00436">
        <w:t>geringer og parlamenter og Republikken Guinea-Bissaus regering og parlament.</w:t>
      </w:r>
    </w:p>
    <w:p w:rsidR="007052F1" w:rsidRPr="00B00436" w:rsidRDefault="00C33F59">
      <w:pPr>
        <w:widowControl/>
        <w:rPr>
          <w:rFonts w:ascii="Arial" w:hAnsi="Arial" w:cs="Arial"/>
          <w:b/>
        </w:rPr>
      </w:pPr>
      <w:r w:rsidRPr="00B00436">
        <w:br w:type="page"/>
      </w:r>
    </w:p>
    <w:p w:rsidR="00553671" w:rsidRPr="00B00436" w:rsidRDefault="00C33F59" w:rsidP="00553671">
      <w:pPr>
        <w:pStyle w:val="PageHeading"/>
      </w:pPr>
      <w:bookmarkStart w:id="1" w:name="_Toc183619287"/>
      <w:r w:rsidRPr="00B00436">
        <w:t>BEGRUNDELSE</w:t>
      </w:r>
      <w:bookmarkEnd w:id="1"/>
    </w:p>
    <w:p w:rsidR="00A00CDF" w:rsidRPr="00B00436" w:rsidRDefault="00C33F59" w:rsidP="00A00CDF">
      <w:pPr>
        <w:pStyle w:val="Normal12Hanging"/>
        <w:ind w:left="0" w:firstLine="0"/>
        <w:rPr>
          <w:u w:val="single"/>
        </w:rPr>
      </w:pPr>
      <w:r w:rsidRPr="00B00436">
        <w:rPr>
          <w:u w:val="single"/>
        </w:rPr>
        <w:t>Republikken Guinea-Bissau</w:t>
      </w:r>
    </w:p>
    <w:p w:rsidR="00A00CDF" w:rsidRPr="00B00436" w:rsidRDefault="00C33F59" w:rsidP="00A00CDF">
      <w:pPr>
        <w:pStyle w:val="Normal12Hanging"/>
        <w:ind w:left="0" w:firstLine="0"/>
      </w:pPr>
      <w:r w:rsidRPr="00B00436">
        <w:t>Guinea-Bissau har 1,8 millioner indbyggere fordelt på 11 folkegrupper. Halvdelen af befolkningen er byboere, og denne andel er voksende. Om</w:t>
      </w:r>
      <w:r w:rsidRPr="00B00436">
        <w:t>kring 60 % af befolkningen er under 25 år. Landet har en høj fertilitetsrate og en høj børnedødelighed (54,8 dødsfald pr. 1 000 fødsler). Over 40 % af befolkningen er analfabeter. Siden undertegnelsen af den foregående protokol er landet faldet med to plad</w:t>
      </w:r>
      <w:r w:rsidRPr="00B00436">
        <w:t>ser til placering nr. 179 ud af 193 lande på De Forenede Nationers indeks for menneskelig udvikling (UNDP, 2021).</w:t>
      </w:r>
    </w:p>
    <w:p w:rsidR="00A00CDF" w:rsidRPr="00B00436" w:rsidRDefault="00C33F59" w:rsidP="00A00CDF">
      <w:r w:rsidRPr="00B00436">
        <w:t>Guinea-Bissaus økonomi har altid overejende bygget på landets egne naturressourcer. Landbruget tegner sig for 56 % af det nationale BNP og for</w:t>
      </w:r>
      <w:r w:rsidRPr="00B00436">
        <w:t xml:space="preserve"> 90 % af eksporten, domineret af kun én afgrøde, nemlig cashewnødder. Diversificering af produktionen er én af landet største udfordringer.</w:t>
      </w:r>
    </w:p>
    <w:p w:rsidR="00A00CDF" w:rsidRPr="00B00436" w:rsidRDefault="00A00CDF" w:rsidP="00A00CDF"/>
    <w:p w:rsidR="00A00CDF" w:rsidRPr="00B00436" w:rsidRDefault="00C33F59" w:rsidP="00A00CDF">
      <w:r w:rsidRPr="00B00436">
        <w:t xml:space="preserve">Op imod en tredjedel af de offentlige indtægter stammer fra international bistand, hvoraf EU tegner sig for ca. en </w:t>
      </w:r>
      <w:r w:rsidRPr="00B00436">
        <w:t>tredjedel. De midler, der overføres via fiskeripartnerskabsaftalen (partnerskabsaftalen om bæredygtigt fiskeri, seneste udgave) fra EU til Guinea-Bissau som kompensation for adgang til ressourcerne, bidrager væsentligt til landets offentlige finanser.</w:t>
      </w:r>
    </w:p>
    <w:p w:rsidR="00A00CDF" w:rsidRPr="00B00436" w:rsidRDefault="00A00CDF" w:rsidP="00A00CDF"/>
    <w:p w:rsidR="00A00CDF" w:rsidRPr="00B00436" w:rsidRDefault="00C33F59" w:rsidP="00A00CDF">
      <w:r w:rsidRPr="00B00436">
        <w:t>Gui</w:t>
      </w:r>
      <w:r w:rsidRPr="00B00436">
        <w:t>nea-Bissaus brede kontinentalsokkel, hvor adskillige floder munder ud, og den sæsonbestemte opstigning af næringsrigt vand fra havbunden skaber gode livsbetingelser for righoldige bestande af fiskearter både i de kystnære farvande og længere ude til havs.D</w:t>
      </w:r>
      <w:r w:rsidRPr="00B00436">
        <w:t>e vigtigste arter med kommerciel værdi er bundfisk, små pelagiske arter, store pelagiske arter af vandrefisk, krebsdyr (bl.a. rejer, herunder dybhavsrejer) og blæksprutter.</w:t>
      </w:r>
    </w:p>
    <w:p w:rsidR="00A00CDF" w:rsidRPr="00B00436" w:rsidRDefault="00A00CDF" w:rsidP="00A00CDF"/>
    <w:p w:rsidR="00A00CDF" w:rsidRPr="00B00436" w:rsidRDefault="00C33F59" w:rsidP="00A00CDF">
      <w:r w:rsidRPr="00B00436">
        <w:t>Ikkeindustrielt fiskeri, herunder subsistensfiskeri, sikrer eksistensgrundlaget fo</w:t>
      </w:r>
      <w:r w:rsidRPr="00B00436">
        <w:t xml:space="preserve">r flere tusinde fiskerfamilier, hvoraf nogle kommer fra nabolandene (disses antal varierer alt efter de forskellige skøn). </w:t>
      </w:r>
    </w:p>
    <w:p w:rsidR="00A00CDF" w:rsidRPr="00B00436" w:rsidRDefault="00A00CDF" w:rsidP="00A00CDF"/>
    <w:p w:rsidR="00A00CDF" w:rsidRPr="00B00436" w:rsidRDefault="00C33F59" w:rsidP="00A00CDF">
      <w:r w:rsidRPr="00B00436">
        <w:t xml:space="preserve">Handlen med fiskerivarer med EU er blevet forhindret, fordi landet – til trods for sine bestræbelser – ikke har formået at leve op </w:t>
      </w:r>
      <w:r w:rsidRPr="00B00436">
        <w:t>til EU's sundhedsstandarder. En styrkelse af Guinea-Bissaus kapaciteter på dette område vil forhåbentlig kunne bidrage til at afhjælpe denne situation tillige med oprettelsen af et effektivt tilsyns- og analyselaboratorium (i juli 2014 og under opførelse),</w:t>
      </w:r>
      <w:r w:rsidRPr="00B00436">
        <w:t xml:space="preserve"> som skal gennemgå en længere godkendelsesproces. </w:t>
      </w:r>
    </w:p>
    <w:p w:rsidR="00A00CDF" w:rsidRPr="00B00436" w:rsidRDefault="00A00CDF" w:rsidP="00A00CDF"/>
    <w:p w:rsidR="00A00CDF" w:rsidRPr="00B00436" w:rsidRDefault="00C33F59" w:rsidP="00A00CDF">
      <w:pPr>
        <w:rPr>
          <w:u w:val="single"/>
        </w:rPr>
      </w:pPr>
      <w:r w:rsidRPr="00B00436">
        <w:rPr>
          <w:u w:val="single"/>
        </w:rPr>
        <w:t>Fiskeriaftalen mellem EU og Guinea-Bissau</w:t>
      </w:r>
    </w:p>
    <w:p w:rsidR="00A00CDF" w:rsidRPr="00B00436" w:rsidRDefault="00A00CDF" w:rsidP="00A00CDF"/>
    <w:p w:rsidR="00A00CDF" w:rsidRPr="00B00436" w:rsidRDefault="00C33F59" w:rsidP="00A00CDF">
      <w:pPr>
        <w:pStyle w:val="Normal12Hanging"/>
        <w:ind w:left="0" w:firstLine="0"/>
      </w:pPr>
      <w:r w:rsidRPr="00B00436">
        <w:t>Den første fiskeriaftale mellem Republikken Guinea-Bissau og Det Europæiske Fællesskab blev indgået i 1980. Siden da har medlemsstaterne i EØF/EU haft adgang til</w:t>
      </w:r>
      <w:r w:rsidRPr="00B00436">
        <w:t xml:space="preserve"> at fiske i Guinea-Bissaus farvande. De to parter undertegnede fiskeripartnerskabsaftalen i 2007. Efterfølgende er flere protokoller til gennemførelse af aftalen blevet stiltiende forlænget og/eller forhandlet på plads. Efter et militærkup blev aftalen sus</w:t>
      </w:r>
      <w:r w:rsidRPr="00B00436">
        <w:t>penderet på EU's initiativ mellem april 2012 og oktober 2014. De nylige forhandlinger om denne protokol har været præget af, at man har erkendt nødvendigheden af en ajourføring af de finansielle bidrag, der ydes til gengæld for de fiskerettigheder, som EU'</w:t>
      </w:r>
      <w:r w:rsidRPr="00B00436">
        <w:t>s fiskerflåder gives adgang til i henhold til protokollen.</w:t>
      </w:r>
    </w:p>
    <w:p w:rsidR="00A00CDF" w:rsidRPr="00B00436" w:rsidRDefault="00C33F59" w:rsidP="00A00CDF">
      <w:pPr>
        <w:pStyle w:val="Normal12Hanging"/>
        <w:ind w:left="0" w:firstLine="0"/>
      </w:pPr>
      <w:r w:rsidRPr="00B00436">
        <w:t xml:space="preserve">Den nuværende protokol til gennemførelsen af fiskeripartnerskabsaftalen mellem Det Europæiske Fællesskab og Republikken Guinea-Bissau (2024-2029) har foreløbig fundet anvendelse fra den dato, hvor </w:t>
      </w:r>
      <w:r w:rsidRPr="00B00436">
        <w:t xml:space="preserve">den blev undertegnet, dvs. den 18. september 2024. Denne fiskeriaftale giver fartøjer fra flere EU-medlemsstater adgang til at fiske i Guinea-Bissaus farvande. </w:t>
      </w:r>
    </w:p>
    <w:p w:rsidR="00A00CDF" w:rsidRPr="00B00436" w:rsidRDefault="00C33F59" w:rsidP="00A00CDF">
      <w:pPr>
        <w:pStyle w:val="Normal12Hanging"/>
        <w:ind w:left="0" w:firstLine="0"/>
      </w:pPr>
      <w:r w:rsidRPr="00B00436">
        <w:t>I protokollen er der fastsat fiskerettigheder for følgende kategorier: frysetrawlere til rejefi</w:t>
      </w:r>
      <w:r w:rsidRPr="00B00436">
        <w:t xml:space="preserve">skeri, frysetrawlere til fiskeri efter benfisk og blæksprutter, trawlere til fiskeri efter små pelagiske arter, notfartøjer og langlinefartøjer med fryseanlæg til tunfiskeri samt stang- og linefiskerfartøjer til tunfiskeri. </w:t>
      </w:r>
    </w:p>
    <w:p w:rsidR="00A00CDF" w:rsidRPr="00B00436" w:rsidRDefault="00C33F59" w:rsidP="00A00CDF">
      <w:pPr>
        <w:pStyle w:val="Normal12Hanging"/>
        <w:ind w:left="0" w:firstLine="0"/>
      </w:pPr>
      <w:r w:rsidRPr="00B00436">
        <w:t xml:space="preserve">Aftalen omfatter adskillige </w:t>
      </w:r>
      <w:r w:rsidRPr="00B00436">
        <w:t>arter, herunder tun, blæksprutter, rejer og bundfisk. Aftalen indgår i en serie med aftaler om tunfiskeri i Vestafrika og er én ud af de tre aftaler i regionen, som omfatter adskillige arter (de to andre aftaler er med Marokko og Mauretanien).</w:t>
      </w:r>
    </w:p>
    <w:p w:rsidR="00A00CDF" w:rsidRPr="00B00436" w:rsidRDefault="00C33F59" w:rsidP="00A00CDF">
      <w:pPr>
        <w:pStyle w:val="Normal12Hanging"/>
        <w:ind w:left="0" w:firstLine="0"/>
      </w:pPr>
      <w:r w:rsidRPr="00B00436">
        <w:t>De fiskerett</w:t>
      </w:r>
      <w:r w:rsidRPr="00B00436">
        <w:t xml:space="preserve">igheder, der er fastlagt i aftalen, er baseret på den bedste foreliggende videnskabelige rådgivning og på henstillingerne fra Den Internationale Kommission for Bevarelse af Tunfiskebestanden i Atlanterhavet (ICCAT). </w:t>
      </w:r>
    </w:p>
    <w:p w:rsidR="00A00CDF" w:rsidRPr="00B00436" w:rsidRDefault="00C33F59" w:rsidP="00A00CDF">
      <w:pPr>
        <w:pStyle w:val="Normal12Hanging"/>
        <w:ind w:left="0" w:firstLine="0"/>
      </w:pPr>
      <w:r w:rsidRPr="00B00436">
        <w:t>EU's bidrag til denne nye protokol ansl</w:t>
      </w:r>
      <w:r w:rsidRPr="00B00436">
        <w:t xml:space="preserve">ås til 85 mio. EUR over de 5 år fordelt på 17 mio. EUR pr. år, hvoraf 4,5 mio. EUR vil blive afsat til at fremme Guinea-Bissaus forvaltning af bæredygtigt fiskeri, tilsyns- og overvågningskapacitet og til at støtte de lokale fiskersamfund.  </w:t>
      </w:r>
    </w:p>
    <w:p w:rsidR="00A00CDF" w:rsidRPr="00B00436" w:rsidRDefault="00C33F59" w:rsidP="00A00CDF">
      <w:pPr>
        <w:pStyle w:val="Normal12Hanging"/>
        <w:ind w:left="0" w:firstLine="0"/>
      </w:pPr>
      <w:r w:rsidRPr="00B00436">
        <w:t>Ud over EU-bid</w:t>
      </w:r>
      <w:r w:rsidRPr="00B00436">
        <w:t>raget vil rederierne betale licens og fangstgebyr til Guinea-Bissaus myndigheder for at opnå tilladelse til at fiske. Kombinationen af EU's bidrag og de gebyrer, som EU's erhvervsdrivende betaler, betyder, at den samlede anslåede finansieringsramme oversti</w:t>
      </w:r>
      <w:r w:rsidRPr="00B00436">
        <w:t>ger 100 mio. EUR hen over den femårige periode.</w:t>
      </w:r>
    </w:p>
    <w:p w:rsidR="00A00CDF" w:rsidRPr="00B00436" w:rsidRDefault="00C33F59" w:rsidP="00A00CDF">
      <w:pPr>
        <w:pStyle w:val="Normal12Hanging"/>
        <w:ind w:left="0" w:firstLine="0"/>
      </w:pPr>
      <w:r w:rsidRPr="00B00436">
        <w:t xml:space="preserve">Ordføreren håber, at den nye protokol vil gøre det muligt for EU og Republikken Guinea-Bissau at arbejde tættere sammen om at fremme en bæredygtig udnyttelse af fiskeressourcerne i Guinea-Bissaus farvande og </w:t>
      </w:r>
      <w:r w:rsidRPr="00B00436">
        <w:t xml:space="preserve">at støtte Guinea-Bissaus bestræbelser på at udvikle sin fiskerisektor og dertil knyttede sektorer. </w:t>
      </w:r>
    </w:p>
    <w:p w:rsidR="00A00CDF" w:rsidRPr="00B00436" w:rsidRDefault="00C33F59" w:rsidP="00A00CDF">
      <w:pPr>
        <w:pStyle w:val="Normal12Hanging"/>
        <w:ind w:left="0" w:firstLine="0"/>
      </w:pPr>
      <w:r w:rsidRPr="00B00436">
        <w:t>Nylige investeringer foretaget af Den Afrikanske Udviklingsbank og andre investorer (bl.a. Kina) i infrastruktur og en fiskerihavn i Alto Bandim til ikkeind</w:t>
      </w:r>
      <w:r w:rsidRPr="00B00436">
        <w:t xml:space="preserve">ustrielt fiskeri (landing og forarbejdning) giver landet nogle muligheder, men dette er utilstrækkeligt til at tilgodese behovene. Udviklingen af infrastruktur til landing, oplagring og forarbejdning af fisk, som kan benyttes af industriflåden, der fisker </w:t>
      </w:r>
      <w:r w:rsidRPr="00B00436">
        <w:t xml:space="preserve">i Guinea-Bissaus farvande, vil være af særlig betydning, ikke alene for denne aktivitet, men også for udviklingen af landets fiskerisektor, og der vil kunne skabes markeder, distributions- og markedsføringsstrukturer og laboratorier til kvalitetsanalyser. </w:t>
      </w:r>
    </w:p>
    <w:p w:rsidR="00A00CDF" w:rsidRPr="00B00436" w:rsidRDefault="00C33F59" w:rsidP="00A00CDF">
      <w:pPr>
        <w:pStyle w:val="Normal12Hanging"/>
        <w:ind w:left="0" w:firstLine="0"/>
      </w:pPr>
      <w:r w:rsidRPr="00B00436">
        <w:t xml:space="preserve">Ordføreren er af den opfattelse, at aftalen bør bidrage til at gøre landet mere selvforsynende, fastholde dets udviklingsstrategi og sikre dets suverænitet. </w:t>
      </w:r>
    </w:p>
    <w:p w:rsidR="00A00CDF" w:rsidRPr="00B00436" w:rsidRDefault="00C33F59" w:rsidP="00A00CDF">
      <w:pPr>
        <w:pStyle w:val="Normal12Hanging"/>
        <w:ind w:left="0" w:firstLine="0"/>
      </w:pPr>
      <w:r w:rsidRPr="00B00436">
        <w:t>Ordføreren anbefaler derfor, at Parlamentet giver sit samtykke til undertegnelsen af denne protok</w:t>
      </w:r>
      <w:r w:rsidRPr="00B00436">
        <w:t>ol i betragtning af dens betydning for Guinea-Bissau og for de EU-flåder, der fisker i Guinea-Bissaus farvande.</w:t>
      </w:r>
    </w:p>
    <w:p w:rsidR="00A00CDF" w:rsidRPr="00B00436" w:rsidRDefault="00C33F59" w:rsidP="00A00CDF">
      <w:pPr>
        <w:pStyle w:val="Normal12Hanging"/>
        <w:ind w:left="0" w:firstLine="0"/>
      </w:pPr>
      <w:r w:rsidRPr="00B00436">
        <w:t>I betragtning af Parlamentets rolle og beføjelser på dette område finder ordføreren det hensigtsmæssigt og nødvendigt at vedtage en ikke-lovgivn</w:t>
      </w:r>
      <w:r w:rsidRPr="00B00436">
        <w:t>ingsmæssig beslutning om denne aftale, hvori der redegøres for overvejelser og anbefalinger, som Kommissionen bør tage hensyn til i den nuværende protokols gyldighedsperiode (hvilket desværre ikke altid har været tilfældet tidligere).</w:t>
      </w:r>
    </w:p>
    <w:p w:rsidR="00A00CDF" w:rsidRPr="00B00436" w:rsidRDefault="00C33F59" w:rsidP="00A00CDF">
      <w:pPr>
        <w:pStyle w:val="Normal12Hanging"/>
        <w:ind w:left="0" w:firstLine="0"/>
      </w:pPr>
      <w:r w:rsidRPr="00B00436">
        <w:t>Ud over de allerede n</w:t>
      </w:r>
      <w:r w:rsidRPr="00B00436">
        <w:t>ævnte punkter ønsker ordføreren at sætte fokus på følgende spørgsmål, der kræver særlig opmærksomhed:</w:t>
      </w:r>
    </w:p>
    <w:p w:rsidR="00A00CDF" w:rsidRPr="00B00436" w:rsidRDefault="00C33F59" w:rsidP="00A00CDF">
      <w:pPr>
        <w:pStyle w:val="Normal12Hanging"/>
        <w:ind w:left="0" w:firstLine="0"/>
      </w:pPr>
      <w:r w:rsidRPr="00B00436">
        <w:t>Aftalen bør fremme en reel bæredygtig udvikling af Guinea-Bissaus fiskerisektor og af de dermed forbundne virksomheder og aktiviteter, således at den merv</w:t>
      </w:r>
      <w:r w:rsidRPr="00B00436">
        <w:t>ærdi, som udnyttelsen af Guinea-Bissaus naturressourcer afføder, forbliver i landet.</w:t>
      </w:r>
    </w:p>
    <w:p w:rsidR="00A00CDF" w:rsidRPr="00B00436" w:rsidRDefault="00C33F59" w:rsidP="00A00CDF">
      <w:r w:rsidRPr="00B00436">
        <w:t xml:space="preserve">Endelig understreger ordføreren, at Europa-Parlamentet i alle faser bør underrettes prompte og fuldt ud om de procedurer, der vedrører protokollen, dens fornyelse og dens </w:t>
      </w:r>
      <w:r w:rsidRPr="00B00436">
        <w:t>gennemførelse, som det nøje er beskrevet i den ikke-lovgivningsmæssige beslutning, der ledsager denne henstilling.</w:t>
      </w:r>
    </w:p>
    <w:p w:rsidR="0087090F" w:rsidRPr="00B00436" w:rsidRDefault="0087090F" w:rsidP="0087090F"/>
    <w:p w:rsidR="00553671" w:rsidRPr="00B00436" w:rsidRDefault="00553671" w:rsidP="00822206"/>
    <w:p w:rsidR="00A00CDF" w:rsidRPr="00B00436" w:rsidRDefault="00A00CDF" w:rsidP="00A00CDF">
      <w:pPr>
        <w:sectPr w:rsidR="00A00CDF" w:rsidRPr="00B00436" w:rsidSect="00B004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A00CDF" w:rsidRPr="00B00436" w:rsidRDefault="00C33F59" w:rsidP="007041CC">
      <w:pPr>
        <w:pStyle w:val="PageHeading"/>
        <w:rPr>
          <w:noProof/>
        </w:rPr>
      </w:pPr>
      <w:bookmarkStart w:id="2" w:name="FootprintPageRR"/>
      <w:bookmarkStart w:id="3" w:name="_Toc183619288"/>
      <w:r w:rsidRPr="00B00436">
        <w:t>BILAG: ENHEDER ELLER PERSONER, SOM ORDFØREREN HAR MODTAGET INPUT FRA</w:t>
      </w:r>
      <w:bookmarkEnd w:id="3"/>
    </w:p>
    <w:p w:rsidR="00A00CDF" w:rsidRPr="00B00436" w:rsidRDefault="00C33F59" w:rsidP="00B31C6A">
      <w:pPr>
        <w:pStyle w:val="Normal24a"/>
        <w:spacing w:after="240"/>
      </w:pPr>
      <w:r w:rsidRPr="00B00436">
        <w:rPr>
          <w:rStyle w:val="HideTWBExt"/>
        </w:rPr>
        <w:t>&lt;FootprintIntro&gt;</w:t>
      </w:r>
      <w:r w:rsidRPr="00B00436">
        <w:t xml:space="preserve">I henhold til artikel 8 i bilag I til </w:t>
      </w:r>
      <w:r w:rsidRPr="00B00436">
        <w:t>forretningsordenen erklærer ordføreren at have modtaget input fra følgende enheder eller personer som led i udarbejdelsen af udkastet til betænkning:</w:t>
      </w:r>
      <w:r w:rsidRPr="00B00436">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467112" w:rsidRPr="00B00436" w:rsidTr="00A81CDF">
        <w:tc>
          <w:tcPr>
            <w:tcW w:w="9060" w:type="dxa"/>
            <w:shd w:val="clear" w:color="auto" w:fill="auto"/>
          </w:tcPr>
          <w:p w:rsidR="00A00CDF" w:rsidRPr="00B00436" w:rsidRDefault="00C33F59" w:rsidP="00A00CDF">
            <w:pPr>
              <w:pStyle w:val="NormalBoldCenter"/>
            </w:pPr>
            <w:r w:rsidRPr="00B00436">
              <w:t>Foretagende og/eller person</w:t>
            </w:r>
          </w:p>
        </w:tc>
      </w:tr>
      <w:tr w:rsidR="00467112" w:rsidRPr="00B00436" w:rsidTr="00A81CDF">
        <w:tc>
          <w:tcPr>
            <w:tcW w:w="9060" w:type="dxa"/>
            <w:shd w:val="clear" w:color="auto" w:fill="auto"/>
          </w:tcPr>
          <w:p w:rsidR="00A00CDF" w:rsidRPr="00B00436" w:rsidRDefault="00C33F59" w:rsidP="00A00CDF">
            <w:pPr>
              <w:pStyle w:val="NormalSingle"/>
            </w:pPr>
            <w:r w:rsidRPr="00B00436">
              <w:t>Europêche</w:t>
            </w:r>
          </w:p>
        </w:tc>
      </w:tr>
      <w:tr w:rsidR="00467112" w:rsidRPr="00B00436" w:rsidTr="00A81CDF">
        <w:tc>
          <w:tcPr>
            <w:tcW w:w="9060" w:type="dxa"/>
            <w:shd w:val="clear" w:color="auto" w:fill="auto"/>
          </w:tcPr>
          <w:p w:rsidR="00A00CDF" w:rsidRPr="00B00436" w:rsidRDefault="00C33F59" w:rsidP="00A00CDF">
            <w:pPr>
              <w:pStyle w:val="NormalSingle"/>
            </w:pPr>
            <w:r w:rsidRPr="00B00436">
              <w:t>Det Europæiske Transportarbejderforbund (ETF)</w:t>
            </w:r>
          </w:p>
        </w:tc>
      </w:tr>
      <w:tr w:rsidR="00467112" w:rsidRPr="00B00436" w:rsidTr="00A81CDF">
        <w:tc>
          <w:tcPr>
            <w:tcW w:w="9060" w:type="dxa"/>
            <w:shd w:val="clear" w:color="auto" w:fill="auto"/>
          </w:tcPr>
          <w:p w:rsidR="00A00CDF" w:rsidRPr="00B00436" w:rsidRDefault="00C33F59" w:rsidP="00A00CDF">
            <w:pPr>
              <w:pStyle w:val="NormalSingle"/>
            </w:pPr>
            <w:r w:rsidRPr="00B00436">
              <w:t>Coalition for Fair Fisheries Arrangements (CAPE/CFFA)</w:t>
            </w:r>
          </w:p>
        </w:tc>
      </w:tr>
    </w:tbl>
    <w:p w:rsidR="00A00CDF" w:rsidRPr="00B00436" w:rsidRDefault="00C33F59" w:rsidP="00086351">
      <w:pPr>
        <w:pStyle w:val="Footprint12b"/>
      </w:pPr>
      <w:r w:rsidRPr="00B00436">
        <w:t>Ordføreren har udarbejdet ovenstående liste på eget ansvar.</w:t>
      </w:r>
    </w:p>
    <w:p w:rsidR="00A00CDF" w:rsidRPr="00B00436" w:rsidRDefault="00C33F59" w:rsidP="00B7198C">
      <w:pPr>
        <w:pStyle w:val="Footprint12b"/>
      </w:pPr>
      <w:r w:rsidRPr="00B00436">
        <w:t>Når fysiske personer er identificeret på listen ved deres navn, deres funktion eller begge, erklærer ordføreren at have forelagt de pågældend</w:t>
      </w:r>
      <w:r w:rsidRPr="00B00436">
        <w:t>e fysiske personer Europa-Parlamentets databeskyttelsesmeddelelse nr. 484 (</w:t>
      </w:r>
      <w:hyperlink r:id="rId15" w:history="1">
        <w:r w:rsidRPr="00B00436">
          <w:rPr>
            <w:rStyle w:val="Hyperlink"/>
          </w:rPr>
          <w:t>https://www.europarl.europa.eu/data-protect/index.do</w:t>
        </w:r>
      </w:hyperlink>
      <w:r w:rsidRPr="00B00436">
        <w:t>), hvori de gældende betingelser for behandling af deres per</w:t>
      </w:r>
      <w:r w:rsidRPr="00B00436">
        <w:t>sonoplysninger og rettighederne forbundet med denne behandling er fastlagt.</w:t>
      </w:r>
    </w:p>
    <w:p w:rsidR="00A00CDF" w:rsidRPr="00B00436" w:rsidRDefault="00A00CDF" w:rsidP="00646AD2">
      <w:pPr>
        <w:pStyle w:val="Footprint12b"/>
      </w:pPr>
    </w:p>
    <w:p w:rsidR="00A00CDF" w:rsidRPr="00B00436" w:rsidRDefault="00A00CDF" w:rsidP="00A00CDF"/>
    <w:p w:rsidR="00356066" w:rsidRPr="00B00436" w:rsidRDefault="00356066">
      <w:pPr>
        <w:widowControl/>
      </w:pPr>
      <w:bookmarkStart w:id="4" w:name="_GoBack"/>
      <w:bookmarkEnd w:id="2"/>
      <w:bookmarkEnd w:id="4"/>
    </w:p>
    <w:sectPr w:rsidR="00356066" w:rsidRPr="00B00436" w:rsidSect="00A00CD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00436" w:rsidRDefault="00C33F59">
      <w:r w:rsidRPr="00B00436">
        <w:separator/>
      </w:r>
    </w:p>
  </w:endnote>
  <w:endnote w:type="continuationSeparator" w:id="0">
    <w:p w:rsidR="00000000" w:rsidRPr="00B00436" w:rsidRDefault="00C33F59">
      <w:r w:rsidRPr="00B004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436" w:rsidRPr="00B00436" w:rsidRDefault="00B00436" w:rsidP="00B00436">
    <w:pPr>
      <w:pStyle w:val="EPFooter"/>
    </w:pPr>
    <w:r w:rsidRPr="00B00436">
      <w:t>PE</w:t>
    </w:r>
    <w:r w:rsidRPr="00B00436">
      <w:rPr>
        <w:rStyle w:val="HideTWBExt"/>
      </w:rPr>
      <w:t>&lt;NoPE&gt;</w:t>
    </w:r>
    <w:r w:rsidRPr="00B00436">
      <w:t>765.182</w:t>
    </w:r>
    <w:r w:rsidRPr="00B00436">
      <w:rPr>
        <w:rStyle w:val="HideTWBExt"/>
      </w:rPr>
      <w:t>&lt;/NoPE&gt;&lt;Version&gt;</w:t>
    </w:r>
    <w:r w:rsidRPr="00B00436">
      <w:t>v01-00</w:t>
    </w:r>
    <w:r w:rsidRPr="00B00436">
      <w:rPr>
        <w:rStyle w:val="HideTWBExt"/>
      </w:rPr>
      <w:t>&lt;/Version&gt;</w:t>
    </w:r>
    <w:r w:rsidRPr="00B00436">
      <w:tab/>
    </w:r>
    <w:r w:rsidRPr="00B00436">
      <w:fldChar w:fldCharType="begin"/>
    </w:r>
    <w:r w:rsidRPr="00B00436">
      <w:instrText xml:space="preserve"> PAGE  \* MERGEFORMAT </w:instrText>
    </w:r>
    <w:r w:rsidRPr="00B00436">
      <w:fldChar w:fldCharType="separate"/>
    </w:r>
    <w:r w:rsidR="00C33F59">
      <w:rPr>
        <w:noProof/>
      </w:rPr>
      <w:t>8</w:t>
    </w:r>
    <w:r w:rsidRPr="00B00436">
      <w:fldChar w:fldCharType="end"/>
    </w:r>
    <w:r w:rsidRPr="00B00436">
      <w:t>/</w:t>
    </w:r>
    <w:fldSimple w:instr=" NUMPAGES  \* MERGEFORMAT ">
      <w:r w:rsidR="00C33F59">
        <w:rPr>
          <w:noProof/>
        </w:rPr>
        <w:t>9</w:t>
      </w:r>
    </w:fldSimple>
    <w:r w:rsidRPr="00B00436">
      <w:tab/>
    </w:r>
    <w:r w:rsidRPr="00B00436">
      <w:rPr>
        <w:rStyle w:val="HideTWBExt"/>
      </w:rPr>
      <w:t>&lt;PathFdR&gt;</w:t>
    </w:r>
    <w:r w:rsidRPr="00B00436">
      <w:t>PR\1308977DA.docx</w:t>
    </w:r>
    <w:r w:rsidRPr="00B00436">
      <w:rPr>
        <w:rStyle w:val="HideTWBExt"/>
      </w:rPr>
      <w:t>&lt;/PathFdR&gt;</w:t>
    </w:r>
  </w:p>
  <w:p w:rsidR="0085501C" w:rsidRPr="00B00436" w:rsidRDefault="00B00436" w:rsidP="00B00436">
    <w:pPr>
      <w:pStyle w:val="EPFooter2"/>
    </w:pPr>
    <w:r w:rsidRPr="00B00436">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436" w:rsidRPr="00B00436" w:rsidRDefault="00B00436" w:rsidP="00B00436">
    <w:pPr>
      <w:pStyle w:val="EPFooter"/>
    </w:pPr>
    <w:r w:rsidRPr="00B00436">
      <w:rPr>
        <w:rStyle w:val="HideTWBExt"/>
      </w:rPr>
      <w:t>&lt;PathFdR&gt;</w:t>
    </w:r>
    <w:r w:rsidRPr="00B00436">
      <w:t>PR\1308977DA.docx</w:t>
    </w:r>
    <w:r w:rsidRPr="00B00436">
      <w:rPr>
        <w:rStyle w:val="HideTWBExt"/>
      </w:rPr>
      <w:t>&lt;/PathFdR&gt;</w:t>
    </w:r>
    <w:r w:rsidRPr="00B00436">
      <w:tab/>
    </w:r>
    <w:r w:rsidRPr="00B00436">
      <w:fldChar w:fldCharType="begin"/>
    </w:r>
    <w:r w:rsidRPr="00B00436">
      <w:instrText xml:space="preserve"> PAGE  \* MERGEFORMAT </w:instrText>
    </w:r>
    <w:r w:rsidRPr="00B00436">
      <w:fldChar w:fldCharType="separate"/>
    </w:r>
    <w:r w:rsidR="00C33F59">
      <w:rPr>
        <w:noProof/>
      </w:rPr>
      <w:t>9</w:t>
    </w:r>
    <w:r w:rsidRPr="00B00436">
      <w:fldChar w:fldCharType="end"/>
    </w:r>
    <w:r w:rsidRPr="00B00436">
      <w:t>/</w:t>
    </w:r>
    <w:fldSimple w:instr=" NUMPAGES  \* MERGEFORMAT ">
      <w:r w:rsidR="00C33F59">
        <w:rPr>
          <w:noProof/>
        </w:rPr>
        <w:t>9</w:t>
      </w:r>
    </w:fldSimple>
    <w:r w:rsidRPr="00B00436">
      <w:tab/>
      <w:t>PE</w:t>
    </w:r>
    <w:r w:rsidRPr="00B00436">
      <w:rPr>
        <w:rStyle w:val="HideTWBExt"/>
      </w:rPr>
      <w:t>&lt;NoPE&gt;</w:t>
    </w:r>
    <w:r w:rsidRPr="00B00436">
      <w:t>765.182</w:t>
    </w:r>
    <w:r w:rsidRPr="00B00436">
      <w:rPr>
        <w:rStyle w:val="HideTWBExt"/>
      </w:rPr>
      <w:t>&lt;/NoPE&gt;&lt;Version&gt;</w:t>
    </w:r>
    <w:r w:rsidRPr="00B00436">
      <w:t>v01-00</w:t>
    </w:r>
    <w:r w:rsidRPr="00B00436">
      <w:rPr>
        <w:rStyle w:val="HideTWBExt"/>
      </w:rPr>
      <w:t>&lt;/Version&gt;</w:t>
    </w:r>
  </w:p>
  <w:p w:rsidR="0085501C" w:rsidRPr="00B00436" w:rsidRDefault="00B00436" w:rsidP="00B00436">
    <w:pPr>
      <w:pStyle w:val="EPFooter2"/>
    </w:pPr>
    <w:r w:rsidRPr="00B00436">
      <w:tab/>
    </w:r>
    <w:r w:rsidRPr="00B00436">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436" w:rsidRPr="00B00436" w:rsidRDefault="00B00436" w:rsidP="00B00436">
    <w:pPr>
      <w:pStyle w:val="EPFooter"/>
    </w:pPr>
    <w:r w:rsidRPr="00B00436">
      <w:rPr>
        <w:rStyle w:val="HideTWBExt"/>
      </w:rPr>
      <w:t>&lt;PathFdR&gt;</w:t>
    </w:r>
    <w:r w:rsidRPr="00B00436">
      <w:t>PR\1308977DA.docx</w:t>
    </w:r>
    <w:r w:rsidRPr="00B00436">
      <w:rPr>
        <w:rStyle w:val="HideTWBExt"/>
      </w:rPr>
      <w:t>&lt;/PathFdR&gt;</w:t>
    </w:r>
    <w:r w:rsidRPr="00B00436">
      <w:tab/>
    </w:r>
    <w:r w:rsidRPr="00B00436">
      <w:tab/>
      <w:t>PE</w:t>
    </w:r>
    <w:r w:rsidRPr="00B00436">
      <w:rPr>
        <w:rStyle w:val="HideTWBExt"/>
      </w:rPr>
      <w:t>&lt;NoPE&gt;</w:t>
    </w:r>
    <w:r w:rsidRPr="00B00436">
      <w:t>765.182</w:t>
    </w:r>
    <w:r w:rsidRPr="00B00436">
      <w:rPr>
        <w:rStyle w:val="HideTWBExt"/>
      </w:rPr>
      <w:t>&lt;/NoPE&gt;&lt;Version&gt;</w:t>
    </w:r>
    <w:r w:rsidRPr="00B00436">
      <w:t>v01-00</w:t>
    </w:r>
    <w:r w:rsidRPr="00B00436">
      <w:rPr>
        <w:rStyle w:val="HideTWBExt"/>
      </w:rPr>
      <w:t>&lt;/Version&gt;</w:t>
    </w:r>
  </w:p>
  <w:p w:rsidR="0085501C" w:rsidRPr="00B00436" w:rsidRDefault="00B00436" w:rsidP="00B00436">
    <w:pPr>
      <w:pStyle w:val="EPFooter2"/>
    </w:pPr>
    <w:r w:rsidRPr="00B00436">
      <w:t>DA</w:t>
    </w:r>
    <w:r w:rsidRPr="00B00436">
      <w:tab/>
    </w:r>
    <w:r w:rsidRPr="00B00436">
      <w:rPr>
        <w:b w:val="0"/>
        <w:i/>
        <w:color w:val="C0C0C0"/>
        <w:sz w:val="22"/>
      </w:rPr>
      <w:t>Forenet i mangfoldighed</w:t>
    </w:r>
    <w:r w:rsidRPr="00B00436">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53" w:rsidRPr="00B00436" w:rsidRDefault="00C33F59">
      <w:r w:rsidRPr="00B00436">
        <w:separator/>
      </w:r>
    </w:p>
  </w:footnote>
  <w:footnote w:type="continuationSeparator" w:id="0">
    <w:p w:rsidR="00963653" w:rsidRPr="00B00436" w:rsidRDefault="00C33F59">
      <w:r w:rsidRPr="00B00436">
        <w:continuationSeparator/>
      </w:r>
    </w:p>
  </w:footnote>
  <w:footnote w:id="1">
    <w:p w:rsidR="00434610" w:rsidRPr="00B00436" w:rsidRDefault="00C33F59" w:rsidP="00434610">
      <w:pPr>
        <w:pStyle w:val="FootnoteText"/>
      </w:pPr>
      <w:r w:rsidRPr="00B00436">
        <w:rPr>
          <w:rStyle w:val="FootnoteReference"/>
        </w:rPr>
        <w:footnoteRef/>
      </w:r>
      <w:r w:rsidRPr="00B00436">
        <w:tab/>
        <w:t>Vedtagne tekster,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59" w:rsidRDefault="00C33F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59" w:rsidRDefault="00C33F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59" w:rsidRDefault="00C33F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857E6"/>
    <w:multiLevelType w:val="hybridMultilevel"/>
    <w:tmpl w:val="D5908C3A"/>
    <w:lvl w:ilvl="0" w:tplc="E5521C6A">
      <w:numFmt w:val="bullet"/>
      <w:lvlText w:val="–"/>
      <w:lvlJc w:val="left"/>
      <w:pPr>
        <w:ind w:left="720" w:hanging="360"/>
      </w:pPr>
      <w:rPr>
        <w:rFonts w:ascii="Times New Roman" w:eastAsia="Times New Roman" w:hAnsi="Times New Roman" w:cs="Times New Roman" w:hint="default"/>
      </w:rPr>
    </w:lvl>
    <w:lvl w:ilvl="1" w:tplc="55BEB4E6" w:tentative="1">
      <w:start w:val="1"/>
      <w:numFmt w:val="bullet"/>
      <w:lvlText w:val="o"/>
      <w:lvlJc w:val="left"/>
      <w:pPr>
        <w:ind w:left="1440" w:hanging="360"/>
      </w:pPr>
      <w:rPr>
        <w:rFonts w:ascii="Courier New" w:hAnsi="Courier New" w:cs="Courier New" w:hint="default"/>
      </w:rPr>
    </w:lvl>
    <w:lvl w:ilvl="2" w:tplc="925EA94A" w:tentative="1">
      <w:start w:val="1"/>
      <w:numFmt w:val="bullet"/>
      <w:lvlText w:val=""/>
      <w:lvlJc w:val="left"/>
      <w:pPr>
        <w:ind w:left="2160" w:hanging="360"/>
      </w:pPr>
      <w:rPr>
        <w:rFonts w:ascii="Wingdings" w:hAnsi="Wingdings" w:hint="default"/>
      </w:rPr>
    </w:lvl>
    <w:lvl w:ilvl="3" w:tplc="E95E4888" w:tentative="1">
      <w:start w:val="1"/>
      <w:numFmt w:val="bullet"/>
      <w:lvlText w:val=""/>
      <w:lvlJc w:val="left"/>
      <w:pPr>
        <w:ind w:left="2880" w:hanging="360"/>
      </w:pPr>
      <w:rPr>
        <w:rFonts w:ascii="Symbol" w:hAnsi="Symbol" w:hint="default"/>
      </w:rPr>
    </w:lvl>
    <w:lvl w:ilvl="4" w:tplc="EB20A8A6" w:tentative="1">
      <w:start w:val="1"/>
      <w:numFmt w:val="bullet"/>
      <w:lvlText w:val="o"/>
      <w:lvlJc w:val="left"/>
      <w:pPr>
        <w:ind w:left="3600" w:hanging="360"/>
      </w:pPr>
      <w:rPr>
        <w:rFonts w:ascii="Courier New" w:hAnsi="Courier New" w:cs="Courier New" w:hint="default"/>
      </w:rPr>
    </w:lvl>
    <w:lvl w:ilvl="5" w:tplc="58F2915C" w:tentative="1">
      <w:start w:val="1"/>
      <w:numFmt w:val="bullet"/>
      <w:lvlText w:val=""/>
      <w:lvlJc w:val="left"/>
      <w:pPr>
        <w:ind w:left="4320" w:hanging="360"/>
      </w:pPr>
      <w:rPr>
        <w:rFonts w:ascii="Wingdings" w:hAnsi="Wingdings" w:hint="default"/>
      </w:rPr>
    </w:lvl>
    <w:lvl w:ilvl="6" w:tplc="2180814C" w:tentative="1">
      <w:start w:val="1"/>
      <w:numFmt w:val="bullet"/>
      <w:lvlText w:val=""/>
      <w:lvlJc w:val="left"/>
      <w:pPr>
        <w:ind w:left="5040" w:hanging="360"/>
      </w:pPr>
      <w:rPr>
        <w:rFonts w:ascii="Symbol" w:hAnsi="Symbol" w:hint="default"/>
      </w:rPr>
    </w:lvl>
    <w:lvl w:ilvl="7" w:tplc="B5C28C7E" w:tentative="1">
      <w:start w:val="1"/>
      <w:numFmt w:val="bullet"/>
      <w:lvlText w:val="o"/>
      <w:lvlJc w:val="left"/>
      <w:pPr>
        <w:ind w:left="5760" w:hanging="360"/>
      </w:pPr>
      <w:rPr>
        <w:rFonts w:ascii="Courier New" w:hAnsi="Courier New" w:cs="Courier New" w:hint="default"/>
      </w:rPr>
    </w:lvl>
    <w:lvl w:ilvl="8" w:tplc="37D0B92E"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1"/>
    <w:docVar w:name="CIT1MNU" w:val=" 4"/>
    <w:docVar w:name="CIT2MNU" w:val=" 4"/>
    <w:docVar w:name="CIT3MNU" w:val=" 4"/>
    <w:docVar w:name="COMKEY" w:val="PECH"/>
    <w:docVar w:name="CONSENTMNU" w:val=" 1"/>
    <w:docVar w:name="CONTRIBUTIONMNU" w:val=" 1"/>
    <w:docVar w:name="CopyToNetwork" w:val="-1"/>
    <w:docVar w:name="DOCDT" w:val="22/10/2024"/>
    <w:docVar w:name="LastEditedSection" w:val=" 1"/>
    <w:docVar w:name="NVAR1" w:val="0"/>
    <w:docVar w:name="strDocTypeID" w:val="PR_NLE-AP_Agreement"/>
    <w:docVar w:name="strSubDir" w:val="1308"/>
    <w:docVar w:name="TITLEMNU" w:val=" 2"/>
    <w:docVar w:name="TXTAUTHOR" w:val="Eric Sargiacomo"/>
    <w:docVar w:name="TXTLANGUE" w:val="EN"/>
    <w:docVar w:name="TXTLANGUEMIN" w:val="en"/>
    <w:docVar w:name="TXTNRC" w:val="0108/2024"/>
    <w:docVar w:name="TXTNRCOUNC" w:val="12475/2024"/>
    <w:docVar w:name="TXTNRNLE" w:val="2024/0159"/>
    <w:docVar w:name="TXTNRPE" w:val="765.182"/>
    <w:docVar w:name="TXTPEorAP" w:val="PE"/>
    <w:docVar w:name="TXTROUTE" w:val="PR\1308977EN.docx"/>
    <w:docVar w:name="TXTTITLE" w:val="on the conclusion, on behalf of the European Union, of the Protocol on the implementation of the Fisheries Partnership Agreement between the European Community and the Republic of Guinea-Bissau (2024–2029) "/>
    <w:docVar w:name="TXTVERSION" w:val="01-00"/>
  </w:docVars>
  <w:rsids>
    <w:rsidRoot w:val="00963653"/>
    <w:rsid w:val="00001D52"/>
    <w:rsid w:val="0000443F"/>
    <w:rsid w:val="000053E3"/>
    <w:rsid w:val="00016E55"/>
    <w:rsid w:val="0006167F"/>
    <w:rsid w:val="00061EFE"/>
    <w:rsid w:val="00086351"/>
    <w:rsid w:val="00095D8B"/>
    <w:rsid w:val="000A2F73"/>
    <w:rsid w:val="000B6D45"/>
    <w:rsid w:val="000C123D"/>
    <w:rsid w:val="000D78AF"/>
    <w:rsid w:val="00145DE1"/>
    <w:rsid w:val="001747E4"/>
    <w:rsid w:val="00180664"/>
    <w:rsid w:val="001874D8"/>
    <w:rsid w:val="001D02E3"/>
    <w:rsid w:val="001D7F84"/>
    <w:rsid w:val="001F7574"/>
    <w:rsid w:val="001F7BBE"/>
    <w:rsid w:val="0021049A"/>
    <w:rsid w:val="0022685A"/>
    <w:rsid w:val="0024325F"/>
    <w:rsid w:val="002E2E20"/>
    <w:rsid w:val="002E503E"/>
    <w:rsid w:val="002F5A83"/>
    <w:rsid w:val="003045D2"/>
    <w:rsid w:val="003072BE"/>
    <w:rsid w:val="00337C92"/>
    <w:rsid w:val="00356066"/>
    <w:rsid w:val="00363B94"/>
    <w:rsid w:val="00367A49"/>
    <w:rsid w:val="0039691B"/>
    <w:rsid w:val="003B598C"/>
    <w:rsid w:val="004174FC"/>
    <w:rsid w:val="00434610"/>
    <w:rsid w:val="00460BD6"/>
    <w:rsid w:val="00463710"/>
    <w:rsid w:val="00467112"/>
    <w:rsid w:val="004859B3"/>
    <w:rsid w:val="004C083C"/>
    <w:rsid w:val="004E1650"/>
    <w:rsid w:val="004F1C4A"/>
    <w:rsid w:val="004F307C"/>
    <w:rsid w:val="005027B1"/>
    <w:rsid w:val="0053367A"/>
    <w:rsid w:val="00541BFC"/>
    <w:rsid w:val="00544D48"/>
    <w:rsid w:val="005511CA"/>
    <w:rsid w:val="00553671"/>
    <w:rsid w:val="005877C0"/>
    <w:rsid w:val="005A6B14"/>
    <w:rsid w:val="005D0B97"/>
    <w:rsid w:val="005F5D6C"/>
    <w:rsid w:val="006132CE"/>
    <w:rsid w:val="00613F2E"/>
    <w:rsid w:val="00646AD2"/>
    <w:rsid w:val="006A1A75"/>
    <w:rsid w:val="006A2CF5"/>
    <w:rsid w:val="006F1B6F"/>
    <w:rsid w:val="007041CC"/>
    <w:rsid w:val="007052F1"/>
    <w:rsid w:val="00717061"/>
    <w:rsid w:val="00791637"/>
    <w:rsid w:val="0079637B"/>
    <w:rsid w:val="0080122F"/>
    <w:rsid w:val="00822206"/>
    <w:rsid w:val="008368CB"/>
    <w:rsid w:val="0085501C"/>
    <w:rsid w:val="0087090F"/>
    <w:rsid w:val="00893FBD"/>
    <w:rsid w:val="008B75A4"/>
    <w:rsid w:val="008D23C6"/>
    <w:rsid w:val="008D3030"/>
    <w:rsid w:val="008E3848"/>
    <w:rsid w:val="00924EE0"/>
    <w:rsid w:val="009612AA"/>
    <w:rsid w:val="00963653"/>
    <w:rsid w:val="009A13D4"/>
    <w:rsid w:val="009E39A7"/>
    <w:rsid w:val="00A00CDF"/>
    <w:rsid w:val="00A1209E"/>
    <w:rsid w:val="00A415B7"/>
    <w:rsid w:val="00A44C75"/>
    <w:rsid w:val="00AD5D0C"/>
    <w:rsid w:val="00B00436"/>
    <w:rsid w:val="00B31C6A"/>
    <w:rsid w:val="00B31D18"/>
    <w:rsid w:val="00B42885"/>
    <w:rsid w:val="00B50C20"/>
    <w:rsid w:val="00B6722A"/>
    <w:rsid w:val="00B6769C"/>
    <w:rsid w:val="00B7198C"/>
    <w:rsid w:val="00B837B7"/>
    <w:rsid w:val="00BA6DE6"/>
    <w:rsid w:val="00BB22CC"/>
    <w:rsid w:val="00BB41C8"/>
    <w:rsid w:val="00BE02EB"/>
    <w:rsid w:val="00BE5E72"/>
    <w:rsid w:val="00BF0A0F"/>
    <w:rsid w:val="00BF2E15"/>
    <w:rsid w:val="00BF7F55"/>
    <w:rsid w:val="00C05DD8"/>
    <w:rsid w:val="00C15447"/>
    <w:rsid w:val="00C33F59"/>
    <w:rsid w:val="00C35D01"/>
    <w:rsid w:val="00C85D0F"/>
    <w:rsid w:val="00C85D1E"/>
    <w:rsid w:val="00C87ABD"/>
    <w:rsid w:val="00CB5651"/>
    <w:rsid w:val="00CC20CB"/>
    <w:rsid w:val="00CF44DF"/>
    <w:rsid w:val="00D04E0B"/>
    <w:rsid w:val="00D62198"/>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26C26"/>
  <w15:chartTrackingRefBased/>
  <w15:docId w15:val="{58C3A91F-472E-48B8-B5F7-FF1DCCDF0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53671"/>
    <w:pPr>
      <w:tabs>
        <w:tab w:val="right" w:pos="454"/>
        <w:tab w:val="left" w:pos="737"/>
      </w:tabs>
      <w:ind w:left="737" w:hanging="737"/>
    </w:pPr>
    <w:rPr>
      <w:snapToGrid w:val="0"/>
      <w:sz w:val="18"/>
      <w:lang w:eastAsia="en-US"/>
    </w:rPr>
  </w:style>
  <w:style w:type="paragraph" w:customStyle="1" w:styleId="Lgendetitre">
    <w:name w:val="Légende titre"/>
    <w:basedOn w:val="Normal"/>
    <w:rsid w:val="00553671"/>
    <w:pPr>
      <w:spacing w:before="240" w:after="240"/>
    </w:pPr>
    <w:rPr>
      <w:b/>
      <w:i/>
      <w:snapToGrid w:val="0"/>
      <w:lang w:eastAsia="en-US"/>
    </w:rPr>
  </w:style>
  <w:style w:type="paragraph" w:customStyle="1" w:styleId="Lgendestandard">
    <w:name w:val="Légende standard"/>
    <w:basedOn w:val="Normal"/>
    <w:rsid w:val="00553671"/>
    <w:rPr>
      <w:sz w:val="18"/>
    </w:rPr>
  </w:style>
  <w:style w:type="paragraph" w:styleId="Footer">
    <w:name w:val="footer"/>
    <w:basedOn w:val="Normal"/>
    <w:link w:val="FooterChar"/>
    <w:semiHidden/>
    <w:rsid w:val="00553671"/>
    <w:pPr>
      <w:tabs>
        <w:tab w:val="center" w:pos="4513"/>
        <w:tab w:val="right" w:pos="9026"/>
      </w:tabs>
    </w:pPr>
  </w:style>
  <w:style w:type="character" w:customStyle="1" w:styleId="FooterChar">
    <w:name w:val="Footer Char"/>
    <w:basedOn w:val="DefaultParagraphFont"/>
    <w:link w:val="Footer"/>
    <w:semiHidden/>
    <w:rsid w:val="00553671"/>
    <w:rPr>
      <w:sz w:val="24"/>
    </w:rPr>
  </w:style>
  <w:style w:type="paragraph" w:styleId="FootnoteText">
    <w:name w:val="footnote text"/>
    <w:basedOn w:val="Normal"/>
    <w:link w:val="FootnoteTextChar"/>
    <w:unhideWhenUsed/>
    <w:rsid w:val="00434610"/>
    <w:rPr>
      <w:sz w:val="20"/>
    </w:rPr>
  </w:style>
  <w:style w:type="character" w:customStyle="1" w:styleId="FootnoteTextChar">
    <w:name w:val="Footnote Text Char"/>
    <w:basedOn w:val="DefaultParagraphFont"/>
    <w:link w:val="FootnoteText"/>
    <w:rsid w:val="00434610"/>
  </w:style>
  <w:style w:type="character" w:styleId="FootnoteReference">
    <w:name w:val="footnote reference"/>
    <w:basedOn w:val="DefaultParagraphFont"/>
    <w:unhideWhenUsed/>
    <w:rsid w:val="00434610"/>
    <w:rPr>
      <w:vertAlign w:val="superscript"/>
    </w:rPr>
  </w:style>
  <w:style w:type="paragraph" w:customStyle="1" w:styleId="Normal12Hanging">
    <w:name w:val="Normal12Hanging"/>
    <w:basedOn w:val="Normal"/>
    <w:rsid w:val="0087090F"/>
    <w:pPr>
      <w:spacing w:after="240"/>
      <w:ind w:left="567" w:hanging="567"/>
    </w:pPr>
  </w:style>
  <w:style w:type="character" w:styleId="Hyperlink">
    <w:name w:val="Hyperlink"/>
    <w:basedOn w:val="DefaultParagraphFont"/>
    <w:unhideWhenUsed/>
    <w:rsid w:val="00356066"/>
    <w:rPr>
      <w:color w:val="0563C1" w:themeColor="hyperlink"/>
      <w:u w:val="single"/>
    </w:rPr>
  </w:style>
  <w:style w:type="paragraph" w:customStyle="1" w:styleId="Normal24a">
    <w:name w:val="Normal24a"/>
    <w:basedOn w:val="Normal"/>
    <w:rsid w:val="00A00CDF"/>
    <w:pPr>
      <w:spacing w:after="480"/>
    </w:pPr>
  </w:style>
  <w:style w:type="paragraph" w:customStyle="1" w:styleId="NormalBoldCenter">
    <w:name w:val="NormalBoldCenter"/>
    <w:basedOn w:val="Normal"/>
    <w:rsid w:val="00A00CDF"/>
    <w:pPr>
      <w:jc w:val="center"/>
    </w:pPr>
    <w:rPr>
      <w:b/>
    </w:rPr>
  </w:style>
  <w:style w:type="paragraph" w:customStyle="1" w:styleId="Footprint12b">
    <w:name w:val="Footprint12b"/>
    <w:basedOn w:val="Normal"/>
    <w:rsid w:val="00A00CDF"/>
    <w:pPr>
      <w:spacing w:before="240"/>
    </w:pPr>
    <w:rPr>
      <w:szCs w:val="24"/>
    </w:rPr>
  </w:style>
  <w:style w:type="paragraph" w:customStyle="1" w:styleId="NormalSingle">
    <w:name w:val="NormalSingle"/>
    <w:basedOn w:val="Normal"/>
    <w:qFormat/>
    <w:rsid w:val="00A00CDF"/>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0C02F-B8AE-43BB-B3EB-32A44A269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1438</Words>
  <Characters>9426</Characters>
  <Application>Microsoft Office Word</Application>
  <DocSecurity>0</DocSecurity>
  <Lines>192</Lines>
  <Paragraphs>86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NENICKOVA Sylvia</dc:creator>
  <cp:lastModifiedBy>THYBO Anne Fonnesbaek</cp:lastModifiedBy>
  <cp:revision>2</cp:revision>
  <cp:lastPrinted>2002-12-11T09:25:00Z</cp:lastPrinted>
  <dcterms:created xsi:type="dcterms:W3CDTF">2024-11-27T16:01:00Z</dcterms:created>
  <dcterms:modified xsi:type="dcterms:W3CDTF">2024-11-27T16:01:00Z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1308977</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9.18.0 Build [20240401]</vt:lpwstr>
  </property>
  <property fmtid="{D5CDD505-2E9C-101B-9397-08002B2CF9AE}" pid="9" name="FooterPath">
    <vt:lpwstr>PR\1308977DA.docx</vt:lpwstr>
  </property>
  <property fmtid="{D5CDD505-2E9C-101B-9397-08002B2CF9AE}" pid="10" name="LastEdited with">
    <vt:lpwstr>10.0.0 Build [20241005]</vt:lpwstr>
  </property>
  <property fmtid="{D5CDD505-2E9C-101B-9397-08002B2CF9AE}" pid="11" name="PE number">
    <vt:lpwstr>765.182</vt:lpwstr>
  </property>
  <property fmtid="{D5CDD505-2E9C-101B-9397-08002B2CF9AE}" pid="12" name="SDLStudio">
    <vt:lpwstr/>
  </property>
  <property fmtid="{D5CDD505-2E9C-101B-9397-08002B2CF9AE}" pid="13" name="SendToEpades">
    <vt:lpwstr>OK - 2024/11/14 15:01</vt:lpwstr>
  </property>
  <property fmtid="{D5CDD505-2E9C-101B-9397-08002B2CF9AE}" pid="14" name="Bookout">
    <vt:lpwstr>OK - 2024/11/27 17:01</vt:lpwstr>
  </property>
</Properties>
</file>