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25ACC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FD1E46" w:rsidRDefault="00A355C5" w:rsidP="00C85D0F">
            <w:pPr>
              <w:pStyle w:val="EPName"/>
            </w:pPr>
            <w:r>
              <w:t>Parlament Ewropew</w:t>
            </w:r>
          </w:p>
          <w:p w:rsidR="00C05DD8" w:rsidRPr="00FA3CA3" w:rsidRDefault="00A355C5" w:rsidP="00FA3CA3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C05DD8" w:rsidRPr="00FD1E46" w:rsidRDefault="00A355C5" w:rsidP="00C85D0F">
            <w:pPr>
              <w:pStyle w:val="EPLogo"/>
            </w:pPr>
            <w:r w:rsidRPr="00FD1E4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FD1E46" w:rsidRDefault="009612AA" w:rsidP="009612AA">
      <w:pPr>
        <w:pStyle w:val="LineTop"/>
      </w:pPr>
    </w:p>
    <w:p w:rsidR="009612AA" w:rsidRPr="00FD1E46" w:rsidRDefault="00A355C5" w:rsidP="009612AA">
      <w:pPr>
        <w:pStyle w:val="EPBody"/>
      </w:pPr>
      <w:r>
        <w:rPr>
          <w:rStyle w:val="HideTWBExt"/>
          <w:i w:val="0"/>
        </w:rPr>
        <w:t>&lt;Commission&gt;</w:t>
      </w:r>
      <w:r>
        <w:rPr>
          <w:rStyle w:val="HideTWBInt"/>
          <w:i w:val="0"/>
          <w:color w:val="auto"/>
        </w:rPr>
        <w:t>{PECH}</w:t>
      </w:r>
      <w:r>
        <w:t>Kumitat għas-Sajd</w:t>
      </w:r>
      <w:r>
        <w:rPr>
          <w:rStyle w:val="HideTWBExt"/>
          <w:i w:val="0"/>
        </w:rPr>
        <w:t>&lt;/Commission&gt;</w:t>
      </w:r>
    </w:p>
    <w:p w:rsidR="009612AA" w:rsidRPr="00FD1E46" w:rsidRDefault="009612AA" w:rsidP="009612AA">
      <w:pPr>
        <w:pStyle w:val="LineBottom"/>
      </w:pPr>
    </w:p>
    <w:p w:rsidR="00363B94" w:rsidRPr="00FD1E46" w:rsidRDefault="00A355C5">
      <w:pPr>
        <w:pStyle w:val="CoverReference"/>
      </w:pPr>
      <w:r>
        <w:rPr>
          <w:rStyle w:val="HideTWBExt"/>
          <w:b w:val="0"/>
        </w:rPr>
        <w:t>&lt;RefProc&gt;</w:t>
      </w:r>
      <w:r>
        <w:t>2024/0159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:rsidR="00363B94" w:rsidRPr="00FD1E46" w:rsidRDefault="00A355C5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{14/11/2024}</w:t>
      </w:r>
      <w:r>
        <w:t>14.11.2024</w:t>
      </w:r>
      <w:r>
        <w:rPr>
          <w:rStyle w:val="HideTWBExt"/>
        </w:rPr>
        <w:t>&lt;/Date&gt;</w:t>
      </w:r>
    </w:p>
    <w:p w:rsidR="00363B94" w:rsidRPr="00FD1E46" w:rsidRDefault="00A355C5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:rsidR="00363B94" w:rsidRPr="00FD1E46" w:rsidRDefault="00A355C5">
      <w:pPr>
        <w:pStyle w:val="CoverDocType24a"/>
      </w:pPr>
      <w:r>
        <w:rPr>
          <w:rStyle w:val="HideTWBExt"/>
          <w:b w:val="0"/>
        </w:rPr>
        <w:t>&lt;TitreType&gt;</w:t>
      </w:r>
      <w:r>
        <w:t>ABBOZZ TA’ RAKKOMANDAZZJONI</w:t>
      </w:r>
      <w:r>
        <w:rPr>
          <w:rStyle w:val="HideTWBExt"/>
          <w:b w:val="0"/>
        </w:rPr>
        <w:t>&lt;/TitreType&gt;</w:t>
      </w:r>
    </w:p>
    <w:p w:rsidR="00FA3CA3" w:rsidRPr="004F1C4A" w:rsidRDefault="00A355C5" w:rsidP="00FA3CA3">
      <w:pPr>
        <w:pStyle w:val="CoverNormal"/>
        <w:rPr>
          <w:bCs/>
          <w:sz w:val="23"/>
          <w:szCs w:val="23"/>
        </w:rPr>
      </w:pPr>
      <w:r>
        <w:rPr>
          <w:rStyle w:val="HideTWBExt"/>
        </w:rPr>
        <w:t>&lt;Titre&gt;</w:t>
      </w:r>
      <w:r>
        <w:t xml:space="preserve">dwar l-abbozz ta’ deċiżjoni tal-Kunsill dwar </w:t>
      </w:r>
      <w:r>
        <w:rPr>
          <w:sz w:val="23"/>
        </w:rPr>
        <w:t>il-konklużjoni, f’isem l-Unjoni Ewropea, tal-Protokoll ta’ Implimentazzjoni (2024–2029) tal-Ftehim ta’ Sħubija dwar is-Sajd</w:t>
      </w:r>
    </w:p>
    <w:p w:rsidR="00363B94" w:rsidRPr="00FD1E46" w:rsidRDefault="00A355C5" w:rsidP="00FA3CA3">
      <w:pPr>
        <w:pStyle w:val="CoverNormal"/>
      </w:pPr>
      <w:r>
        <w:rPr>
          <w:sz w:val="23"/>
        </w:rPr>
        <w:t>bejn il-Komunità Ewropea u r-Repubblika tal-Guinea-Bissau</w:t>
      </w:r>
      <w:r>
        <w:rPr>
          <w:rStyle w:val="HideTWBExt"/>
        </w:rPr>
        <w:t>&lt;/Titre&gt;</w:t>
      </w:r>
    </w:p>
    <w:p w:rsidR="00363B94" w:rsidRPr="00FD1E46" w:rsidRDefault="00A355C5"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DocRef&gt;</w:t>
      </w:r>
      <w:r>
        <w:t>(12475/2024 – C10</w:t>
      </w:r>
      <w:r>
        <w:noBreakHyphen/>
        <w:t>0108/2024 – 2024/0159(NLE))</w:t>
      </w:r>
      <w:r>
        <w:rPr>
          <w:rStyle w:val="HideTWBExt"/>
        </w:rPr>
        <w:t>&lt;/DocRef&gt;</w:t>
      </w:r>
    </w:p>
    <w:p w:rsidR="00363B94" w:rsidRPr="00FD1E46" w:rsidRDefault="00A355C5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{PECH}</w:t>
      </w:r>
      <w:r>
        <w:t>Kumitat għas-Sajd</w:t>
      </w:r>
      <w:r>
        <w:rPr>
          <w:rStyle w:val="HideTWBExt"/>
        </w:rPr>
        <w:t>&lt;/Commission&gt;</w:t>
      </w:r>
    </w:p>
    <w:p w:rsidR="00363B94" w:rsidRPr="00FD1E46" w:rsidRDefault="00A355C5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Eric Sargiacomo</w:t>
      </w:r>
      <w:r>
        <w:rPr>
          <w:rStyle w:val="HideTWBExt"/>
        </w:rPr>
        <w:t>&lt;/Depute&gt;</w:t>
      </w:r>
    </w:p>
    <w:p w:rsidR="00B42885" w:rsidRPr="00FD1E46" w:rsidRDefault="00B42885" w:rsidP="00B42885">
      <w:pPr>
        <w:pStyle w:val="CoverNormal"/>
      </w:pPr>
    </w:p>
    <w:p w:rsidR="00FA3CA3" w:rsidRDefault="00A355C5" w:rsidP="00016E55">
      <w:r>
        <w:br w:type="page"/>
      </w:r>
      <w:r>
        <w:lastRenderedPageBreak/>
        <w:fldChar w:fldCharType="begin"/>
      </w:r>
      <w:r>
        <w:instrText xml:space="preserve"> TITLE  \* MERGEFORMAT </w:instrText>
      </w:r>
      <w:r>
        <w:fldChar w:fldCharType="separate"/>
      </w:r>
      <w:r w:rsidRPr="00A355C5">
        <w:rPr>
          <w:lang w:val="fr-FR"/>
        </w:rPr>
        <w:t>PR_NLE-AP_Agreement</w:t>
      </w:r>
      <w:r>
        <w:rPr>
          <w:lang w:val="fr-FR"/>
        </w:rPr>
        <w:fldChar w:fldCharType="end"/>
      </w:r>
    </w:p>
    <w:p w:rsidR="00FA3CA3" w:rsidRDefault="00FA3CA3" w:rsidP="00016E55">
      <w:pPr>
        <w:rPr>
          <w:lang w:val="fr-FR"/>
        </w:rPr>
      </w:pPr>
    </w:p>
    <w:p w:rsidR="00FA3CA3" w:rsidRDefault="00FA3CA3" w:rsidP="00016E55">
      <w:pPr>
        <w:rPr>
          <w:lang w:val="fr-FR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525ACC">
        <w:tc>
          <w:tcPr>
            <w:tcW w:w="5811" w:type="dxa"/>
          </w:tcPr>
          <w:p w:rsidR="00FA3CA3" w:rsidRDefault="00A355C5" w:rsidP="00016E55">
            <w:pPr>
              <w:pStyle w:val="Lgendetitre"/>
            </w:pPr>
            <w:r>
              <w:t>Tifsira tas-simboli użati</w:t>
            </w:r>
          </w:p>
        </w:tc>
      </w:tr>
      <w:tr w:rsidR="00525ACC" w:rsidTr="00486FAE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FA3CA3" w:rsidRPr="002667E6" w:rsidRDefault="00A355C5" w:rsidP="00486FAE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 xml:space="preserve">Proċedura ta’ </w:t>
            </w:r>
            <w:r>
              <w:t>konsultazzjoni</w:t>
            </w:r>
          </w:p>
          <w:p w:rsidR="00FA3CA3" w:rsidRPr="002667E6" w:rsidRDefault="00A355C5" w:rsidP="00486FAE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ta’ approvazzjoni</w:t>
            </w:r>
          </w:p>
          <w:p w:rsidR="00FA3CA3" w:rsidRPr="002667E6" w:rsidRDefault="00A355C5" w:rsidP="00486FAE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FA3CA3" w:rsidRPr="002667E6" w:rsidRDefault="00A355C5" w:rsidP="00486FAE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FA3CA3" w:rsidRPr="002667E6" w:rsidRDefault="00A355C5" w:rsidP="00486FAE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:rsidR="00FA3CA3" w:rsidRPr="000E6FFB" w:rsidRDefault="00FA3CA3" w:rsidP="00486FAE">
            <w:pPr>
              <w:pStyle w:val="Lgendestandard"/>
              <w:rPr>
                <w:lang w:val="it-IT"/>
              </w:rPr>
            </w:pPr>
          </w:p>
          <w:p w:rsidR="00FA3CA3" w:rsidRPr="000E6FFB" w:rsidRDefault="00A355C5" w:rsidP="00486FAE">
            <w:pPr>
              <w:pStyle w:val="Lgendestandard"/>
            </w:pPr>
            <w:r>
              <w:t>(It-tip ta’ proċedura jiddependi mill-b</w:t>
            </w:r>
            <w:r>
              <w:t>ażi ġuridika proposta mill-abbozz ta’ att.)</w:t>
            </w:r>
          </w:p>
          <w:p w:rsidR="00FA3CA3" w:rsidRPr="000E6FFB" w:rsidRDefault="00FA3CA3" w:rsidP="00486FAE">
            <w:pPr>
              <w:pStyle w:val="Lgendestandard"/>
              <w:rPr>
                <w:lang w:val="it-IT"/>
              </w:rPr>
            </w:pPr>
          </w:p>
        </w:tc>
      </w:tr>
    </w:tbl>
    <w:p w:rsidR="00FA3CA3" w:rsidRPr="000E6FFB" w:rsidRDefault="00FA3CA3" w:rsidP="00016E55">
      <w:pPr>
        <w:rPr>
          <w:lang w:val="it-IT"/>
        </w:rPr>
      </w:pPr>
    </w:p>
    <w:p w:rsidR="00363B94" w:rsidRPr="00FA3CA3" w:rsidRDefault="00363B94" w:rsidP="00613F2E">
      <w:pPr>
        <w:widowControl/>
        <w:tabs>
          <w:tab w:val="center" w:pos="4677"/>
        </w:tabs>
      </w:pPr>
    </w:p>
    <w:p w:rsidR="00363B94" w:rsidRPr="00FD1E46" w:rsidRDefault="00A355C5">
      <w:pPr>
        <w:pStyle w:val="TOCHeading"/>
      </w:pPr>
      <w:r>
        <w:br w:type="page"/>
      </w:r>
      <w:r>
        <w:lastRenderedPageBreak/>
        <w:t>WERREJ</w:t>
      </w:r>
    </w:p>
    <w:p w:rsidR="00363B94" w:rsidRPr="00FD1E46" w:rsidRDefault="00A355C5">
      <w:pPr>
        <w:pStyle w:val="TOCPage"/>
      </w:pPr>
      <w:r>
        <w:t>Paġna</w:t>
      </w:r>
    </w:p>
    <w:p w:rsidR="00A355C5" w:rsidRDefault="00A355C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FD1E46">
        <w:fldChar w:fldCharType="begin"/>
      </w:r>
      <w:r w:rsidRPr="00FD1E46">
        <w:instrText xml:space="preserve"> TOC \t "PageHeading</w:instrText>
      </w:r>
      <w:r w:rsidR="00FA3CA3">
        <w:instrText>;</w:instrText>
      </w:r>
      <w:r w:rsidRPr="00FD1E46">
        <w:instrText xml:space="preserve">1" </w:instrText>
      </w:r>
      <w:r w:rsidRPr="00FD1E46"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_Toc183613647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355C5" w:rsidRDefault="00A355C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_Toc183613648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355C5" w:rsidRDefault="00A355C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ANNESS: ENTITAJIET JEW PERSUNI LI R-RAPPORTEUR IRĊIEVA KONTRIBUT MINGĦANDHOM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_Toc183613649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E1650" w:rsidRPr="00FD1E46" w:rsidRDefault="00A355C5" w:rsidP="00F04010">
      <w:r w:rsidRPr="00FD1E46">
        <w:fldChar w:fldCharType="end"/>
      </w:r>
    </w:p>
    <w:p w:rsidR="00363B94" w:rsidRPr="00FD1E46" w:rsidRDefault="00A355C5" w:rsidP="0006167F">
      <w:pPr>
        <w:pStyle w:val="PageHeading"/>
      </w:pPr>
      <w:r>
        <w:br w:type="page"/>
      </w:r>
      <w:r>
        <w:lastRenderedPageBreak/>
        <w:br w:type="page"/>
      </w:r>
      <w:bookmarkStart w:id="0" w:name="_Toc183613647"/>
      <w:r>
        <w:lastRenderedPageBreak/>
        <w:t>ABBOZZ TA’ RIŻOLUZZJONI LEĠIŻLATTIVA TAL-PARLAMENT EWROPEW</w:t>
      </w:r>
      <w:bookmarkEnd w:id="0"/>
    </w:p>
    <w:p w:rsidR="00FA3CA3" w:rsidRPr="004F1C4A" w:rsidRDefault="00A355C5" w:rsidP="00FA3CA3">
      <w:pPr>
        <w:pStyle w:val="NormalBold"/>
      </w:pPr>
      <w:r>
        <w:t xml:space="preserve">dwar l-abbozz ta’ deċiżjoni tal-Kunsill dwar il-konklużjoni, f’isem l-Unjoni Ewropea, </w:t>
      </w:r>
      <w:r>
        <w:t>tal-Protokoll ta’ Implimentazzjoni (2024–2029) għall-Ftehim ta’ Sħubija fis-Settur tas-Sajd bejn il-Komunità Ewropea u r-Repubblika tal-Guinea-Bissau</w:t>
      </w:r>
    </w:p>
    <w:p w:rsidR="00363B94" w:rsidRPr="00FD1E46" w:rsidRDefault="00A355C5" w:rsidP="00FA3CA3">
      <w:pPr>
        <w:pStyle w:val="NormalBold12a"/>
      </w:pPr>
      <w:r>
        <w:t>(12475/2024 – C10</w:t>
      </w:r>
      <w:r>
        <w:noBreakHyphen/>
        <w:t>0108/2024 – 2024/0159(NLE))</w:t>
      </w:r>
    </w:p>
    <w:p w:rsidR="00363B94" w:rsidRPr="00FD1E46" w:rsidRDefault="00A355C5" w:rsidP="00893FBD">
      <w:pPr>
        <w:pStyle w:val="NormalBold"/>
      </w:pPr>
      <w:r>
        <w:t>(Approvazzjoni)</w:t>
      </w:r>
    </w:p>
    <w:p w:rsidR="00363B94" w:rsidRPr="00FD1E46" w:rsidRDefault="00A355C5">
      <w:pPr>
        <w:pStyle w:val="EPComma"/>
      </w:pPr>
      <w:r>
        <w:rPr>
          <w:i/>
        </w:rPr>
        <w:t>Il-Parlament Ewropew</w:t>
      </w:r>
      <w:r>
        <w:t>,</w:t>
      </w:r>
    </w:p>
    <w:p w:rsidR="00FA3CA3" w:rsidRPr="004F1C4A" w:rsidRDefault="00A355C5" w:rsidP="00FA3CA3">
      <w:pPr>
        <w:pStyle w:val="NormalHanging12a"/>
      </w:pPr>
      <w:r>
        <w:t>–</w:t>
      </w:r>
      <w:r>
        <w:tab/>
        <w:t xml:space="preserve">wara li kkunsidra </w:t>
      </w:r>
      <w:r>
        <w:t>l-abbozz ta’ deċiżjoni tal-Kunsill (12475/2024),</w:t>
      </w:r>
    </w:p>
    <w:p w:rsidR="00FA3CA3" w:rsidRPr="004F1C4A" w:rsidRDefault="00A355C5" w:rsidP="00FA3CA3">
      <w:pPr>
        <w:pStyle w:val="NormalHanging12a"/>
      </w:pPr>
      <w:r>
        <w:t>–</w:t>
      </w:r>
      <w:r>
        <w:tab/>
        <w:t>wara li kkunsidra l-Protokoll ta’ Implimentazzjoni (2024-2029) għall-Ftehim ta’ Sħubija fis-Settur tas-Sajd bejn il-Komunità Ewropea u r-Repubblika tal-Guinea-Bissau (12189/2024),</w:t>
      </w:r>
    </w:p>
    <w:p w:rsidR="00FA3CA3" w:rsidRPr="004F1C4A" w:rsidRDefault="00A355C5" w:rsidP="00FA3CA3">
      <w:pPr>
        <w:pStyle w:val="NormalHanging12a"/>
      </w:pPr>
      <w:r>
        <w:t>–</w:t>
      </w:r>
      <w:r>
        <w:tab/>
        <w:t>wara li kkunsidra t-tal</w:t>
      </w:r>
      <w:r>
        <w:t>ba għal approvazzjoni ppreżentata mill-Kunsill f’konformità mal-Artikolu 43(2), l-Artikolu 218(6), it-tieni subparagrafu, il-punt (a)(v), u l-Artikolu 218(7) tat-Trattat dwar il-Funzjonament tal-Unjoni Ewropea (C10</w:t>
      </w:r>
      <w:r>
        <w:noBreakHyphen/>
        <w:t>0108/2024),</w:t>
      </w:r>
    </w:p>
    <w:p w:rsidR="00FA3CA3" w:rsidRPr="004F1C4A" w:rsidRDefault="00A355C5" w:rsidP="00FA3CA3">
      <w:pPr>
        <w:pStyle w:val="NormalHanging12a"/>
      </w:pPr>
      <w:r>
        <w:t>–</w:t>
      </w:r>
      <w:r>
        <w:tab/>
        <w:t>wara li kkunsidra r-riżoluz</w:t>
      </w:r>
      <w:r>
        <w:t>zjoni nonleġiżlattiva tiegħu ta’ ...</w:t>
      </w:r>
      <w:r>
        <w:rPr>
          <w:vertAlign w:val="superscript"/>
        </w:rPr>
        <w:footnoteReference w:id="1"/>
      </w:r>
      <w:r>
        <w:t xml:space="preserve"> dwar l-abbozz ta’ deċiżjoni,</w:t>
      </w:r>
    </w:p>
    <w:p w:rsidR="00FA3CA3" w:rsidRPr="004F1C4A" w:rsidRDefault="00A355C5" w:rsidP="00FA3CA3">
      <w:pPr>
        <w:pStyle w:val="NormalHanging12a"/>
      </w:pPr>
      <w:r>
        <w:t>–</w:t>
      </w:r>
      <w:r>
        <w:tab/>
        <w:t>wara li kkunsidra l-valutazzjoni baġitarja meħuda mill-Kumitat għall-Baġits,</w:t>
      </w:r>
    </w:p>
    <w:p w:rsidR="00FA3CA3" w:rsidRPr="004F1C4A" w:rsidRDefault="00A355C5" w:rsidP="00FA3CA3">
      <w:pPr>
        <w:pStyle w:val="NormalHanging12a"/>
      </w:pPr>
      <w:r>
        <w:t>–</w:t>
      </w:r>
      <w:r>
        <w:tab/>
        <w:t>wara li kkunsidra l-Artikolu 107(1) u (4) u l-Artikolu 117(7) tar-Regoli ta’ Proċedura tiegħu,</w:t>
      </w:r>
    </w:p>
    <w:p w:rsidR="00FA3CA3" w:rsidRPr="004F1C4A" w:rsidRDefault="00A355C5" w:rsidP="00FA3CA3">
      <w:pPr>
        <w:pStyle w:val="NormalHanging12a"/>
      </w:pPr>
      <w:r>
        <w:t>–</w:t>
      </w:r>
      <w:r>
        <w:tab/>
        <w:t>wara li kku</w:t>
      </w:r>
      <w:r>
        <w:t>nsidra l-opinjoni tal-Kumitat għall-Iżvilupp,</w:t>
      </w:r>
    </w:p>
    <w:p w:rsidR="00FA3CA3" w:rsidRPr="004F1C4A" w:rsidRDefault="00A355C5" w:rsidP="00FA3CA3">
      <w:pPr>
        <w:pStyle w:val="NormalHanging12a"/>
      </w:pPr>
      <w:r>
        <w:t>–</w:t>
      </w:r>
      <w:r>
        <w:tab/>
        <w:t>wara li kkunsidra r-rakkomandazzjoni tal-Kumitat għas-Sajd (A10</w:t>
      </w:r>
      <w:r>
        <w:noBreakHyphen/>
        <w:t>0000/2024),</w:t>
      </w:r>
    </w:p>
    <w:p w:rsidR="00FA3CA3" w:rsidRPr="004F1C4A" w:rsidRDefault="00A355C5" w:rsidP="00FA3CA3">
      <w:pPr>
        <w:pStyle w:val="NormalHanging12a"/>
      </w:pPr>
      <w:r>
        <w:t>1.</w:t>
      </w:r>
      <w:r>
        <w:tab/>
        <w:t>Jagħti l-approvazzjoni tiegħu għall-konklużjoni tal-ftehim;</w:t>
      </w:r>
    </w:p>
    <w:p w:rsidR="00FA3CA3" w:rsidRPr="004F1C4A" w:rsidRDefault="00A355C5" w:rsidP="00FA3CA3">
      <w:pPr>
        <w:pStyle w:val="NormalHanging12a"/>
      </w:pPr>
      <w:r>
        <w:t>2.</w:t>
      </w:r>
      <w:r>
        <w:tab/>
        <w:t>Jagħti istruzzjonijiet lill-President tiegħu biex tgħaddi l-pożizz</w:t>
      </w:r>
      <w:r>
        <w:t>joni tal-Parlament lill-Kunsill u lill-Kummissjoni, kif ukoll lill-gvernijiet u lill-parlamenti tal-Istati Membri u tar-Repubblika tal-Guinea-Bissau.</w:t>
      </w:r>
    </w:p>
    <w:p w:rsidR="00FA3CA3" w:rsidRPr="004F1C4A" w:rsidRDefault="00A355C5" w:rsidP="00FA3CA3">
      <w:pPr>
        <w:widowControl/>
        <w:rPr>
          <w:rFonts w:ascii="Arial" w:hAnsi="Arial" w:cs="Arial"/>
          <w:b/>
        </w:rPr>
      </w:pPr>
      <w:r>
        <w:br w:type="page"/>
      </w:r>
    </w:p>
    <w:p w:rsidR="00FA3CA3" w:rsidRPr="004F1C4A" w:rsidRDefault="00A355C5" w:rsidP="00FA3CA3">
      <w:pPr>
        <w:pStyle w:val="PageHeading"/>
      </w:pPr>
      <w:bookmarkStart w:id="1" w:name="_Toc182494723"/>
      <w:bookmarkStart w:id="2" w:name="_Toc183613648"/>
      <w:r>
        <w:lastRenderedPageBreak/>
        <w:t>NOTA SPJEGATTIVA</w:t>
      </w:r>
      <w:bookmarkEnd w:id="1"/>
      <w:bookmarkEnd w:id="2"/>
    </w:p>
    <w:p w:rsidR="00FA3CA3" w:rsidRPr="004F1C4A" w:rsidRDefault="00A355C5" w:rsidP="00FA3CA3">
      <w:pPr>
        <w:pStyle w:val="Normal12Hanging"/>
        <w:ind w:left="0" w:firstLine="0"/>
        <w:rPr>
          <w:u w:val="single"/>
        </w:rPr>
      </w:pPr>
      <w:r>
        <w:rPr>
          <w:u w:val="single"/>
        </w:rPr>
        <w:t>Ir-Repubblika tal-Guinea-Bissau</w:t>
      </w:r>
    </w:p>
    <w:p w:rsidR="00FA3CA3" w:rsidRPr="004F1C4A" w:rsidRDefault="00A355C5" w:rsidP="00FA3CA3">
      <w:pPr>
        <w:pStyle w:val="Normal12Hanging"/>
        <w:ind w:left="0" w:firstLine="0"/>
      </w:pPr>
      <w:r>
        <w:t>Il-Guinea-Bissau għandu 1,8 miljun abitant minn 11-il g</w:t>
      </w:r>
      <w:r>
        <w:t>rupp etniku. Nofs il-popolazzjoni tgħix f’żoni urbani. Din iċ-ċifra mistennija tikber. Madwar 60 % tal-popolazzjoni għandha inqas minn 25 sena. Il-pajjiż għandu kemm rata għolja ta’ fertilità kif ukoll rata għolja ta’ mwiet fost it-tfal (54,8 mewta għal ku</w:t>
      </w:r>
      <w:r>
        <w:t>ll elf twelid). Aktar minn 40 % tal-popolazzjoni hija illitterata. Mill-iffirmar tal-protokoll preċedenti l-pajjiż mar 2 postijiet lura u huwa kklassifikat fil-179 post minn 193 fl-Indiċi tal-Iżvilupp tal-Bniedem tan-Nazzjonijiet Uniti (UNDP, 2021).</w:t>
      </w:r>
    </w:p>
    <w:p w:rsidR="00FA3CA3" w:rsidRPr="004F1C4A" w:rsidRDefault="00A355C5" w:rsidP="00FA3CA3">
      <w:r>
        <w:t>Ir-riż</w:t>
      </w:r>
      <w:r>
        <w:t>orsi naturali domestiċi dejjem kienu l-pilastru tal-ekonomija tal-Guinea-Bissau. Il-kontribut tal-agrikoltura għall-PDG nazzjonali u għall-esportazzjonijiet huwa ta’ 56 % u 90 % rispettivament, u l-agrikoltura tistrieħ fuq għalla waħda – il-ġewż tal-anakar</w:t>
      </w:r>
      <w:r>
        <w:t>dju. Waħda mill-isfidi ewlenin li qed jiffaċċja l-pajjiż hija d-diversifikazzjoni tal-produzzjoni.</w:t>
      </w:r>
    </w:p>
    <w:p w:rsidR="00FA3CA3" w:rsidRPr="004F1C4A" w:rsidRDefault="00FA3CA3" w:rsidP="00FA3CA3"/>
    <w:p w:rsidR="00FA3CA3" w:rsidRPr="004F1C4A" w:rsidRDefault="00A355C5" w:rsidP="00FA3CA3">
      <w:r>
        <w:t>Kważi terz tad-dħul pubbliku ġie minn donaturi internazzjonali, u terz ta’ dan l-ammont jiġi mill-UE. Il-finanzjament ipprovdut permezz tal-Ftehim ta’ Sħubi</w:t>
      </w:r>
      <w:r>
        <w:t>ja dwar is-Sajd (SFPA, fil-verżjoni l-aktar reċenti tiegħu) bejn l-UE u l-Guinea-Bissau, bħala kumpens għall-aċċess għar-riżorsi, huwa kontribut sinifikanti għall-finanzi pubbliċi nazzjonali tal-pajjiż.</w:t>
      </w:r>
    </w:p>
    <w:p w:rsidR="00FA3CA3" w:rsidRPr="004F1C4A" w:rsidRDefault="00FA3CA3" w:rsidP="00FA3CA3"/>
    <w:p w:rsidR="00FA3CA3" w:rsidRPr="004F1C4A" w:rsidRDefault="00A355C5" w:rsidP="00FA3CA3">
      <w:r>
        <w:t>Il-blata kontinentali wiesgħa tal-Guinea-Bissau, ali</w:t>
      </w:r>
      <w:r>
        <w:t>mentata mix-xmajjar, u l-upwelling staġjonali tal-kurrenti oċeaniċi jgħinu biex jiġu żgurati stokkijiet rikki kemm ta’ speċijiet ta’ ħut kostali kif ukoll ta’ speċijiet oċeaniċi. l-istokkijiet ewlenin ta’ valur kummerċjali jinkludu speċijiet demersali, spe</w:t>
      </w:r>
      <w:r>
        <w:t>ċijiet pelaġiċi żgħar, speċijiet pelaġiċi migratorji kbar, krustaċji (gambli, inkluż gambli tal-baħar fond) u ċefalopodi (klamari u qarnit).</w:t>
      </w:r>
    </w:p>
    <w:p w:rsidR="00FA3CA3" w:rsidRPr="004F1C4A" w:rsidRDefault="00FA3CA3" w:rsidP="00FA3CA3"/>
    <w:p w:rsidR="00FA3CA3" w:rsidRPr="004F1C4A" w:rsidRDefault="00A355C5" w:rsidP="00FA3CA3">
      <w:r>
        <w:t>Is-sajd artiġjanali, inkluż is-sajd ta’ sussistenza, jipprovdi għajxien għal diversi eluf ta’ sajjieda u l-familji</w:t>
      </w:r>
      <w:r>
        <w:t xml:space="preserve"> tagħhom, li wħud minnhom huma minn pajjiżi ġirien (in-numri jvarjaw skont stimi differenti). </w:t>
      </w:r>
    </w:p>
    <w:p w:rsidR="00FA3CA3" w:rsidRPr="004F1C4A" w:rsidRDefault="00FA3CA3" w:rsidP="00FA3CA3"/>
    <w:p w:rsidR="00FA3CA3" w:rsidRPr="004F1C4A" w:rsidRDefault="00A355C5" w:rsidP="00FA3CA3">
      <w:r>
        <w:t>Il-kummerċ ta’ prodotti tas-sajd mal-UE ġie ostakolat minħabba n-nuqqas ta’ kapaċità tal-pajjiż li jikkonforma mal-istandards tas-saħħa tal-UE, minkejja l-aħjar</w:t>
      </w:r>
      <w:r>
        <w:t xml:space="preserve"> sforzi tiegħu. Wieħed jittama li t-tisħiħ tal-kapaċitajiet tal-Guinea-Bissau f’dan il-qasam, grazzi għall-ħolqien u – wara proċess twil – għall-akkreditazzjoni ta’ laboratorju ta’ kontroll u analiżi tal-kwalità (f’Lulju 2014 u bi żvilupp għadu għaddej), j</w:t>
      </w:r>
      <w:r>
        <w:t xml:space="preserve">ista’ jgħin biex tinbidel is-sitwazzjoni. </w:t>
      </w:r>
    </w:p>
    <w:p w:rsidR="00FA3CA3" w:rsidRPr="004F1C4A" w:rsidRDefault="00FA3CA3" w:rsidP="00FA3CA3"/>
    <w:p w:rsidR="00FA3CA3" w:rsidRPr="004F1C4A" w:rsidRDefault="00A355C5" w:rsidP="00FA3CA3">
      <w:pPr>
        <w:rPr>
          <w:u w:val="single"/>
        </w:rPr>
      </w:pPr>
      <w:r>
        <w:rPr>
          <w:u w:val="single"/>
        </w:rPr>
        <w:t>Il-Ftehim tas-Sajd UE-Guinea-Bissau</w:t>
      </w:r>
    </w:p>
    <w:p w:rsidR="00FA3CA3" w:rsidRPr="004F1C4A" w:rsidRDefault="00FA3CA3" w:rsidP="00FA3CA3"/>
    <w:p w:rsidR="00FA3CA3" w:rsidRPr="004F1C4A" w:rsidRDefault="00A355C5" w:rsidP="00FA3CA3">
      <w:pPr>
        <w:pStyle w:val="Normal12Hanging"/>
        <w:ind w:left="0" w:firstLine="0"/>
      </w:pPr>
      <w:r>
        <w:t xml:space="preserve">L-ewwel ftehim tas-sajd, konkluż bejn ir-Repubblika tal-Guinea-Bissau u l-Komunità Ewropea, imur lura għall-1980. Minn dak iż-żmien ’l hawn, flotot mill-Istati Membri </w:t>
      </w:r>
      <w:r>
        <w:t>tal-KEE/tal-UE kellhom aċċess għal opportunitajiet ta’ sajd fl-ibħra tal-Guinea-Bissau. Fl-2007, iż-żewġ partijiet iffirmaw il-Ftehim ta’ Sħubija dwar is-Sajd. Minn dak iż-żmien, il-protokolli suċċessivi li jimplimentaw il-Ftehim ġew imġedda u/jew innegozj</w:t>
      </w:r>
      <w:r>
        <w:t>ati b’mod taċitu. Il-Ftehim ġie sospiż fuq inizjattiva tal-UE bejn April 2012 u Ottubru 2014 wara kolp ta’ stat militari. Aktar reċentement, taħditiet dwar il-Protokoll enfasizzaw il-ħtieġa għal rieżami tal-kontribuzzjonijiet finanzjarji pprovduti bi skamb</w:t>
      </w:r>
      <w:r>
        <w:t>ju għal opportunitajiet tas-sajd għal flotot tal-</w:t>
      </w:r>
      <w:r>
        <w:lastRenderedPageBreak/>
        <w:t>UE skont il-Protokoll.</w:t>
      </w:r>
    </w:p>
    <w:p w:rsidR="00FA3CA3" w:rsidRPr="004F1C4A" w:rsidRDefault="00A355C5" w:rsidP="00FA3CA3">
      <w:pPr>
        <w:pStyle w:val="Normal12Hanging"/>
        <w:ind w:left="0" w:firstLine="0"/>
      </w:pPr>
      <w:r>
        <w:t>Il-Protokoll attwali dwar l-implimentazzjoni tal-Ftehim ta’ Sħubija dwar is-Sajd bejn il-Komunità Ewropea u r-Repubblika tal-Guinea-Bissau (2024-2029) ġie proviżorjament applikat mid-d</w:t>
      </w:r>
      <w:r>
        <w:t xml:space="preserve">ata tal-iffirmar, jiġifieri t-18 ta’ Settembru 2024. Dan il-ftehim tas-sajd jippermetti lill-bastimenti minn għadd ta’ Stati Membri tal-UE jistadu fl-ilmijiet tal-Guinea-Bissau. </w:t>
      </w:r>
    </w:p>
    <w:p w:rsidR="00FA3CA3" w:rsidRPr="004F1C4A" w:rsidRDefault="00A355C5" w:rsidP="00FA3CA3">
      <w:pPr>
        <w:pStyle w:val="Normal12Hanging"/>
        <w:ind w:left="0" w:firstLine="0"/>
      </w:pPr>
      <w:r>
        <w:t>Il-Protokoll jipprevedi opportunitajiet tas-sajd fil-kategoriji li ġejjin: il</w:t>
      </w:r>
      <w:r>
        <w:t>-bastimenti tat-tkarkir għall-gambli mgħammra bi friża; il-bastimenti tat-tkarkir għall-ħut u għaċ-ċefalopodi mgħammra bi friża; il-bastimenti tat-tkarkir għall-ħut pelaġiku ż-żgħir; il-bastimenti tas-sajd għat-tonn u dawk bil-konz mgħammra bi friża; il-ba</w:t>
      </w:r>
      <w:r>
        <w:t xml:space="preserve">stimenti tas-sajd għat-tonn bil-qasab u x-xlief: </w:t>
      </w:r>
    </w:p>
    <w:p w:rsidR="00FA3CA3" w:rsidRPr="004F1C4A" w:rsidRDefault="00A355C5" w:rsidP="00FA3CA3">
      <w:pPr>
        <w:pStyle w:val="Normal12Hanging"/>
        <w:ind w:left="0" w:firstLine="0"/>
      </w:pPr>
      <w:r>
        <w:t>Il-Ftehim huwa għal diversi speċijiet u jkopri t-tonn, iċ-ċefalopodi, il-gambli u l-ispeċijiet demersali. Il-Ftehim huwa parti minn network ta’ ftehimiet dwar it-tonn fl-Afrika tal-Punent u huwa wieħed minn</w:t>
      </w:r>
      <w:r>
        <w:t xml:space="preserve"> tliet ftehimiet biss għal diversi speċijiet fir-reġjun (l-oħrajn huma mal-Marokk u mal-Mauritania).</w:t>
      </w:r>
    </w:p>
    <w:p w:rsidR="00FA3CA3" w:rsidRPr="004F1C4A" w:rsidRDefault="00A355C5" w:rsidP="00FA3CA3">
      <w:pPr>
        <w:pStyle w:val="Normal12Hanging"/>
        <w:ind w:left="0" w:firstLine="0"/>
      </w:pPr>
      <w:r>
        <w:t>L-opportunitajiet tas-sajd previsti fil-Ftehim huma bbażati fuq l-aqwa parir xjentifiku disponibbli u fuq ir-rakkomandazzjonijiet tal-Kummissjoni Internazz</w:t>
      </w:r>
      <w:r>
        <w:t xml:space="preserve">jonali għall-Konservazzjoni tat-Tonn tal-Atlantiku (ICCAT). </w:t>
      </w:r>
    </w:p>
    <w:p w:rsidR="00FA3CA3" w:rsidRPr="004F1C4A" w:rsidRDefault="00A355C5" w:rsidP="00FA3CA3">
      <w:pPr>
        <w:pStyle w:val="Normal12Hanging"/>
        <w:ind w:left="0" w:firstLine="0"/>
      </w:pPr>
      <w:r>
        <w:t>Il-kontribuzzjoni tal-UE għal dan il-protokoll il-ġdid hija stmata li tilħaq EUR 85 miljun tul il-5 snin, u tikkonsisti f’EUR 17-il miljun fis-sena, li minnhom EUR 4.5 miljun se jkunu ddedikati g</w:t>
      </w:r>
      <w:r>
        <w:t xml:space="preserve">ħall-promozzjoni tal-ġestjoni tas-sajd sostenibbli, għall-kapaċitajiet ta’ kontroll u sorveljanza tal-Guinea Bissau, u għall-appoġġ tal-komunitajiet tas-sajd lokali.  </w:t>
      </w:r>
    </w:p>
    <w:p w:rsidR="00FA3CA3" w:rsidRPr="004F1C4A" w:rsidRDefault="00A355C5" w:rsidP="00FA3CA3">
      <w:pPr>
        <w:pStyle w:val="Normal12Hanging"/>
        <w:ind w:left="0" w:firstLine="0"/>
      </w:pPr>
      <w:r>
        <w:t>Minbarra l-kontribuzzjoni tal-UE, is-sidien tal-bastimenti se jħallsu t-tariffi tal-liċe</w:t>
      </w:r>
      <w:r>
        <w:t>nzja u tal-qbid lill-amministrazzjoni tal-Guinea Bissau biex ikunu awtorizzati jistadu. Il-kombinazzjoni tal-kontribuzzjoni tal-UE u t-tariffi mħallsa mill-operaturi tal-UE ġġib il-pakkett finanzjarju totali stmat għal aktar minn EUR 100 miljun matul il-pe</w:t>
      </w:r>
      <w:r>
        <w:t>rjodu ta’ 5 snin.</w:t>
      </w:r>
    </w:p>
    <w:p w:rsidR="00FA3CA3" w:rsidRPr="004F1C4A" w:rsidRDefault="00A355C5" w:rsidP="00FA3CA3">
      <w:pPr>
        <w:pStyle w:val="Normal12Hanging"/>
        <w:ind w:left="0" w:firstLine="0"/>
      </w:pPr>
      <w:r>
        <w:t>Ir-Rapporteur jittama li l-protokoll il-ġdid jippermetti lill-UE u lill-Guinea-Bissau jaħdmu aktar mill-qrib sabiex jippromwovu l-isfruttament sostenibbli tar-riżorsi tas-sajd fl-ilmijiet tal-Guinea-Bissau u jappoġġjaw l-isforzi tal-pajji</w:t>
      </w:r>
      <w:r>
        <w:t xml:space="preserve">ż sabiex jiżviluppa settur tas-sajd nazzjonali u fiż-żoni relatati. </w:t>
      </w:r>
    </w:p>
    <w:p w:rsidR="00FA3CA3" w:rsidRPr="004F1C4A" w:rsidRDefault="00A355C5" w:rsidP="00FA3CA3">
      <w:pPr>
        <w:pStyle w:val="Normal12Hanging"/>
        <w:ind w:left="0" w:firstLine="0"/>
      </w:pPr>
      <w:r>
        <w:t>L-investiment reċenti, li sar mill-Bank Afrikan tal-Iżvilupp u minn investituri oħra (eż. iċ-Ċina) fl-infrastruttura, kif ukoll f’port tas-sajd għal sajd artiġjanali (ħatt u pproċessar) f</w:t>
      </w:r>
      <w:r>
        <w:t>’Alto Bandim, jirrappreżenta opportunità għall-pajjiż, iżda mhuwiex biżżejjed biex jissodisfa l-ħtiġijiet. L-iżvilupp tal-infrastruttura għall-ħatt, il-ħżin u l-ipproċessar tal-ħut għall-użu minn flotot industrijali li joperaw fl-ilmijiet tal-Guinea-Bissau</w:t>
      </w:r>
      <w:r>
        <w:t xml:space="preserve"> jkun ta’ importanza partikolari, mhux biss għal skopijiet operattivi, iżda wkoll għall-iżvilupp tas-settur tas-sajd tal-pajjiż, u jippermetti l-ħolqien ta’ swieq, strutturi ta’ distribuzzjoni u kummerċjalizzazzjoni kif ukoll laboratorji għall-analiżi tal-</w:t>
      </w:r>
      <w:r>
        <w:t xml:space="preserve">kwalità. </w:t>
      </w:r>
    </w:p>
    <w:p w:rsidR="00FA3CA3" w:rsidRPr="004F1C4A" w:rsidRDefault="00A355C5" w:rsidP="00FA3CA3">
      <w:pPr>
        <w:pStyle w:val="Normal12Hanging"/>
        <w:ind w:left="0" w:firstLine="0"/>
      </w:pPr>
      <w:r>
        <w:t xml:space="preserve">Ir-Rapporteur huwa tal-opinjoni li l-Ftehim għandu jgħin biex jagħmel lill-pajjiż aktar awtosuffiċjenti, biex isostni l-istrateġija ta’ żvilupp tiegħu u biex jiggarantixxi s-sovranità tiegħu. </w:t>
      </w:r>
    </w:p>
    <w:p w:rsidR="00FA3CA3" w:rsidRPr="004F1C4A" w:rsidRDefault="00A355C5" w:rsidP="00FA3CA3">
      <w:pPr>
        <w:pStyle w:val="Normal12Hanging"/>
        <w:ind w:left="0" w:firstLine="0"/>
      </w:pPr>
      <w:r>
        <w:lastRenderedPageBreak/>
        <w:t>Huwa jirrakkomanda għalhekk li l-Parlament japprova l</w:t>
      </w:r>
      <w:r>
        <w:t>-konklużjoni ta’ dan l-SFPA u l-Protokoll tiegħu, minħabba l-importanza tiegħu kemm għall-flotta tar-Repubblika tal-Guinea-Bissau kif ukoll għal dik tal-UE li diġà topera fl-ibħra ta’ dak il-pajjiż.</w:t>
      </w:r>
    </w:p>
    <w:p w:rsidR="00FA3CA3" w:rsidRPr="004F1C4A" w:rsidRDefault="00A355C5" w:rsidP="00FA3CA3">
      <w:pPr>
        <w:pStyle w:val="Normal12Hanging"/>
        <w:ind w:left="0" w:firstLine="0"/>
      </w:pPr>
      <w:r>
        <w:t>Minħabba r-rwol u s-setgħat tal-Parlament f’dan il-qasam,</w:t>
      </w:r>
      <w:r>
        <w:t xml:space="preserve"> ir-Rapporteur iqis li huwa xieraq u meħtieġ li tiġi adottata riżoluzzjoni mhux leġiżlattiva dwar dan il-ftehim, li tfassal kunsiderazzjonijiet u rakkomandazzjonijiet li għandhom jitqiesu mill-Kummissjoni matul iż-żmien li fih ikun fis-seħħ il-Protokoll ku</w:t>
      </w:r>
      <w:r>
        <w:t>rrenti (li sfortunatament mhux dejjem għamlet dan fil-passat).</w:t>
      </w:r>
    </w:p>
    <w:p w:rsidR="00FA3CA3" w:rsidRPr="004F1C4A" w:rsidRDefault="00A355C5" w:rsidP="00FA3CA3">
      <w:pPr>
        <w:pStyle w:val="Normal12Hanging"/>
        <w:ind w:left="0" w:firstLine="0"/>
      </w:pPr>
      <w:r>
        <w:t>Ir-Rapporteur jixtieq jenfasizza l-kwistjonijiet li ġejjin, flimkien ma’ dawk imsemmija hawn fuq, li jeħtieġu attenzjoni partikolari.</w:t>
      </w:r>
    </w:p>
    <w:p w:rsidR="00FA3CA3" w:rsidRPr="004F1C4A" w:rsidRDefault="00A355C5" w:rsidP="00FA3CA3">
      <w:pPr>
        <w:pStyle w:val="Normal12Hanging"/>
        <w:ind w:left="0" w:firstLine="0"/>
      </w:pPr>
      <w:r>
        <w:t>Il-Ftehim irid jippromwovi żvilupp sostenibbli ġenwin fis-s</w:t>
      </w:r>
      <w:r>
        <w:t>ettur tas-sajd Guinean u fl-industriji u l-attivitajiet relatati, billi jżid il-valur miżjud li jibqa’ fil-pajjiż b’riżultat tal-isfruttament tar-riżorsi naturali tiegħu.</w:t>
      </w:r>
    </w:p>
    <w:p w:rsidR="00EF48F2" w:rsidRPr="00FD1E46" w:rsidRDefault="00A355C5" w:rsidP="00FA3CA3">
      <w:pPr>
        <w:pStyle w:val="NormalHanging12a"/>
        <w:ind w:left="0" w:firstLine="0"/>
      </w:pPr>
      <w:r>
        <w:t>Fl-aħħar nett, ir-Rapporteur jenfasizza li l-Parlament Ewropew għandu, f’kull stadju,</w:t>
      </w:r>
      <w:r>
        <w:t xml:space="preserve"> ikun infurmat bis-sħiħ u fil-pront dwar il-proċeduri relatati mal-Protokoll, it-tiġdid tiegħu u l-implimentazzjoni tiegħu, kif spjegat fid-dettall fir-riżoluzzjoni mhux leġiżlattiva li takkumpanja din ir-rakkomandazzjoni.</w:t>
      </w:r>
    </w:p>
    <w:p w:rsidR="00D35866" w:rsidRDefault="00D35866">
      <w:pPr>
        <w:widowControl/>
        <w:sectPr w:rsidR="00D35866" w:rsidSect="00FA3CA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FA3CA3" w:rsidRDefault="00FA3CA3">
      <w:pPr>
        <w:widowControl/>
      </w:pPr>
    </w:p>
    <w:p w:rsidR="00FA3CA3" w:rsidRDefault="00A355C5" w:rsidP="007041CC">
      <w:pPr>
        <w:pStyle w:val="PageHeading"/>
        <w:rPr>
          <w:noProof/>
        </w:rPr>
      </w:pPr>
      <w:bookmarkStart w:id="3" w:name="FootprintPageRR"/>
      <w:bookmarkStart w:id="4" w:name="_Toc183613649"/>
      <w:r>
        <w:t>ANNESS: ENTITAJIET JEW PERSUNI</w:t>
      </w:r>
      <w:r>
        <w:br/>
        <w:t xml:space="preserve">LI </w:t>
      </w:r>
      <w:bookmarkStart w:id="5" w:name="_GoBack"/>
      <w:bookmarkEnd w:id="5"/>
      <w:r>
        <w:t>R-RAPPORTEUR IRĊIEVA KONTRIBUT MINGĦANDHOM</w:t>
      </w:r>
      <w:bookmarkEnd w:id="4"/>
    </w:p>
    <w:p w:rsidR="00FA3CA3" w:rsidRPr="00FA3CA3" w:rsidRDefault="00A355C5" w:rsidP="00B31C6A">
      <w:pPr>
        <w:pStyle w:val="Normal24a"/>
        <w:spacing w:after="240"/>
      </w:pPr>
      <w:r>
        <w:rPr>
          <w:rStyle w:val="HideTWBExt"/>
        </w:rPr>
        <w:t>&lt;FootprintIntro&gt;</w:t>
      </w:r>
      <w:r>
        <w:t>F’konformità mal-Artikolu 8 tal-Anness I tar-Regoli ta’ Proċedura, ir-rapporteur jiddikjara li rċieva kontribut mill-entitajiet je</w:t>
      </w:r>
      <w:r>
        <w:t>w il-persuni li ġejjin fit-tħejjija tal-abbozz ta’ rapport:</w:t>
      </w:r>
      <w:r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25ACC" w:rsidTr="00A81CDF">
        <w:tc>
          <w:tcPr>
            <w:tcW w:w="9060" w:type="dxa"/>
            <w:shd w:val="clear" w:color="auto" w:fill="auto"/>
          </w:tcPr>
          <w:p w:rsidR="00FA3CA3" w:rsidRDefault="00A355C5" w:rsidP="00E17EC0">
            <w:pPr>
              <w:pStyle w:val="NormalBoldCenter"/>
            </w:pPr>
            <w:r>
              <w:t>Entità u/jew persuna</w:t>
            </w:r>
          </w:p>
        </w:tc>
      </w:tr>
      <w:tr w:rsidR="00525ACC" w:rsidTr="00E7420B">
        <w:tc>
          <w:tcPr>
            <w:tcW w:w="9060" w:type="dxa"/>
            <w:shd w:val="clear" w:color="auto" w:fill="auto"/>
          </w:tcPr>
          <w:p w:rsidR="00E17EC0" w:rsidRPr="004F1C4A" w:rsidRDefault="00A355C5" w:rsidP="00E7420B">
            <w:pPr>
              <w:pStyle w:val="NormalSingle"/>
            </w:pPr>
            <w:r>
              <w:t>Europêche</w:t>
            </w:r>
          </w:p>
        </w:tc>
      </w:tr>
      <w:tr w:rsidR="00525ACC" w:rsidTr="00E7420B">
        <w:tc>
          <w:tcPr>
            <w:tcW w:w="9060" w:type="dxa"/>
            <w:shd w:val="clear" w:color="auto" w:fill="auto"/>
          </w:tcPr>
          <w:p w:rsidR="00E17EC0" w:rsidRPr="004F1C4A" w:rsidRDefault="00A355C5" w:rsidP="00E7420B">
            <w:pPr>
              <w:pStyle w:val="NormalSingle"/>
            </w:pPr>
            <w:r>
              <w:t>European Transport Workers' Federation (ETF)</w:t>
            </w:r>
          </w:p>
        </w:tc>
      </w:tr>
      <w:tr w:rsidR="00525ACC" w:rsidTr="00E7420B">
        <w:tc>
          <w:tcPr>
            <w:tcW w:w="9060" w:type="dxa"/>
            <w:shd w:val="clear" w:color="auto" w:fill="auto"/>
          </w:tcPr>
          <w:p w:rsidR="00E17EC0" w:rsidRPr="004F1C4A" w:rsidRDefault="00A355C5" w:rsidP="00E7420B">
            <w:pPr>
              <w:pStyle w:val="NormalSingle"/>
            </w:pPr>
            <w:r>
              <w:t>Coalition pour des Accords de Pêche Equitables CAPE/CFFA</w:t>
            </w:r>
          </w:p>
        </w:tc>
      </w:tr>
    </w:tbl>
    <w:p w:rsidR="00FA3CA3" w:rsidRPr="00FA3CA3" w:rsidRDefault="00A355C5" w:rsidP="00086351">
      <w:pPr>
        <w:pStyle w:val="Footprint12b"/>
      </w:pPr>
      <w:r>
        <w:t xml:space="preserve">Il-lista ta’ hawn fuq hija mfassla taħt </w:t>
      </w:r>
      <w:r>
        <w:t>ir-responsabbiltà esklużiva tar-rapporteur.</w:t>
      </w:r>
    </w:p>
    <w:p w:rsidR="00FA3CA3" w:rsidRPr="00FA3CA3" w:rsidRDefault="00A355C5" w:rsidP="00B7198C">
      <w:pPr>
        <w:pStyle w:val="Footprint12b"/>
      </w:pPr>
      <w:r>
        <w:t xml:space="preserve">Meta persuni fiżiċi jkunu identifikati fil-lista b’isimhom, bil-funzjoni tagħhom jew bit-tnejn li huma, ir-rapporteur jiddikjara li ppreżenta lill-persuni fiżiċi kkonċernati l-Avviż tal-Parlament Ewropew Nru 484 </w:t>
      </w:r>
      <w:r>
        <w:t>dwar il-Protezzjoni tad-Data (</w:t>
      </w:r>
      <w:hyperlink r:id="rId15" w:history="1">
        <w:r>
          <w:rPr>
            <w:rStyle w:val="Hyperlink"/>
          </w:rPr>
          <w:t>https://www.europarl.europa.eu/data-protect/index.do</w:t>
        </w:r>
      </w:hyperlink>
      <w:r>
        <w:t>), li jistabbilixxi l-kundizzjonijiet applikabbli għall-ipproċessar tad-data personali tagħhom u d-dritti</w:t>
      </w:r>
      <w:r>
        <w:t>jiet marbuta ma’ dak l-ipproċessar.</w:t>
      </w:r>
    </w:p>
    <w:p w:rsidR="00FA3CA3" w:rsidRPr="00FA3CA3" w:rsidRDefault="00FA3CA3" w:rsidP="00646AD2">
      <w:pPr>
        <w:pStyle w:val="Footprint12b"/>
      </w:pPr>
    </w:p>
    <w:p w:rsidR="00FA3CA3" w:rsidRPr="00FA3CA3" w:rsidRDefault="00FA3CA3" w:rsidP="00FA3CA3"/>
    <w:bookmarkEnd w:id="3"/>
    <w:p w:rsidR="00363B94" w:rsidRPr="00FD1E46" w:rsidRDefault="00363B94" w:rsidP="00822206"/>
    <w:sectPr w:rsidR="00363B94" w:rsidRPr="00FD1E46" w:rsidSect="00FA3CA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355C5">
      <w:r>
        <w:separator/>
      </w:r>
    </w:p>
  </w:endnote>
  <w:endnote w:type="continuationSeparator" w:id="0">
    <w:p w:rsidR="00000000" w:rsidRDefault="00A35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FD1E46" w:rsidRDefault="00A355C5" w:rsidP="00B6769C">
    <w:pPr>
      <w:pStyle w:val="EPFooter"/>
    </w:pPr>
    <w:r w:rsidRPr="00FD1E46">
      <w:t>PE</w:t>
    </w:r>
    <w:r w:rsidRPr="00D35866">
      <w:rPr>
        <w:rStyle w:val="HideTWBExt"/>
      </w:rPr>
      <w:t>&lt;NoPE&gt;</w:t>
    </w:r>
    <w:r w:rsidR="00E17EC0" w:rsidRPr="00E17EC0">
      <w:t>765.182</w:t>
    </w:r>
    <w:r w:rsidRPr="00D35866">
      <w:rPr>
        <w:rStyle w:val="HideTWBExt"/>
      </w:rPr>
      <w:t>&lt;/NoPE&gt;&lt;Version&gt;</w:t>
    </w:r>
    <w:r w:rsidR="00FD1E46" w:rsidRPr="00FD1E46">
      <w:t>v</w:t>
    </w:r>
    <w:r w:rsidR="00E17EC0" w:rsidRPr="00E17EC0">
      <w:t>01-00</w:t>
    </w:r>
    <w:r w:rsidRPr="00D35866">
      <w:rPr>
        <w:rStyle w:val="HideTWBExt"/>
      </w:rPr>
      <w:t>&lt;/Version&gt;</w:t>
    </w:r>
    <w:r w:rsidRPr="00FD1E46">
      <w:tab/>
    </w:r>
    <w:r w:rsidR="00337C92" w:rsidRPr="00FD1E46">
      <w:fldChar w:fldCharType="begin"/>
    </w:r>
    <w:r w:rsidR="00337C92" w:rsidRPr="00FD1E46">
      <w:instrText xml:space="preserve"> PAGE </w:instrText>
    </w:r>
    <w:r w:rsidR="00337C92" w:rsidRPr="00FD1E46">
      <w:fldChar w:fldCharType="separate"/>
    </w:r>
    <w:r>
      <w:rPr>
        <w:noProof/>
      </w:rPr>
      <w:t>2</w:t>
    </w:r>
    <w:r w:rsidR="00337C92" w:rsidRPr="00FD1E46">
      <w:fldChar w:fldCharType="end"/>
    </w:r>
    <w:r w:rsidR="00337C92" w:rsidRPr="00FD1E46">
      <w:t>/</w:t>
    </w:r>
    <w:fldSimple w:instr=" NUMPAGES ">
      <w:r>
        <w:rPr>
          <w:noProof/>
        </w:rPr>
        <w:t>9</w:t>
      </w:r>
    </w:fldSimple>
    <w:r w:rsidRPr="00FD1E46">
      <w:tab/>
    </w:r>
    <w:r w:rsidRPr="00D35866">
      <w:rPr>
        <w:rStyle w:val="HideTWBExt"/>
      </w:rPr>
      <w:t>&lt;PathFdR&gt;</w:t>
    </w:r>
    <w:r w:rsidR="00E17EC0" w:rsidRPr="00E17EC0">
      <w:t>PR\1308977MT.docx</w:t>
    </w:r>
    <w:r w:rsidRPr="00D35866">
      <w:rPr>
        <w:rStyle w:val="HideTWBExt"/>
      </w:rPr>
      <w:t>&lt;/PathFdR&gt;</w:t>
    </w:r>
  </w:p>
  <w:p w:rsidR="0085501C" w:rsidRPr="00FD1E46" w:rsidRDefault="00A355C5">
    <w:pPr>
      <w:pStyle w:val="EPFooter2"/>
    </w:pPr>
    <w:r w:rsidRPr="00FD1E46">
      <w:fldChar w:fldCharType="begin"/>
    </w:r>
    <w:r w:rsidRPr="00FD1E46">
      <w:instrText xml:space="preserve"> DOCPROPERTY "&lt;Extension&gt;" </w:instrText>
    </w:r>
    <w:r w:rsidRPr="00FD1E46">
      <w:fldChar w:fldCharType="separate"/>
    </w:r>
    <w:r>
      <w:t>MT</w:t>
    </w:r>
    <w:r w:rsidRPr="00FD1E46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FD1E46" w:rsidRDefault="00A355C5" w:rsidP="00B6769C">
    <w:pPr>
      <w:pStyle w:val="EPFooter"/>
    </w:pPr>
    <w:r w:rsidRPr="00D35866">
      <w:rPr>
        <w:rStyle w:val="HideTWBExt"/>
      </w:rPr>
      <w:t>&lt;PathFdR&gt;</w:t>
    </w:r>
    <w:r w:rsidR="00FA3CA3" w:rsidRPr="00FA3CA3">
      <w:t>PR\1308977MT.docx</w:t>
    </w:r>
    <w:r w:rsidRPr="00D35866">
      <w:rPr>
        <w:rStyle w:val="HideTWBExt"/>
      </w:rPr>
      <w:t>&lt;/PathFdR&gt;</w:t>
    </w:r>
    <w:r w:rsidRPr="00FD1E46">
      <w:tab/>
    </w:r>
    <w:r w:rsidR="00337C92" w:rsidRPr="00FD1E46">
      <w:fldChar w:fldCharType="begin"/>
    </w:r>
    <w:r w:rsidR="00337C92" w:rsidRPr="00FD1E46">
      <w:instrText xml:space="preserve"> PAGE </w:instrText>
    </w:r>
    <w:r w:rsidR="00337C92" w:rsidRPr="00FD1E46">
      <w:fldChar w:fldCharType="separate"/>
    </w:r>
    <w:r>
      <w:rPr>
        <w:noProof/>
      </w:rPr>
      <w:t>3</w:t>
    </w:r>
    <w:r w:rsidR="00337C92" w:rsidRPr="00FD1E46">
      <w:fldChar w:fldCharType="end"/>
    </w:r>
    <w:r w:rsidR="00337C92" w:rsidRPr="00FD1E46">
      <w:t>/</w:t>
    </w:r>
    <w:fldSimple w:instr=" NUMPAGES ">
      <w:r>
        <w:rPr>
          <w:noProof/>
        </w:rPr>
        <w:t>9</w:t>
      </w:r>
    </w:fldSimple>
    <w:r w:rsidRPr="00FD1E46">
      <w:tab/>
      <w:t>PE</w:t>
    </w:r>
    <w:r w:rsidRPr="00D35866">
      <w:rPr>
        <w:rStyle w:val="HideTWBExt"/>
      </w:rPr>
      <w:t>&lt;NoPE&gt;</w:t>
    </w:r>
    <w:r w:rsidR="00FA3CA3" w:rsidRPr="00FA3CA3">
      <w:t>765.182</w:t>
    </w:r>
    <w:r w:rsidRPr="00D35866">
      <w:rPr>
        <w:rStyle w:val="HideTWBExt"/>
      </w:rPr>
      <w:t>&lt;/NoPE&gt;&lt;Version&gt;</w:t>
    </w:r>
    <w:r w:rsidR="00FD1E46" w:rsidRPr="00FD1E46">
      <w:t>v</w:t>
    </w:r>
    <w:r w:rsidR="00FA3CA3" w:rsidRPr="00FA3CA3">
      <w:t>01-00</w:t>
    </w:r>
    <w:r w:rsidRPr="00D35866">
      <w:rPr>
        <w:rStyle w:val="HideTWBExt"/>
      </w:rPr>
      <w:t>&lt;/Version&gt;</w:t>
    </w:r>
  </w:p>
  <w:p w:rsidR="0085501C" w:rsidRPr="00FD1E46" w:rsidRDefault="00A355C5">
    <w:pPr>
      <w:pStyle w:val="EPFooter2"/>
    </w:pPr>
    <w:r w:rsidRPr="00FD1E46">
      <w:tab/>
    </w:r>
    <w:r w:rsidRPr="00FD1E46">
      <w:tab/>
    </w:r>
    <w:fldSimple w:instr=" DOCPROPERTY &quot;&lt;Extension&gt;&quot; ">
      <w:r>
        <w:t>MT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FD1E46" w:rsidRDefault="00A355C5" w:rsidP="00B6769C">
    <w:pPr>
      <w:pStyle w:val="EPFooter"/>
    </w:pPr>
    <w:r w:rsidRPr="00D35866">
      <w:rPr>
        <w:rStyle w:val="HideTWBExt"/>
      </w:rPr>
      <w:t>&lt;PathFdR&gt;</w:t>
    </w:r>
    <w:r w:rsidR="00FA3CA3" w:rsidRPr="00FA3CA3">
      <w:t>PR\1308977MT.docx</w:t>
    </w:r>
    <w:r w:rsidRPr="00D35866">
      <w:rPr>
        <w:rStyle w:val="HideTWBExt"/>
      </w:rPr>
      <w:t>&lt;/PathFdR&gt;</w:t>
    </w:r>
    <w:r w:rsidRPr="00FD1E46">
      <w:tab/>
    </w:r>
    <w:r w:rsidRPr="00FD1E46">
      <w:tab/>
      <w:t>PE</w:t>
    </w:r>
    <w:r w:rsidRPr="00D35866">
      <w:rPr>
        <w:rStyle w:val="HideTWBExt"/>
      </w:rPr>
      <w:t>&lt;NoPE&gt;</w:t>
    </w:r>
    <w:r w:rsidR="00FA3CA3" w:rsidRPr="00FA3CA3">
      <w:t>765.182</w:t>
    </w:r>
    <w:r w:rsidRPr="00D35866">
      <w:rPr>
        <w:rStyle w:val="HideTWBExt"/>
      </w:rPr>
      <w:t>&lt;/NoPE&gt;&lt;Version&gt;</w:t>
    </w:r>
    <w:r w:rsidR="00FD1E46" w:rsidRPr="00FD1E46">
      <w:t>v</w:t>
    </w:r>
    <w:r w:rsidR="00FA3CA3" w:rsidRPr="00FA3CA3">
      <w:t>01-00</w:t>
    </w:r>
    <w:r w:rsidRPr="00D35866">
      <w:rPr>
        <w:rStyle w:val="HideTWBExt"/>
      </w:rPr>
      <w:t>&lt;/Version&gt;</w:t>
    </w:r>
  </w:p>
  <w:p w:rsidR="0085501C" w:rsidRPr="00FD1E46" w:rsidRDefault="00A355C5" w:rsidP="009612AA">
    <w:pPr>
      <w:pStyle w:val="EPFooter2"/>
      <w:tabs>
        <w:tab w:val="clear" w:pos="4535"/>
        <w:tab w:val="center" w:pos="4536"/>
      </w:tabs>
    </w:pPr>
    <w:r w:rsidRPr="00FD1E46">
      <w:fldChar w:fldCharType="begin"/>
    </w:r>
    <w:r w:rsidRPr="00FD1E46">
      <w:instrText xml:space="preserve"> DOCPROPERTY "&lt;Extension&gt;" </w:instrText>
    </w:r>
    <w:r w:rsidRPr="00FD1E46">
      <w:fldChar w:fldCharType="separate"/>
    </w:r>
    <w:r>
      <w:t>MT</w:t>
    </w:r>
    <w:r w:rsidRPr="00FD1E46">
      <w:fldChar w:fldCharType="end"/>
    </w:r>
    <w:r w:rsidRPr="00FD1E46">
      <w:tab/>
    </w:r>
    <w:r w:rsidR="00FA3CA3">
      <w:rPr>
        <w:b w:val="0"/>
        <w:i/>
        <w:color w:val="C0C0C0"/>
        <w:sz w:val="22"/>
        <w:szCs w:val="22"/>
      </w:rPr>
      <w:t>Magħquda fid-diversità</w:t>
    </w:r>
    <w:r w:rsidRPr="00FD1E46">
      <w:tab/>
    </w:r>
    <w:r w:rsidRPr="00FD1E46">
      <w:fldChar w:fldCharType="begin"/>
    </w:r>
    <w:r w:rsidRPr="00FD1E46">
      <w:instrText xml:space="preserve"> DOCPROPERTY "&lt;Extension&gt;" </w:instrText>
    </w:r>
    <w:r w:rsidRPr="00FD1E46">
      <w:fldChar w:fldCharType="separate"/>
    </w:r>
    <w:r>
      <w:t>MT</w:t>
    </w:r>
    <w:r w:rsidRPr="00FD1E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E46" w:rsidRPr="00FD1E46" w:rsidRDefault="00A355C5">
      <w:r w:rsidRPr="00FD1E46">
        <w:separator/>
      </w:r>
    </w:p>
  </w:footnote>
  <w:footnote w:type="continuationSeparator" w:id="0">
    <w:p w:rsidR="00FD1E46" w:rsidRPr="00FD1E46" w:rsidRDefault="00A355C5">
      <w:r w:rsidRPr="00FD1E46">
        <w:continuationSeparator/>
      </w:r>
    </w:p>
  </w:footnote>
  <w:footnote w:id="1">
    <w:p w:rsidR="00FA3CA3" w:rsidRPr="004F1C4A" w:rsidRDefault="00A355C5" w:rsidP="00FA3C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Testi adottati, P10_TA(0000)0000.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EC0" w:rsidRDefault="00E17E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EC0" w:rsidRDefault="00E17E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EC0" w:rsidRDefault="00E17E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PMNU" w:val=" 1"/>
    <w:docVar w:name="COMKEY" w:val="PECH"/>
    <w:docVar w:name="CONTRIBUTIONMNU" w:val=" 1"/>
    <w:docVar w:name="DOCDT" w:val="14/11/2024"/>
    <w:docVar w:name="LastEditedSection" w:val=" 1"/>
    <w:docVar w:name="NVAR1" w:val="0"/>
    <w:docVar w:name="strDocTypeID" w:val="PR_NLE-AP_Agreement"/>
    <w:docVar w:name="strSubDir" w:val="1308"/>
    <w:docVar w:name="TXTAUTHOR" w:val="Eric Sargiacomo"/>
    <w:docVar w:name="TXTLANGUE" w:val="MT"/>
    <w:docVar w:name="TXTLANGUEMIN" w:val="mt"/>
    <w:docVar w:name="TXTNRNLE" w:val="2024/0159"/>
    <w:docVar w:name="TXTNRPE" w:val="765.182"/>
    <w:docVar w:name="TXTPEorAP" w:val="PE"/>
    <w:docVar w:name="TXTROUTE" w:val="PR\1308977MT.docx"/>
    <w:docVar w:name="TXTVERSION" w:val="01-00"/>
  </w:docVars>
  <w:rsids>
    <w:rsidRoot w:val="00FD1E46"/>
    <w:rsid w:val="00001D52"/>
    <w:rsid w:val="0000443F"/>
    <w:rsid w:val="000053E3"/>
    <w:rsid w:val="00016E55"/>
    <w:rsid w:val="0006167F"/>
    <w:rsid w:val="00061EFE"/>
    <w:rsid w:val="00086351"/>
    <w:rsid w:val="00095D8B"/>
    <w:rsid w:val="000A2F73"/>
    <w:rsid w:val="000C123D"/>
    <w:rsid w:val="000D78AF"/>
    <w:rsid w:val="000E6FFB"/>
    <w:rsid w:val="00180664"/>
    <w:rsid w:val="001874D8"/>
    <w:rsid w:val="001D02E3"/>
    <w:rsid w:val="001F7BBE"/>
    <w:rsid w:val="0021049A"/>
    <w:rsid w:val="0022685A"/>
    <w:rsid w:val="002667E6"/>
    <w:rsid w:val="002E2E20"/>
    <w:rsid w:val="002F5A83"/>
    <w:rsid w:val="003072BE"/>
    <w:rsid w:val="00337C92"/>
    <w:rsid w:val="00363B94"/>
    <w:rsid w:val="003B598C"/>
    <w:rsid w:val="004174FC"/>
    <w:rsid w:val="00460BD6"/>
    <w:rsid w:val="004859B3"/>
    <w:rsid w:val="00486FAE"/>
    <w:rsid w:val="004C083C"/>
    <w:rsid w:val="004E1650"/>
    <w:rsid w:val="004F1C4A"/>
    <w:rsid w:val="005027B1"/>
    <w:rsid w:val="00525ACC"/>
    <w:rsid w:val="0053367A"/>
    <w:rsid w:val="00544D48"/>
    <w:rsid w:val="005877C0"/>
    <w:rsid w:val="005A6B14"/>
    <w:rsid w:val="005D0B97"/>
    <w:rsid w:val="005F5D6C"/>
    <w:rsid w:val="006132CE"/>
    <w:rsid w:val="00613F2E"/>
    <w:rsid w:val="00646AD2"/>
    <w:rsid w:val="006A1A75"/>
    <w:rsid w:val="006A2CF5"/>
    <w:rsid w:val="006F1B6F"/>
    <w:rsid w:val="007041CC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355C5"/>
    <w:rsid w:val="00A415B7"/>
    <w:rsid w:val="00AD5D0C"/>
    <w:rsid w:val="00B31C6A"/>
    <w:rsid w:val="00B31D18"/>
    <w:rsid w:val="00B42885"/>
    <w:rsid w:val="00B50C20"/>
    <w:rsid w:val="00B6769C"/>
    <w:rsid w:val="00B7198C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85D0F"/>
    <w:rsid w:val="00CB5651"/>
    <w:rsid w:val="00CC20CB"/>
    <w:rsid w:val="00CF44DF"/>
    <w:rsid w:val="00D04E0B"/>
    <w:rsid w:val="00D35866"/>
    <w:rsid w:val="00D62DA0"/>
    <w:rsid w:val="00D6543C"/>
    <w:rsid w:val="00DF594D"/>
    <w:rsid w:val="00E05C8B"/>
    <w:rsid w:val="00E14FEE"/>
    <w:rsid w:val="00E17EC0"/>
    <w:rsid w:val="00E71368"/>
    <w:rsid w:val="00E7420B"/>
    <w:rsid w:val="00E93816"/>
    <w:rsid w:val="00EA59ED"/>
    <w:rsid w:val="00EF48F2"/>
    <w:rsid w:val="00F04010"/>
    <w:rsid w:val="00FA3CA3"/>
    <w:rsid w:val="00FC699E"/>
    <w:rsid w:val="00FD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3D71C"/>
  <w15:chartTrackingRefBased/>
  <w15:docId w15:val="{105E8931-0E2A-4837-82D2-C02FF995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FA3CA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A3CA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A3CA3"/>
    <w:rPr>
      <w:sz w:val="18"/>
    </w:rPr>
  </w:style>
  <w:style w:type="paragraph" w:styleId="FootnoteText">
    <w:name w:val="footnote text"/>
    <w:basedOn w:val="Normal"/>
    <w:link w:val="FootnoteTextChar"/>
    <w:unhideWhenUsed/>
    <w:rsid w:val="00FA3CA3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A3CA3"/>
  </w:style>
  <w:style w:type="character" w:styleId="FootnoteReference">
    <w:name w:val="footnote reference"/>
    <w:basedOn w:val="DefaultParagraphFont"/>
    <w:unhideWhenUsed/>
    <w:rsid w:val="00FA3CA3"/>
    <w:rPr>
      <w:vertAlign w:val="superscript"/>
    </w:rPr>
  </w:style>
  <w:style w:type="paragraph" w:customStyle="1" w:styleId="Normal12Hanging">
    <w:name w:val="Normal12Hanging"/>
    <w:basedOn w:val="Normal"/>
    <w:rsid w:val="00FA3CA3"/>
    <w:pPr>
      <w:spacing w:after="240"/>
      <w:ind w:left="567" w:hanging="567"/>
    </w:pPr>
  </w:style>
  <w:style w:type="paragraph" w:customStyle="1" w:styleId="Normal24a">
    <w:name w:val="Normal24a"/>
    <w:basedOn w:val="Normal"/>
    <w:rsid w:val="00FA3CA3"/>
    <w:pPr>
      <w:spacing w:after="480"/>
    </w:pPr>
  </w:style>
  <w:style w:type="paragraph" w:customStyle="1" w:styleId="NormalBoldCenter">
    <w:name w:val="NormalBoldCenter"/>
    <w:basedOn w:val="Normal"/>
    <w:rsid w:val="00FA3CA3"/>
    <w:pPr>
      <w:jc w:val="center"/>
    </w:pPr>
    <w:rPr>
      <w:b/>
    </w:rPr>
  </w:style>
  <w:style w:type="paragraph" w:customStyle="1" w:styleId="Footprint12b">
    <w:name w:val="Footprint12b"/>
    <w:basedOn w:val="Normal"/>
    <w:rsid w:val="00FA3CA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A3CA3"/>
    <w:rPr>
      <w:szCs w:val="24"/>
    </w:rPr>
  </w:style>
  <w:style w:type="character" w:styleId="Hyperlink">
    <w:name w:val="Hyperlink"/>
    <w:basedOn w:val="DefaultParagraphFont"/>
    <w:rsid w:val="00E17EC0"/>
    <w:rPr>
      <w:color w:val="0563C1" w:themeColor="hyperlink"/>
      <w:u w:val="single"/>
    </w:rPr>
  </w:style>
  <w:style w:type="paragraph" w:styleId="Footer">
    <w:name w:val="footer"/>
    <w:basedOn w:val="Normal"/>
    <w:link w:val="FooterChar"/>
    <w:semiHidden/>
    <w:rsid w:val="00D358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3586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europarl.europa.eu/data-protect/index.do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7FDA9-CBC4-46F4-ACFE-A28FC6604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1351</Words>
  <Characters>10349</Characters>
  <Application>Microsoft Office Word</Application>
  <DocSecurity>0</DocSecurity>
  <Lines>202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11616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GRIMA Cherise-Marie</dc:creator>
  <cp:lastModifiedBy>GRIMA Cherise-Marie</cp:lastModifiedBy>
  <cp:revision>2</cp:revision>
  <cp:lastPrinted>2002-12-11T09:25:00Z</cp:lastPrinted>
  <dcterms:created xsi:type="dcterms:W3CDTF">2024-11-27T14:27:00Z</dcterms:created>
  <dcterms:modified xsi:type="dcterms:W3CDTF">2024-11-27T14:27:00Z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1308977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\\eiciLUXpr1\pdocep$\DocEP\DOCS\General\PR\PR_Leg\NLE\PR_NLE-AP_Agreement.dotx(12/08/2024 16:05:00)</vt:lpwstr>
  </property>
  <property fmtid="{D5CDD505-2E9C-101B-9397-08002B2CF9AE}" pid="6" name="&lt;ModelTra&gt;">
    <vt:lpwstr>\\eiciLUXpr1\pdocep$\DocEP\TRANSFIL\MT\PR_NLE-AP_Agreement.MT(25/09/2024 10:26:00)</vt:lpwstr>
  </property>
  <property fmtid="{D5CDD505-2E9C-101B-9397-08002B2CF9AE}" pid="7" name="&lt;Type&gt;">
    <vt:lpwstr>PR</vt:lpwstr>
  </property>
  <property fmtid="{D5CDD505-2E9C-101B-9397-08002B2CF9AE}" pid="8" name="Bookout">
    <vt:lpwstr>OK - 2024/11/27 15:27</vt:lpwstr>
  </property>
  <property fmtid="{D5CDD505-2E9C-101B-9397-08002B2CF9AE}" pid="9" name="Created with">
    <vt:lpwstr>10.0.0 Build [20241005]</vt:lpwstr>
  </property>
  <property fmtid="{D5CDD505-2E9C-101B-9397-08002B2CF9AE}" pid="10" name="FooterPath">
    <vt:lpwstr>PR\1308977MT.docx</vt:lpwstr>
  </property>
  <property fmtid="{D5CDD505-2E9C-101B-9397-08002B2CF9AE}" pid="11" name="LastEdited with">
    <vt:lpwstr>10.0.0 Build [20241005]</vt:lpwstr>
  </property>
  <property fmtid="{D5CDD505-2E9C-101B-9397-08002B2CF9AE}" pid="12" name="PE number">
    <vt:lpwstr>765.182</vt:lpwstr>
  </property>
  <property fmtid="{D5CDD505-2E9C-101B-9397-08002B2CF9AE}" pid="13" name="SDLStudio">
    <vt:lpwstr/>
  </property>
</Properties>
</file>