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6379C" w:rsidTr="00C85D0F">
        <w:trPr>
          <w:trHeight w:hRule="exact" w:val="1418"/>
        </w:trPr>
        <w:tc>
          <w:tcPr>
            <w:tcW w:w="6804" w:type="dxa"/>
            <w:shd w:val="clear" w:color="auto" w:fill="auto"/>
            <w:vAlign w:val="center"/>
          </w:tcPr>
          <w:p w:rsidR="00C05DD8" w:rsidRPr="00956293" w:rsidRDefault="00930B12" w:rsidP="00C85D0F">
            <w:pPr>
              <w:pStyle w:val="EPName"/>
            </w:pPr>
            <w:r>
              <w:t>Parlamentul European</w:t>
            </w:r>
          </w:p>
          <w:p w:rsidR="00C05DD8" w:rsidRPr="00956293" w:rsidRDefault="00930B12" w:rsidP="00553671">
            <w:pPr>
              <w:pStyle w:val="EPTerm"/>
            </w:pPr>
            <w:r>
              <w:t>2024-2029</w:t>
            </w:r>
          </w:p>
        </w:tc>
        <w:tc>
          <w:tcPr>
            <w:tcW w:w="2268" w:type="dxa"/>
            <w:shd w:val="clear" w:color="auto" w:fill="auto"/>
          </w:tcPr>
          <w:p w:rsidR="00C05DD8" w:rsidRPr="00956293" w:rsidRDefault="00930B12" w:rsidP="00C85D0F">
            <w:pPr>
              <w:pStyle w:val="EPLogo"/>
            </w:pPr>
            <w:r w:rsidRPr="0095629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956293" w:rsidRDefault="009612AA" w:rsidP="009612AA">
      <w:pPr>
        <w:pStyle w:val="LineTop"/>
      </w:pPr>
    </w:p>
    <w:p w:rsidR="009612AA" w:rsidRPr="00956293" w:rsidRDefault="00930B12" w:rsidP="009612AA">
      <w:pPr>
        <w:pStyle w:val="EPBody"/>
      </w:pPr>
      <w:r w:rsidRPr="00930B12">
        <w:rPr>
          <w:rStyle w:val="HideTWBExt"/>
          <w:i w:val="0"/>
          <w:szCs w:val="20"/>
        </w:rPr>
        <w:t>&lt;Commission&gt;</w:t>
      </w:r>
      <w:r w:rsidRPr="00930B12">
        <w:rPr>
          <w:rStyle w:val="HideTWBInt"/>
          <w:i w:val="0"/>
          <w:szCs w:val="20"/>
        </w:rPr>
        <w:t>{PECH}</w:t>
      </w:r>
      <w:r>
        <w:t>Comisia pentru pescuit</w:t>
      </w:r>
      <w:r w:rsidRPr="00930B12">
        <w:rPr>
          <w:rStyle w:val="HideTWBExt"/>
          <w:i w:val="0"/>
          <w:szCs w:val="20"/>
        </w:rPr>
        <w:t>&lt;/Commission&gt;</w:t>
      </w:r>
    </w:p>
    <w:p w:rsidR="009612AA" w:rsidRPr="00956293" w:rsidRDefault="009612AA" w:rsidP="009612AA">
      <w:pPr>
        <w:pStyle w:val="LineBottom"/>
      </w:pPr>
    </w:p>
    <w:p w:rsidR="00363B94" w:rsidRPr="00956293" w:rsidRDefault="00930B12">
      <w:pPr>
        <w:pStyle w:val="CoverReference"/>
      </w:pPr>
      <w:r w:rsidRPr="00930B12">
        <w:rPr>
          <w:rStyle w:val="HideTWBExt"/>
          <w:b w:val="0"/>
        </w:rPr>
        <w:t>&lt;RefProc&gt;</w:t>
      </w:r>
      <w:r>
        <w:t>2024/0159</w:t>
      </w:r>
      <w:r w:rsidRPr="00930B12">
        <w:rPr>
          <w:rStyle w:val="HideTWBExt"/>
          <w:b w:val="0"/>
        </w:rPr>
        <w:t>&lt;/RefProc&gt;&lt;RefTypeProc&gt;</w:t>
      </w:r>
      <w:r>
        <w:t>(NLE)</w:t>
      </w:r>
      <w:r w:rsidRPr="00930B12">
        <w:rPr>
          <w:rStyle w:val="HideTWBExt"/>
          <w:b w:val="0"/>
        </w:rPr>
        <w:t>&lt;/RefTypeProc&gt;</w:t>
      </w:r>
    </w:p>
    <w:p w:rsidR="00363B94" w:rsidRPr="00956293" w:rsidRDefault="00930B12">
      <w:pPr>
        <w:pStyle w:val="CoverDate"/>
      </w:pPr>
      <w:r w:rsidRPr="00930B12">
        <w:rPr>
          <w:rStyle w:val="HideTWBExt"/>
        </w:rPr>
        <w:t>&lt;Date&gt;</w:t>
      </w:r>
      <w:r w:rsidRPr="00930B12">
        <w:rPr>
          <w:rStyle w:val="HideTWBInt"/>
        </w:rPr>
        <w:t>{14/11/2024}</w:t>
      </w:r>
      <w:r>
        <w:t>14.11.2024</w:t>
      </w:r>
      <w:r w:rsidRPr="00930B12">
        <w:rPr>
          <w:rStyle w:val="HideTWBExt"/>
        </w:rPr>
        <w:t>&lt;/Date&gt;</w:t>
      </w:r>
    </w:p>
    <w:p w:rsidR="00363B94" w:rsidRPr="00956293" w:rsidRDefault="00930B12">
      <w:pPr>
        <w:pStyle w:val="CoverDocType"/>
      </w:pPr>
      <w:r w:rsidRPr="00930B12">
        <w:rPr>
          <w:rStyle w:val="HideTWBExt"/>
          <w:b w:val="0"/>
        </w:rPr>
        <w:t>&lt;RefProcLect&gt;</w:t>
      </w:r>
      <w:r>
        <w:t>***</w:t>
      </w:r>
      <w:r w:rsidRPr="00930B12">
        <w:rPr>
          <w:rStyle w:val="HideTWBExt"/>
          <w:b w:val="0"/>
        </w:rPr>
        <w:t>&lt;/RefProcLect&gt;</w:t>
      </w:r>
    </w:p>
    <w:p w:rsidR="00363B94" w:rsidRPr="00956293" w:rsidRDefault="00930B12">
      <w:pPr>
        <w:pStyle w:val="CoverDocType24a"/>
      </w:pPr>
      <w:r w:rsidRPr="00930B12">
        <w:rPr>
          <w:rStyle w:val="HideTWBExt"/>
          <w:b w:val="0"/>
        </w:rPr>
        <w:t>&lt;TitreType&gt;</w:t>
      </w:r>
      <w:r>
        <w:t>PROIECT DE RECOMANDARE</w:t>
      </w:r>
      <w:r w:rsidRPr="00930B12">
        <w:rPr>
          <w:rStyle w:val="HideTWBExt"/>
          <w:b w:val="0"/>
        </w:rPr>
        <w:t>&lt;/TitreType&gt;</w:t>
      </w:r>
    </w:p>
    <w:p w:rsidR="00367A49" w:rsidRPr="00956293" w:rsidRDefault="00930B12" w:rsidP="00367A49">
      <w:pPr>
        <w:pStyle w:val="CoverNormal"/>
        <w:rPr>
          <w:bCs/>
          <w:sz w:val="23"/>
          <w:szCs w:val="23"/>
        </w:rPr>
      </w:pPr>
      <w:r w:rsidRPr="00930B12">
        <w:rPr>
          <w:rStyle w:val="HideTWBExt"/>
        </w:rPr>
        <w:t>&lt;Titre&gt;</w:t>
      </w:r>
      <w:r>
        <w:t>referitoare la proiectul de decizie a Consiliului privind încheierea, în numele Uniunii Europene, a Protocolului privind punerea în aplicare</w:t>
      </w:r>
    </w:p>
    <w:p w:rsidR="00363B94" w:rsidRPr="00956293" w:rsidRDefault="00930B12" w:rsidP="00367A49">
      <w:pPr>
        <w:pStyle w:val="CoverNormal"/>
      </w:pPr>
      <w:r>
        <w:rPr>
          <w:sz w:val="23"/>
        </w:rPr>
        <w:t>a Acordului de parteneriat în domeniul pescuitului dintre Comunitatea Europeană și Republica Guineea-Bissau (2024-2029)</w:t>
      </w:r>
      <w:r w:rsidRPr="00930B12">
        <w:rPr>
          <w:rStyle w:val="HideTWBExt"/>
        </w:rPr>
        <w:t>&lt;/Titre&gt;</w:t>
      </w:r>
    </w:p>
    <w:p w:rsidR="00363B94" w:rsidRPr="00956293" w:rsidRDefault="00930B12">
      <w:pPr>
        <w:pStyle w:val="CoverNormal24a"/>
      </w:pPr>
      <w:r w:rsidRPr="00930B12">
        <w:rPr>
          <w:rStyle w:val="HideTWBExt"/>
        </w:rPr>
        <w:t>&lt;DocRef&gt;</w:t>
      </w:r>
      <w:r>
        <w:t>(12475/2024 – C10</w:t>
      </w:r>
      <w:r>
        <w:noBreakHyphen/>
        <w:t>0108/2024 – 2024/0159(NLE))</w:t>
      </w:r>
      <w:r w:rsidRPr="00930B12">
        <w:rPr>
          <w:rStyle w:val="HideTWBExt"/>
        </w:rPr>
        <w:t>&lt;/DocRef&gt;</w:t>
      </w:r>
    </w:p>
    <w:p w:rsidR="00363B94" w:rsidRPr="00956293" w:rsidRDefault="00930B12">
      <w:pPr>
        <w:pStyle w:val="CoverNormal24a"/>
      </w:pPr>
      <w:r w:rsidRPr="00930B12">
        <w:rPr>
          <w:rStyle w:val="HideTWBExt"/>
        </w:rPr>
        <w:t>&lt;Commission&gt;</w:t>
      </w:r>
      <w:r w:rsidRPr="00930B12">
        <w:rPr>
          <w:rStyle w:val="HideTWBInt"/>
        </w:rPr>
        <w:t>{PECH}</w:t>
      </w:r>
      <w:r>
        <w:t>Comisia pentru pescuit</w:t>
      </w:r>
      <w:r w:rsidRPr="00930B12">
        <w:rPr>
          <w:rStyle w:val="HideTWBExt"/>
        </w:rPr>
        <w:t>&lt;/Commission&gt;</w:t>
      </w:r>
    </w:p>
    <w:p w:rsidR="00363B94" w:rsidRPr="00956293" w:rsidRDefault="00930B12">
      <w:pPr>
        <w:pStyle w:val="CoverNormal24a"/>
      </w:pPr>
      <w:r>
        <w:t xml:space="preserve">Raportor: </w:t>
      </w:r>
      <w:r w:rsidRPr="00930B12">
        <w:rPr>
          <w:rStyle w:val="HideTWBExt"/>
        </w:rPr>
        <w:t>&lt;Depute&gt;</w:t>
      </w:r>
      <w:r>
        <w:t>Eric Sargiacomo</w:t>
      </w:r>
      <w:r w:rsidRPr="00930B12">
        <w:rPr>
          <w:rStyle w:val="HideTWBExt"/>
        </w:rPr>
        <w:t>&lt;/Depute&gt;</w:t>
      </w:r>
    </w:p>
    <w:p w:rsidR="00B42885" w:rsidRPr="00956293" w:rsidRDefault="00B42885" w:rsidP="00B42885">
      <w:pPr>
        <w:pStyle w:val="CoverNormal"/>
      </w:pPr>
    </w:p>
    <w:p w:rsidR="00553671" w:rsidRPr="00956293" w:rsidRDefault="00930B12" w:rsidP="00016E55">
      <w:r>
        <w:br w:type="page"/>
      </w:r>
      <w:r w:rsidR="00F71AEC">
        <w:lastRenderedPageBreak/>
        <w:fldChar w:fldCharType="begin"/>
      </w:r>
      <w:r>
        <w:instrText xml:space="preserve"> TITLE  \* MERGEFORMAT </w:instrText>
      </w:r>
      <w:r w:rsidR="00F71AEC">
        <w:fldChar w:fldCharType="separate"/>
      </w:r>
      <w:r w:rsidR="006D1EA3">
        <w:t>PR_NLE-AP_Agreement</w:t>
      </w:r>
      <w:r w:rsidR="00F71AEC">
        <w:fldChar w:fldCharType="end"/>
      </w:r>
    </w:p>
    <w:p w:rsidR="00553671" w:rsidRPr="00956293" w:rsidRDefault="00553671" w:rsidP="00016E55"/>
    <w:p w:rsidR="005922F0" w:rsidRPr="00D84F96" w:rsidRDefault="005922F0" w:rsidP="005922F0">
      <w:pPr>
        <w:tabs>
          <w:tab w:val="center" w:pos="4677"/>
        </w:tabs>
        <w:rPr>
          <w:rFonts w:cstheme="minorBidi"/>
          <w:szCs w:val="24"/>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6379C" w:rsidTr="006D05A4">
        <w:tc>
          <w:tcPr>
            <w:tcW w:w="5811" w:type="dxa"/>
            <w:tcBorders>
              <w:top w:val="single" w:sz="4" w:space="0" w:color="auto"/>
            </w:tcBorders>
          </w:tcPr>
          <w:p w:rsidR="005922F0" w:rsidRPr="00D84F96" w:rsidRDefault="00930B12" w:rsidP="006D05A4">
            <w:pPr>
              <w:pStyle w:val="Lgendetitre"/>
              <w:rPr>
                <w:rFonts w:cstheme="minorBidi"/>
                <w:szCs w:val="24"/>
              </w:rPr>
            </w:pPr>
            <w:r>
              <w:t>Legenda simbolurilor utilizate</w:t>
            </w:r>
          </w:p>
        </w:tc>
      </w:tr>
      <w:tr w:rsidR="0056379C" w:rsidTr="006D05A4">
        <w:trPr>
          <w:cantSplit/>
          <w:trHeight w:val="2170"/>
        </w:trPr>
        <w:tc>
          <w:tcPr>
            <w:tcW w:w="5811" w:type="dxa"/>
            <w:tcBorders>
              <w:bottom w:val="single" w:sz="4" w:space="0" w:color="auto"/>
            </w:tcBorders>
          </w:tcPr>
          <w:p w:rsidR="005922F0" w:rsidRPr="00D84F96" w:rsidRDefault="00930B12" w:rsidP="006D05A4">
            <w:pPr>
              <w:pStyle w:val="Lgendesigne"/>
              <w:rPr>
                <w:szCs w:val="24"/>
              </w:rPr>
            </w:pPr>
            <w:r>
              <w:tab/>
              <w:t>*</w:t>
            </w:r>
            <w:r>
              <w:tab/>
              <w:t>Procedura de consultare</w:t>
            </w:r>
          </w:p>
          <w:p w:rsidR="005922F0" w:rsidRPr="00D84F96" w:rsidRDefault="00930B12" w:rsidP="006D05A4">
            <w:pPr>
              <w:pStyle w:val="Lgendesigne"/>
              <w:rPr>
                <w:szCs w:val="24"/>
              </w:rPr>
            </w:pPr>
            <w:r>
              <w:tab/>
              <w:t>***</w:t>
            </w:r>
            <w:r>
              <w:tab/>
              <w:t>Procedura de aprobare</w:t>
            </w:r>
          </w:p>
          <w:p w:rsidR="005922F0" w:rsidRPr="00D84F96" w:rsidRDefault="00930B12" w:rsidP="006D05A4">
            <w:pPr>
              <w:pStyle w:val="Lgendesigne"/>
              <w:rPr>
                <w:szCs w:val="24"/>
              </w:rPr>
            </w:pPr>
            <w:r>
              <w:tab/>
              <w:t>***I</w:t>
            </w:r>
            <w:r>
              <w:tab/>
              <w:t>Procedura legislativă ordinară (prima lectură)</w:t>
            </w:r>
          </w:p>
          <w:p w:rsidR="005922F0" w:rsidRPr="00D84F96" w:rsidRDefault="00930B12" w:rsidP="006D05A4">
            <w:pPr>
              <w:pStyle w:val="Lgendesigne"/>
              <w:rPr>
                <w:szCs w:val="24"/>
              </w:rPr>
            </w:pPr>
            <w:r>
              <w:tab/>
              <w:t>***II</w:t>
            </w:r>
            <w:r>
              <w:tab/>
              <w:t>Procedura legislativă ordinară (a doua lectură)</w:t>
            </w:r>
          </w:p>
          <w:p w:rsidR="005922F0" w:rsidRPr="00D84F96" w:rsidRDefault="00930B12" w:rsidP="006D05A4">
            <w:pPr>
              <w:pStyle w:val="Lgendesigne"/>
              <w:rPr>
                <w:szCs w:val="24"/>
              </w:rPr>
            </w:pPr>
            <w:r>
              <w:tab/>
              <w:t>***III</w:t>
            </w:r>
            <w:r>
              <w:tab/>
              <w:t>Procedura legislativă ordinară (a treia lectură)</w:t>
            </w:r>
            <w:r>
              <w:br/>
            </w:r>
          </w:p>
          <w:p w:rsidR="005922F0" w:rsidRPr="00D84F96" w:rsidRDefault="00930B12" w:rsidP="006D05A4">
            <w:pPr>
              <w:pStyle w:val="Lgendestandard"/>
              <w:rPr>
                <w:szCs w:val="24"/>
              </w:rPr>
            </w:pPr>
            <w:r>
              <w:t>(Procedura indicată se bazează pe temeiul juridic propus în proiectul de act.)</w:t>
            </w:r>
          </w:p>
          <w:p w:rsidR="005922F0" w:rsidRPr="00D84F96" w:rsidRDefault="005922F0" w:rsidP="006D05A4">
            <w:pPr>
              <w:pStyle w:val="Lgendestandard"/>
              <w:rPr>
                <w:szCs w:val="24"/>
              </w:rPr>
            </w:pPr>
          </w:p>
        </w:tc>
      </w:tr>
    </w:tbl>
    <w:p w:rsidR="005922F0" w:rsidRPr="00D84F96" w:rsidRDefault="005922F0" w:rsidP="005922F0">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rFonts w:cstheme="minorBidi"/>
          <w:szCs w:val="24"/>
        </w:rPr>
      </w:pPr>
    </w:p>
    <w:p w:rsidR="005922F0" w:rsidRPr="00D84F96" w:rsidRDefault="005922F0" w:rsidP="005922F0">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rFonts w:cstheme="minorBidi"/>
          <w:szCs w:val="24"/>
        </w:rPr>
      </w:pPr>
    </w:p>
    <w:p w:rsidR="00363B94" w:rsidRPr="00956293" w:rsidRDefault="00363B94" w:rsidP="00613F2E">
      <w:pPr>
        <w:widowControl/>
        <w:tabs>
          <w:tab w:val="center" w:pos="4677"/>
        </w:tabs>
      </w:pPr>
    </w:p>
    <w:p w:rsidR="00363B94" w:rsidRPr="00956293" w:rsidRDefault="00930B12">
      <w:pPr>
        <w:pStyle w:val="TOCHeading"/>
      </w:pPr>
      <w:r>
        <w:br w:type="page"/>
      </w:r>
      <w:r>
        <w:lastRenderedPageBreak/>
        <w:t>CUPRINS</w:t>
      </w:r>
    </w:p>
    <w:p w:rsidR="00363B94" w:rsidRPr="00956293" w:rsidRDefault="00930B12">
      <w:pPr>
        <w:pStyle w:val="TOCPage"/>
      </w:pPr>
      <w:r>
        <w:t>Pagina</w:t>
      </w:r>
    </w:p>
    <w:p w:rsidR="006D1EA3" w:rsidRDefault="00930B12">
      <w:pPr>
        <w:pStyle w:val="TOC1"/>
        <w:tabs>
          <w:tab w:val="right" w:leader="dot" w:pos="9060"/>
        </w:tabs>
        <w:rPr>
          <w:rFonts w:asciiTheme="minorHAnsi" w:eastAsiaTheme="minorEastAsia" w:hAnsiTheme="minorHAnsi" w:cstheme="minorBidi"/>
          <w:noProof/>
          <w:sz w:val="22"/>
          <w:szCs w:val="22"/>
          <w:lang w:val="en-GB"/>
        </w:rPr>
      </w:pPr>
      <w:r w:rsidRPr="00956293">
        <w:fldChar w:fldCharType="begin"/>
      </w:r>
      <w:r w:rsidRPr="00956293">
        <w:instrText xml:space="preserve"> TOC \t "PageHeading</w:instrText>
      </w:r>
      <w:r w:rsidR="00367A49" w:rsidRPr="00956293">
        <w:instrText>;</w:instrText>
      </w:r>
      <w:r w:rsidRPr="00956293">
        <w:instrText xml:space="preserve">1" </w:instrText>
      </w:r>
      <w:r w:rsidRPr="00956293">
        <w:fldChar w:fldCharType="separate"/>
      </w:r>
      <w:r w:rsidR="006D1EA3">
        <w:rPr>
          <w:noProof/>
        </w:rPr>
        <w:t>PROIECT DE REZOLUȚIE LEGISLATIVĂ A PARLAMENTULUI EUROPEAN</w:t>
      </w:r>
      <w:r w:rsidR="006D1EA3">
        <w:rPr>
          <w:noProof/>
        </w:rPr>
        <w:tab/>
      </w:r>
      <w:r w:rsidR="006D1EA3">
        <w:rPr>
          <w:noProof/>
        </w:rPr>
        <w:fldChar w:fldCharType="begin"/>
      </w:r>
      <w:r w:rsidR="006D1EA3">
        <w:rPr>
          <w:noProof/>
        </w:rPr>
        <w:instrText xml:space="preserve"> PAGEREF _Toc183690120 \h </w:instrText>
      </w:r>
      <w:r w:rsidR="006D1EA3">
        <w:rPr>
          <w:noProof/>
        </w:rPr>
      </w:r>
      <w:r w:rsidR="006D1EA3">
        <w:rPr>
          <w:noProof/>
        </w:rPr>
        <w:fldChar w:fldCharType="separate"/>
      </w:r>
      <w:r w:rsidR="006D1EA3">
        <w:rPr>
          <w:noProof/>
        </w:rPr>
        <w:t>5</w:t>
      </w:r>
      <w:r w:rsidR="006D1EA3">
        <w:rPr>
          <w:noProof/>
        </w:rPr>
        <w:fldChar w:fldCharType="end"/>
      </w:r>
    </w:p>
    <w:p w:rsidR="006D1EA3" w:rsidRDefault="006D1EA3">
      <w:pPr>
        <w:pStyle w:val="TOC1"/>
        <w:tabs>
          <w:tab w:val="right" w:leader="dot" w:pos="9060"/>
        </w:tabs>
        <w:rPr>
          <w:rFonts w:asciiTheme="minorHAnsi" w:eastAsiaTheme="minorEastAsia" w:hAnsiTheme="minorHAnsi" w:cstheme="minorBidi"/>
          <w:noProof/>
          <w:sz w:val="22"/>
          <w:szCs w:val="22"/>
          <w:lang w:val="en-GB"/>
        </w:rPr>
      </w:pPr>
      <w:r>
        <w:rPr>
          <w:noProof/>
        </w:rPr>
        <w:t>EXPUNERE DE MOTIVE</w:t>
      </w:r>
      <w:r>
        <w:rPr>
          <w:noProof/>
        </w:rPr>
        <w:tab/>
      </w:r>
      <w:r>
        <w:rPr>
          <w:noProof/>
        </w:rPr>
        <w:fldChar w:fldCharType="begin"/>
      </w:r>
      <w:r>
        <w:rPr>
          <w:noProof/>
        </w:rPr>
        <w:instrText xml:space="preserve"> PAGEREF _Toc183690121 \h </w:instrText>
      </w:r>
      <w:r>
        <w:rPr>
          <w:noProof/>
        </w:rPr>
      </w:r>
      <w:r>
        <w:rPr>
          <w:noProof/>
        </w:rPr>
        <w:fldChar w:fldCharType="separate"/>
      </w:r>
      <w:r>
        <w:rPr>
          <w:noProof/>
        </w:rPr>
        <w:t>6</w:t>
      </w:r>
      <w:r>
        <w:rPr>
          <w:noProof/>
        </w:rPr>
        <w:fldChar w:fldCharType="end"/>
      </w:r>
    </w:p>
    <w:p w:rsidR="006D1EA3" w:rsidRDefault="006D1EA3">
      <w:pPr>
        <w:pStyle w:val="TOC1"/>
        <w:tabs>
          <w:tab w:val="right" w:leader="dot" w:pos="9060"/>
        </w:tabs>
        <w:rPr>
          <w:rFonts w:asciiTheme="minorHAnsi" w:eastAsiaTheme="minorEastAsia" w:hAnsiTheme="minorHAnsi" w:cstheme="minorBidi"/>
          <w:noProof/>
          <w:sz w:val="22"/>
          <w:szCs w:val="22"/>
          <w:lang w:val="en-GB"/>
        </w:rPr>
      </w:pPr>
      <w:r>
        <w:rPr>
          <w:noProof/>
        </w:rPr>
        <w:t>ANEXĂ: ENTITĂȚILE SAU PERSOANELE DE LA CARE RAPORTORUL A PRIMIT CONTRIBUȚII</w:t>
      </w:r>
      <w:r>
        <w:rPr>
          <w:noProof/>
        </w:rPr>
        <w:tab/>
      </w:r>
      <w:r>
        <w:rPr>
          <w:noProof/>
        </w:rPr>
        <w:fldChar w:fldCharType="begin"/>
      </w:r>
      <w:r>
        <w:rPr>
          <w:noProof/>
        </w:rPr>
        <w:instrText xml:space="preserve"> PAGEREF _Toc183690122 \h </w:instrText>
      </w:r>
      <w:r>
        <w:rPr>
          <w:noProof/>
        </w:rPr>
      </w:r>
      <w:r>
        <w:rPr>
          <w:noProof/>
        </w:rPr>
        <w:fldChar w:fldCharType="separate"/>
      </w:r>
      <w:r>
        <w:rPr>
          <w:noProof/>
        </w:rPr>
        <w:t>9</w:t>
      </w:r>
      <w:r>
        <w:rPr>
          <w:noProof/>
        </w:rPr>
        <w:fldChar w:fldCharType="end"/>
      </w:r>
    </w:p>
    <w:p w:rsidR="00363B94" w:rsidRPr="00956293" w:rsidRDefault="00930B12" w:rsidP="001D7F84">
      <w:pPr>
        <w:pStyle w:val="PageHeading"/>
      </w:pPr>
      <w:r w:rsidRPr="00956293">
        <w:fldChar w:fldCharType="end"/>
      </w:r>
      <w:r>
        <w:br w:type="page"/>
      </w:r>
      <w:r>
        <w:lastRenderedPageBreak/>
        <w:br w:type="page"/>
      </w:r>
      <w:bookmarkStart w:id="0" w:name="_Toc183690120"/>
      <w:r>
        <w:lastRenderedPageBreak/>
        <w:t>PROIECT DE REZOLUȚIE LEGISLATIVĂ A PARLAMENTULUI EUROPEAN</w:t>
      </w:r>
      <w:bookmarkEnd w:id="0"/>
    </w:p>
    <w:p w:rsidR="00363B94" w:rsidRPr="00956293" w:rsidRDefault="00930B12" w:rsidP="00367A49">
      <w:pPr>
        <w:pStyle w:val="NormalBold"/>
      </w:pPr>
      <w:r>
        <w:t>referitoare la proiectul de decizie a Consiliului privind încheierea, în numele Uniunii Europene, a Protocolului privind punerea în aplicare a Acordului de parteneriat în domeniul pescuitului dintre Comunitatea Europeană și Republica Guineea-Bissau (2024-2029)</w:t>
      </w:r>
    </w:p>
    <w:p w:rsidR="00363B94" w:rsidRPr="00956293" w:rsidRDefault="00930B12">
      <w:pPr>
        <w:pStyle w:val="NormalBold12a"/>
      </w:pPr>
      <w:r>
        <w:t>(12475/2024 – C10</w:t>
      </w:r>
      <w:r>
        <w:noBreakHyphen/>
        <w:t>0108/2024 – 2024/0159(NLE))</w:t>
      </w:r>
    </w:p>
    <w:p w:rsidR="00363B94" w:rsidRPr="00956293" w:rsidRDefault="00930B12" w:rsidP="00893FBD">
      <w:pPr>
        <w:pStyle w:val="NormalBold"/>
      </w:pPr>
      <w:r>
        <w:t>(Procedura de aprobare)</w:t>
      </w:r>
    </w:p>
    <w:p w:rsidR="00363B94" w:rsidRPr="00956293" w:rsidRDefault="00930B12">
      <w:pPr>
        <w:pStyle w:val="EPComma"/>
      </w:pPr>
      <w:r>
        <w:rPr>
          <w:i/>
          <w:iCs/>
        </w:rPr>
        <w:t>Parlamentul European</w:t>
      </w:r>
      <w:r>
        <w:t>,</w:t>
      </w:r>
    </w:p>
    <w:p w:rsidR="00BF7F55" w:rsidRPr="00956293" w:rsidRDefault="00930B12" w:rsidP="00BF7F55">
      <w:pPr>
        <w:pStyle w:val="NormalHanging12a"/>
      </w:pPr>
      <w:r>
        <w:t>–</w:t>
      </w:r>
      <w:r>
        <w:tab/>
        <w:t>având în vedere proiectul de decizie a Consiliului (12475/2024),</w:t>
      </w:r>
    </w:p>
    <w:p w:rsidR="00363B94" w:rsidRPr="00956293" w:rsidRDefault="00930B12">
      <w:pPr>
        <w:pStyle w:val="NormalHanging12a"/>
      </w:pPr>
      <w:r>
        <w:t>–</w:t>
      </w:r>
      <w:r>
        <w:tab/>
        <w:t>având în vedere Protocolul privind punerea în aplicare a Acordului de parteneriat în domeniul pescuitului dintre Comunitatea Europeană și Republica Guineea-Bissau (2024-2029) (12189/2024),</w:t>
      </w:r>
    </w:p>
    <w:p w:rsidR="00363B94" w:rsidRPr="00956293" w:rsidRDefault="00930B12">
      <w:pPr>
        <w:pStyle w:val="NormalHanging12a"/>
      </w:pPr>
      <w:r>
        <w:t>–</w:t>
      </w:r>
      <w:r>
        <w:tab/>
        <w:t>având în vedere cererea de aprobare prezentată de Consiliu în conformitate cu articolul 43 alineatul (2) și articolul 218 alineatul (6) al doilea paragraf litera (a) punctul (v) și articolul 218 alineatul (7) din Tratatul privind funcționarea Uniunii Europene (C10</w:t>
      </w:r>
      <w:r>
        <w:noBreakHyphen/>
        <w:t>0108/2024),</w:t>
      </w:r>
    </w:p>
    <w:p w:rsidR="00434610" w:rsidRPr="00956293" w:rsidRDefault="00930B12" w:rsidP="00434610">
      <w:pPr>
        <w:pStyle w:val="NormalHanging12a"/>
      </w:pPr>
      <w:r>
        <w:t>–</w:t>
      </w:r>
      <w:r>
        <w:tab/>
        <w:t>având în vedere rezoluția sa fără caracter legislativ din ...</w:t>
      </w:r>
      <w:r>
        <w:rPr>
          <w:vertAlign w:val="superscript"/>
        </w:rPr>
        <w:footnoteReference w:id="1"/>
      </w:r>
      <w:r>
        <w:t xml:space="preserve"> referitoare la proiectul de decizie,</w:t>
      </w:r>
    </w:p>
    <w:p w:rsidR="00463710" w:rsidRPr="00956293" w:rsidRDefault="00930B12">
      <w:pPr>
        <w:pStyle w:val="NormalHanging12a"/>
      </w:pPr>
      <w:r>
        <w:t>–</w:t>
      </w:r>
      <w:r>
        <w:tab/>
        <w:t>având în vedere evaluarea bugetară efectuată de Comisia pentru bugete,</w:t>
      </w:r>
    </w:p>
    <w:p w:rsidR="00363B94" w:rsidRPr="00956293" w:rsidRDefault="00930B12">
      <w:pPr>
        <w:pStyle w:val="NormalHanging12a"/>
      </w:pPr>
      <w:r>
        <w:t>–</w:t>
      </w:r>
      <w:r>
        <w:tab/>
        <w:t>având în vedere articolul 107 alineatele (1) și (4) și articolul 117 alineatul (7) din Regulamentul său de procedură,</w:t>
      </w:r>
    </w:p>
    <w:p w:rsidR="00C35D01" w:rsidRPr="00956293" w:rsidRDefault="00930B12" w:rsidP="00C35D01">
      <w:pPr>
        <w:pStyle w:val="NormalHanging12a"/>
      </w:pPr>
      <w:r>
        <w:t>–</w:t>
      </w:r>
      <w:r>
        <w:tab/>
        <w:t>având în vedere avizul Comisiei pentru dezvoltare,</w:t>
      </w:r>
    </w:p>
    <w:p w:rsidR="00363B94" w:rsidRPr="00956293" w:rsidRDefault="00930B12">
      <w:pPr>
        <w:pStyle w:val="NormalHanging12a"/>
      </w:pPr>
      <w:r>
        <w:t>–</w:t>
      </w:r>
      <w:r>
        <w:tab/>
        <w:t>având în vedere recomandarea Comisiei pentru pescuit (A10</w:t>
      </w:r>
      <w:r>
        <w:noBreakHyphen/>
        <w:t>0000/2024),</w:t>
      </w:r>
    </w:p>
    <w:p w:rsidR="00363B94" w:rsidRPr="00956293" w:rsidRDefault="00930B12">
      <w:pPr>
        <w:pStyle w:val="NormalHanging12a"/>
      </w:pPr>
      <w:r>
        <w:t>1.</w:t>
      </w:r>
      <w:r>
        <w:tab/>
        <w:t>aprobă încheierea acordului;</w:t>
      </w:r>
    </w:p>
    <w:p w:rsidR="001D02E3" w:rsidRPr="00956293" w:rsidRDefault="00930B12">
      <w:pPr>
        <w:pStyle w:val="NormalHanging12a"/>
      </w:pPr>
      <w:r>
        <w:t>2.</w:t>
      </w:r>
      <w:r>
        <w:tab/>
        <w:t>încredințează Președintei sarcina de a transmite poziția Parlamentului Consiliului și Comisiei, precum și guvernelor și parlamentelor statelor membre și Republicii Guineea-Bissau.</w:t>
      </w:r>
    </w:p>
    <w:p w:rsidR="007052F1" w:rsidRPr="00956293" w:rsidRDefault="00930B12">
      <w:pPr>
        <w:widowControl/>
        <w:rPr>
          <w:rFonts w:ascii="Arial" w:hAnsi="Arial" w:cs="Arial"/>
          <w:b/>
        </w:rPr>
      </w:pPr>
      <w:r>
        <w:br w:type="page"/>
      </w:r>
    </w:p>
    <w:p w:rsidR="00553671" w:rsidRPr="00956293" w:rsidRDefault="00930B12" w:rsidP="00553671">
      <w:pPr>
        <w:pStyle w:val="PageHeading"/>
      </w:pPr>
      <w:bookmarkStart w:id="1" w:name="_Toc183690121"/>
      <w:r>
        <w:lastRenderedPageBreak/>
        <w:t>EXPUNERE DE MOTIVE</w:t>
      </w:r>
      <w:bookmarkEnd w:id="1"/>
    </w:p>
    <w:p w:rsidR="00A00CDF" w:rsidRPr="00956293" w:rsidRDefault="00930B12" w:rsidP="00A00CDF">
      <w:pPr>
        <w:pStyle w:val="Normal12Hanging"/>
        <w:ind w:left="0" w:firstLine="0"/>
        <w:rPr>
          <w:u w:val="single"/>
        </w:rPr>
      </w:pPr>
      <w:r>
        <w:rPr>
          <w:u w:val="single"/>
        </w:rPr>
        <w:t>Republica Guineea-Bissau</w:t>
      </w:r>
    </w:p>
    <w:p w:rsidR="00A00CDF" w:rsidRPr="00956293" w:rsidRDefault="00930B12" w:rsidP="00A00CDF">
      <w:pPr>
        <w:pStyle w:val="Normal12Hanging"/>
        <w:ind w:left="0" w:firstLine="0"/>
      </w:pPr>
      <w:r>
        <w:t>Guineea-Bissau este o țară cu 1,8 milioane de locuitori împărțiți în 11 grupuri etnice. Jumătate din populație locuiește în centre urbane, această tendință fiind în creștere. Aproximativ 60 % din populație are sub 25 de ani; această țară se distinge atât prin rata ridicată a fertilității, cât și printr-o rată ridicată a mortalității infantile (54,8 decese la mia de nașteri). Peste 40 % din populație este analfabetă. De la semnarea protocolului anterior, această țară a pierdut două locuri, situându-se acum pe locul 179 din 193 în indicele dezvoltării umane al Organizației Națiunilor Unite (PNUD, 2021).</w:t>
      </w:r>
    </w:p>
    <w:p w:rsidR="00A00CDF" w:rsidRPr="00956293" w:rsidRDefault="00930B12" w:rsidP="00A00CDF">
      <w:r>
        <w:t>Economia Guineei-Bissau s-a bazat întotdeauna pe resursele sale naturale interne. Agricultura reprezintă 56 % din PIB-ul național și 90 % din exporturi, concentrându-se pe o singură cultură, nucile de caju. Diversificarea producției este una din principalele provocări cu care se confruntă această țară.</w:t>
      </w:r>
    </w:p>
    <w:p w:rsidR="00A00CDF" w:rsidRPr="00956293" w:rsidRDefault="00A00CDF" w:rsidP="00A00CDF"/>
    <w:p w:rsidR="00A00CDF" w:rsidRPr="00956293" w:rsidRDefault="00930B12" w:rsidP="00A00CDF">
      <w:r>
        <w:t>Aproape o treime din veniturile publice au provenit de la donatori internaționali, UE contribuind cu circa o treime din această sumă. Sumele transferate prin acordul de parteneriat în domeniul pescuitului (cea mai recentă versiune a sa) dintre Uniunea Europeană și Guineea Bissau, în temeiul compensației pentru accesul la resurse, reprezintă o contribuție importantă la finanțele publice naționale.</w:t>
      </w:r>
    </w:p>
    <w:p w:rsidR="00A00CDF" w:rsidRPr="00956293" w:rsidRDefault="00A00CDF" w:rsidP="00A00CDF"/>
    <w:p w:rsidR="00A00CDF" w:rsidRPr="00956293" w:rsidRDefault="00930B12" w:rsidP="00A00CDF">
      <w:r>
        <w:t>Platoul continental larg al Guineei-Bissau, alimentat de râuri, și intensificarea sezonieră a curenților oceanici contribuie la asigurarea unor stocuri bogate atât de specii de pești de coastă, cât și de specii oceanice. Printre principalele stocuri cu valoare comercială se numără specii demersale, specii pelagice mici, specii pelagice migratoare mari, crustacee (creveți, inclusiv creveți de adâncime) și cefalopode (calmar și caracatiță).</w:t>
      </w:r>
    </w:p>
    <w:p w:rsidR="00A00CDF" w:rsidRPr="00956293" w:rsidRDefault="00A00CDF" w:rsidP="00A00CDF"/>
    <w:p w:rsidR="00A00CDF" w:rsidRPr="00956293" w:rsidRDefault="00930B12" w:rsidP="00A00CDF">
      <w:r>
        <w:t xml:space="preserve">Pescuitul artizanal, inclusiv pescuitul de subzistență, asigură cele necesare traiului pentru câteva mii de pescari (cifrele diferă în funcție de estimări), unii dintre aceștia fiind originari din țări vecine, și familiile lor. </w:t>
      </w:r>
    </w:p>
    <w:p w:rsidR="00A00CDF" w:rsidRPr="00956293" w:rsidRDefault="00A00CDF" w:rsidP="00A00CDF"/>
    <w:p w:rsidR="00A00CDF" w:rsidRPr="00956293" w:rsidRDefault="00930B12" w:rsidP="00A00CDF">
      <w:r>
        <w:t xml:space="preserve">Comerțul cu produse pescărești cu UE este blocat de mult timp pentru că, în ciuda eforturilor depuse, Guineea-Bissau nu reușește să respecte măsurile sanitare impuse de UE. Consolidarea capacităților Guineei-Bissau în acest domeniu, prin înființarea unui laborator de analize și control al calității (în iulie 2014) și finalizarea unui lung proces de acreditare a acestui laborator (în curs), poate contribui, se speră, la schimbarea acestei situații. </w:t>
      </w:r>
    </w:p>
    <w:p w:rsidR="00A00CDF" w:rsidRPr="00956293" w:rsidRDefault="00A00CDF" w:rsidP="00A00CDF"/>
    <w:p w:rsidR="00A00CDF" w:rsidRPr="00956293" w:rsidRDefault="00930B12" w:rsidP="00A00CDF">
      <w:pPr>
        <w:rPr>
          <w:u w:val="single"/>
        </w:rPr>
      </w:pPr>
      <w:r>
        <w:rPr>
          <w:u w:val="single"/>
        </w:rPr>
        <w:t>Acordul în domeniul pescuitului dintre UE și Guineea-Bissau</w:t>
      </w:r>
    </w:p>
    <w:p w:rsidR="00A00CDF" w:rsidRPr="00956293" w:rsidRDefault="00A00CDF" w:rsidP="00A00CDF"/>
    <w:p w:rsidR="00A00CDF" w:rsidRPr="00956293" w:rsidRDefault="00930B12" w:rsidP="00A00CDF">
      <w:pPr>
        <w:pStyle w:val="Normal12Hanging"/>
        <w:ind w:left="0" w:firstLine="0"/>
      </w:pPr>
      <w:r>
        <w:t xml:space="preserve">Primul acord în domeniul pescuitului între Republica Guineea-Bissau și Comunitatea Europeană a fost încheiat în 1980. Din acel moment, flotele statelor membre ale CEE/UE au avut acces la posibilitățile de pescuit în apele acestei țări. În 2007 părțile au semnat acordul de parteneriat în domeniul pescuitului. De atunci, protocoalele succesive de punere în aplicare a acordului au fost reînnoite tacit și/sau negociate. După o lovitură de stat militară, acordul a fost suspendat la inițiativa UE în perioada aprilie 2012-octombrie 2014. Mai recent, </w:t>
      </w:r>
      <w:r>
        <w:lastRenderedPageBreak/>
        <w:t>negocierile pentru protocol au fost marcate de recunoașterea faptului că trebuie actualizate contribuțiile financiare asociate posibilităților de pescuit acordate flotelor UE în temeiul acestuia.</w:t>
      </w:r>
    </w:p>
    <w:p w:rsidR="00A00CDF" w:rsidRPr="00956293" w:rsidRDefault="00930B12" w:rsidP="00A00CDF">
      <w:pPr>
        <w:pStyle w:val="Normal12Hanging"/>
        <w:ind w:left="0" w:firstLine="0"/>
      </w:pPr>
      <w:r>
        <w:t xml:space="preserve">Actualul protocol privind punerea în aplicare a Acordului de parteneriat în domeniul pescuitului dintre Comunitatea Europeană și Republica Guineea-Bissau (2024-2029) se aplică provizoriu de la data semnării sale, adică de la 18 septembrie 2024. Acest acord în domeniul pescuitului permite navelor din diferite state membre ale UE să pescuiască în apele Guineei-Bissau. </w:t>
      </w:r>
    </w:p>
    <w:p w:rsidR="00A00CDF" w:rsidRPr="00956293" w:rsidRDefault="00930B12" w:rsidP="00A00CDF">
      <w:pPr>
        <w:pStyle w:val="Normal12Hanging"/>
        <w:ind w:left="0" w:firstLine="0"/>
      </w:pPr>
      <w:r>
        <w:t xml:space="preserve">Protocolul prevede posibilități de pescuit pentru următoarele categorii: traulere congelatoare pentru creveți, traulere congelatoare pentru pește și cefalopode, traulere pentru pești pelagici mici, nave de pescuit ton congelatoare cu plasă pungă și nave de pescuit ton congelatoare cu paragate, nave de pescuit ton cu platformă și paragate. </w:t>
      </w:r>
    </w:p>
    <w:p w:rsidR="00A00CDF" w:rsidRPr="00956293" w:rsidRDefault="00930B12" w:rsidP="00A00CDF">
      <w:pPr>
        <w:pStyle w:val="Normal12Hanging"/>
        <w:ind w:left="0" w:firstLine="0"/>
      </w:pPr>
      <w:r>
        <w:t>Acordul vizează mai multe specii, printre care tonul, cefalopodele, creveții și speciile demersale. Acordul face parte din rețeaua de acorduri privind pescuitul de ton în Africa de Vest și este unul dintre cele doar trei acorduri vizând mai multe specii din regiune (celelalte două acorduri fiind cu Marocul și cu Mauritania).</w:t>
      </w:r>
    </w:p>
    <w:p w:rsidR="00A00CDF" w:rsidRPr="00956293" w:rsidRDefault="00930B12" w:rsidP="00A00CDF">
      <w:pPr>
        <w:pStyle w:val="Normal12Hanging"/>
        <w:ind w:left="0" w:firstLine="0"/>
      </w:pPr>
      <w:r>
        <w:t xml:space="preserve">Posibilitățile de pescuit prevăzute în acord se bazează pe cele mai bune avize științifice disponibile și pe recomandările Comisiei Internaționale pentru Conservarea Tonului din Oceanul Atlantic (ICCAT). </w:t>
      </w:r>
    </w:p>
    <w:p w:rsidR="00A00CDF" w:rsidRPr="00956293" w:rsidRDefault="00930B12" w:rsidP="00A00CDF">
      <w:pPr>
        <w:pStyle w:val="Normal12Hanging"/>
        <w:ind w:left="0" w:firstLine="0"/>
      </w:pPr>
      <w:r>
        <w:t xml:space="preserve">Contribuția UE la acest nou protocol este estimată la 85 de milioane EUR pe parcursul celor 5 ani, constând în 17 milioane EUR pe an, din care 4,5 milioane EUR vor fi dedicate promovării capacităților durabile de gestionare, control și supraveghere a pescuitului din Guineea-Bissau și sprijinirii comunităților locale de pescari.  </w:t>
      </w:r>
    </w:p>
    <w:p w:rsidR="00A00CDF" w:rsidRPr="00956293" w:rsidRDefault="00930B12" w:rsidP="00A00CDF">
      <w:pPr>
        <w:pStyle w:val="Normal12Hanging"/>
        <w:ind w:left="0" w:firstLine="0"/>
      </w:pPr>
      <w:r>
        <w:t>Pe lângă contribuția UE, armatorii vor plăti taxe de licență și de captură administrației din Guineea-Bissau pentru a fi autorizați să pescuiască. Combinația dintre contribuția UE și taxele plătite de operatorii din UE aduce pachetul financiar total estimat la peste 100 de milioane EUR pe parcursul perioadei de 5 ani.</w:t>
      </w:r>
    </w:p>
    <w:p w:rsidR="00A00CDF" w:rsidRPr="00956293" w:rsidRDefault="00930B12" w:rsidP="00A00CDF">
      <w:pPr>
        <w:pStyle w:val="Normal12Hanging"/>
        <w:ind w:left="0" w:firstLine="0"/>
      </w:pPr>
      <w:r>
        <w:t xml:space="preserve">Raportorul speră că noul protocol va permite UE și Republicii Guineea-Bissau să colaboreze mai strâns pentru a promova exploatarea sustenabilă a resurselor piscicole din apele Guineei-Bissau și pentru a sprijini eforturile acestei țări de a dezvolta sectorul național al pescuitului și domeniile conexe. </w:t>
      </w:r>
    </w:p>
    <w:p w:rsidR="00A00CDF" w:rsidRPr="00956293" w:rsidRDefault="00930B12" w:rsidP="00A00CDF">
      <w:pPr>
        <w:pStyle w:val="Normal12Hanging"/>
        <w:ind w:left="0" w:firstLine="0"/>
      </w:pPr>
      <w:r>
        <w:t xml:space="preserve">Investițiile recente făcute de Banca Africană pentru Dezvoltare și alți investitori (de exemplu, China) în infrastructură și într-un port de pescuit pentru pescuitul artizanal (debarcare și prelucrare) în Alto Bandim reprezintă o oportunitate pentru această țară, dar sunt insuficiente în raport cu nevoile sale. Dezvoltarea infrastructurilor de debarcare, depozitare și prelucrare a peștelui, care să poată fi folosite de flota industrială care operează în apele Guineei-Bissau, ar fi deosebit de importantă nu numai pentru această activitate, ci și pentru dezvoltarea sectorului pescuitului din țară, permițând crearea de piețe, structuri de distribuție și comercializare și laboratoare de analiză a calității. </w:t>
      </w:r>
    </w:p>
    <w:p w:rsidR="00A00CDF" w:rsidRPr="00956293" w:rsidRDefault="00930B12" w:rsidP="00A00CDF">
      <w:pPr>
        <w:pStyle w:val="Normal12Hanging"/>
        <w:ind w:left="0" w:firstLine="0"/>
      </w:pPr>
      <w:r>
        <w:t xml:space="preserve">Raportorul este de părere că acordul ar trebui să ajute această țară să devină mai </w:t>
      </w:r>
      <w:r>
        <w:lastRenderedPageBreak/>
        <w:t xml:space="preserve">autosuficientă, să îi sprijine strategia de dezvoltare și să îi garanteze suveranitatea. </w:t>
      </w:r>
    </w:p>
    <w:p w:rsidR="00A00CDF" w:rsidRPr="00956293" w:rsidRDefault="00930B12" w:rsidP="00A00CDF">
      <w:pPr>
        <w:pStyle w:val="Normal12Hanging"/>
        <w:ind w:left="0" w:firstLine="0"/>
      </w:pPr>
      <w:r>
        <w:t>Astfel, raportorul recomandă Parlamentului să aprobe semnarea acestui acord de parteneriat în domeniul pescuitului sustenabil și a protocolului la acesta, având în vedere importanța sa pentru Republica Guineea-Bissau și pentru flotele UE care operează deja în apele acestei țări.</w:t>
      </w:r>
    </w:p>
    <w:p w:rsidR="00A00CDF" w:rsidRPr="00956293" w:rsidRDefault="00930B12" w:rsidP="00A00CDF">
      <w:pPr>
        <w:pStyle w:val="Normal12Hanging"/>
        <w:ind w:left="0" w:firstLine="0"/>
      </w:pPr>
      <w:r>
        <w:t>Având în vedere rolul și competențele Parlamentului în acest domeniu, raportorul consideră că este adecvat și necesar să se adopte o rezoluție fără caracter legislativ referitoare la acest acord, care să prezinte observațiile și recomandările de care Comisia Europeană ar trebui să țină seama în perioada în care este în vigoare actualul protocol (ceea ce, din păcate, nu s-a întâmplat întotdeauna în trecut).</w:t>
      </w:r>
    </w:p>
    <w:p w:rsidR="00A00CDF" w:rsidRPr="00956293" w:rsidRDefault="00930B12" w:rsidP="00A00CDF">
      <w:pPr>
        <w:pStyle w:val="Normal12Hanging"/>
        <w:ind w:left="0" w:firstLine="0"/>
      </w:pPr>
      <w:r>
        <w:t>În afară de cele menționate mai sus, raportorul dorește să sublinieze următoarele aspecte care necesită o atenție deosebită.</w:t>
      </w:r>
    </w:p>
    <w:p w:rsidR="00A00CDF" w:rsidRPr="00956293" w:rsidRDefault="00930B12" w:rsidP="00A00CDF">
      <w:pPr>
        <w:pStyle w:val="Normal12Hanging"/>
        <w:ind w:left="0" w:firstLine="0"/>
      </w:pPr>
      <w:r>
        <w:t>Acordul trebuie să promoveze o dezvoltare cu adevărat sustenabilă a sectorului pescuitului din Guineea-Bissau și a industriilor și activităților conexe, mărind valoarea adăugată care rămâne în țară în urma exploatării resurselor sale naturale.</w:t>
      </w:r>
    </w:p>
    <w:p w:rsidR="00A00CDF" w:rsidRPr="00956293" w:rsidRDefault="00930B12" w:rsidP="00A00CDF">
      <w:r>
        <w:t>În final, raportorul subliniază că Parlamentul European ar trebui informat pe deplin și imediat, în fiecare etapă, cu privire la procedurile legate de protocol, de reînnoirea și de punerea sa în aplicare, după cum se precizează în rezoluția fără caracter legislativ care însoțește prezenta recomandare.</w:t>
      </w:r>
    </w:p>
    <w:p w:rsidR="0087090F" w:rsidRPr="00956293" w:rsidRDefault="0087090F" w:rsidP="0087090F"/>
    <w:p w:rsidR="00553671" w:rsidRPr="00956293" w:rsidRDefault="00553671" w:rsidP="00822206"/>
    <w:p w:rsidR="00F71AEC" w:rsidRDefault="00F71AEC" w:rsidP="00A00CDF">
      <w:pPr>
        <w:sectPr w:rsidR="00F71AEC" w:rsidSect="00F71AE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F71AEC" w:rsidRDefault="00930B12" w:rsidP="007041CC">
      <w:pPr>
        <w:pStyle w:val="PageHeading"/>
        <w:rPr>
          <w:noProof/>
        </w:rPr>
      </w:pPr>
      <w:bookmarkStart w:id="2" w:name="FootprintPageRR"/>
      <w:bookmarkStart w:id="3" w:name="_Toc183690122"/>
      <w:r>
        <w:lastRenderedPageBreak/>
        <w:t>ANEXĂ: ENTITĂȚILE SAU PERSOANELE</w:t>
      </w:r>
      <w:r>
        <w:br/>
        <w:t>DE LA CARE RAPORTORUL A PRIMIT CONTRIBUȚII</w:t>
      </w:r>
      <w:bookmarkEnd w:id="3"/>
    </w:p>
    <w:p w:rsidR="00F71AEC" w:rsidRPr="0099178F" w:rsidRDefault="00930B12" w:rsidP="00B31C6A">
      <w:pPr>
        <w:pStyle w:val="Normal24a"/>
        <w:spacing w:after="240"/>
      </w:pPr>
      <w:r w:rsidRPr="00930B12">
        <w:rPr>
          <w:rStyle w:val="HideTWBExt"/>
        </w:rPr>
        <w:t>&lt;FootprintIntro&gt;</w:t>
      </w:r>
      <w:r>
        <w:t>Potrivit articolului 8 din anexa I la Regulamentul de procedură, raportorul declară că a primit contribuții de la următoarele entități sau persoane pentru întocmirea proiectului de raport:</w:t>
      </w:r>
      <w:r w:rsidRPr="00930B12">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6379C" w:rsidTr="00A81CDF">
        <w:tc>
          <w:tcPr>
            <w:tcW w:w="9060" w:type="dxa"/>
            <w:shd w:val="clear" w:color="auto" w:fill="auto"/>
          </w:tcPr>
          <w:p w:rsidR="00F71AEC" w:rsidRDefault="00930B12" w:rsidP="00F71AEC">
            <w:pPr>
              <w:pStyle w:val="NormalBoldCenter"/>
            </w:pPr>
            <w:r>
              <w:t>Entitatea și/sau persoana</w:t>
            </w:r>
          </w:p>
        </w:tc>
      </w:tr>
      <w:tr w:rsidR="0056379C" w:rsidTr="00A81CDF">
        <w:tc>
          <w:tcPr>
            <w:tcW w:w="9060" w:type="dxa"/>
            <w:shd w:val="clear" w:color="auto" w:fill="auto"/>
          </w:tcPr>
          <w:p w:rsidR="00F71AEC" w:rsidRPr="004F1C4A" w:rsidRDefault="00930B12" w:rsidP="00F71AEC">
            <w:pPr>
              <w:pStyle w:val="NormalSingle"/>
            </w:pPr>
            <w:r>
              <w:t>Europêche</w:t>
            </w:r>
          </w:p>
        </w:tc>
      </w:tr>
      <w:tr w:rsidR="0056379C" w:rsidTr="00A81CDF">
        <w:tc>
          <w:tcPr>
            <w:tcW w:w="9060" w:type="dxa"/>
            <w:shd w:val="clear" w:color="auto" w:fill="auto"/>
          </w:tcPr>
          <w:p w:rsidR="00F71AEC" w:rsidRPr="004F1C4A" w:rsidRDefault="00930B12" w:rsidP="00F71AEC">
            <w:pPr>
              <w:pStyle w:val="NormalSingle"/>
            </w:pPr>
            <w:r>
              <w:t>European Transport Workers' Federation (ETF)</w:t>
            </w:r>
          </w:p>
        </w:tc>
      </w:tr>
      <w:tr w:rsidR="0056379C" w:rsidTr="00A81CDF">
        <w:tc>
          <w:tcPr>
            <w:tcW w:w="9060" w:type="dxa"/>
            <w:shd w:val="clear" w:color="auto" w:fill="auto"/>
          </w:tcPr>
          <w:p w:rsidR="00F71AEC" w:rsidRPr="004F1C4A" w:rsidRDefault="00930B12" w:rsidP="00F71AEC">
            <w:pPr>
              <w:pStyle w:val="NormalSingle"/>
            </w:pPr>
            <w:r>
              <w:t>Coalition pour des Accords de Pêche Equitables CAPE/CFFA</w:t>
            </w:r>
          </w:p>
        </w:tc>
      </w:tr>
      <w:tr w:rsidR="0056379C" w:rsidTr="00A81CDF">
        <w:trPr>
          <w:hidden/>
        </w:trPr>
        <w:tc>
          <w:tcPr>
            <w:tcW w:w="9060" w:type="dxa"/>
            <w:shd w:val="clear" w:color="auto" w:fill="auto"/>
          </w:tcPr>
          <w:p w:rsidR="00F71AEC" w:rsidRPr="00930B12" w:rsidRDefault="00F71AEC" w:rsidP="00F71AEC">
            <w:pPr>
              <w:pStyle w:val="NormalSingle"/>
              <w:rPr>
                <w:rStyle w:val="HideTWBExt"/>
              </w:rPr>
            </w:pPr>
          </w:p>
        </w:tc>
      </w:tr>
    </w:tbl>
    <w:p w:rsidR="00F71AEC" w:rsidRPr="00D86524" w:rsidRDefault="00930B12" w:rsidP="00086351">
      <w:pPr>
        <w:pStyle w:val="Footprint12b"/>
      </w:pPr>
      <w:r>
        <w:t>Lista de mai sus este elaborată sub responsabilitatea exclusivă a raportorului.</w:t>
      </w:r>
    </w:p>
    <w:p w:rsidR="00F71AEC" w:rsidRDefault="00930B12" w:rsidP="00B7198C">
      <w:pPr>
        <w:pStyle w:val="Footprint12b"/>
      </w:pPr>
      <w:r>
        <w:t>În cazul în care în listă sunt identificate persoane fizice prin numele sau funcția lor ori prin ambele elemente, raportorul declară că a transmis persoanelor fizice în cauză Avizul Parlamentului European nr. 484 privind protecția datelor (</w:t>
      </w:r>
      <w:hyperlink r:id="rId15" w:history="1">
        <w:r>
          <w:rPr>
            <w:rStyle w:val="Hyperlink"/>
          </w:rPr>
          <w:t>https://www.europarl.europa.eu/data-protect/index.do</w:t>
        </w:r>
      </w:hyperlink>
      <w:r>
        <w:t>), în care sunt stabilite condițiile în care sunt prelucrate datele lor cu caracter personal, precum și drepturile legate de prelucrarea respectivă.</w:t>
      </w:r>
    </w:p>
    <w:p w:rsidR="00F71AEC" w:rsidRPr="003C6703" w:rsidRDefault="00F71AEC" w:rsidP="00646AD2">
      <w:pPr>
        <w:pStyle w:val="Footprint12b"/>
      </w:pPr>
    </w:p>
    <w:p w:rsidR="00F71AEC" w:rsidRPr="00F71AEC" w:rsidRDefault="00F71AEC" w:rsidP="00F71AEC"/>
    <w:p w:rsidR="00356066" w:rsidRPr="00F71AEC" w:rsidRDefault="00356066" w:rsidP="00F71AEC">
      <w:bookmarkStart w:id="4" w:name="_GoBack"/>
      <w:bookmarkEnd w:id="2"/>
      <w:bookmarkEnd w:id="4"/>
    </w:p>
    <w:sectPr w:rsidR="00356066" w:rsidRPr="00F71AEC" w:rsidSect="00F71AE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39F1" w:rsidRDefault="00930B12">
      <w:r>
        <w:separator/>
      </w:r>
    </w:p>
  </w:endnote>
  <w:endnote w:type="continuationSeparator" w:id="0">
    <w:p w:rsidR="008E39F1" w:rsidRDefault="00930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C73" w:rsidRPr="00956293" w:rsidRDefault="00930B12" w:rsidP="009A6C73">
    <w:pPr>
      <w:pStyle w:val="EPFooter"/>
    </w:pPr>
    <w:r w:rsidRPr="00956293">
      <w:t>PE</w:t>
    </w:r>
    <w:r w:rsidRPr="00930B12">
      <w:rPr>
        <w:rStyle w:val="HideTWBExt"/>
      </w:rPr>
      <w:t>&lt;NoPE&gt;</w:t>
    </w:r>
    <w:r w:rsidRPr="00956293">
      <w:t>765.182</w:t>
    </w:r>
    <w:r w:rsidRPr="00930B12">
      <w:rPr>
        <w:rStyle w:val="HideTWBExt"/>
      </w:rPr>
      <w:t>&lt;/NoPE&gt;&lt;Version&gt;</w:t>
    </w:r>
    <w:r w:rsidRPr="00956293">
      <w:t>v01-00</w:t>
    </w:r>
    <w:r w:rsidRPr="00930B12">
      <w:rPr>
        <w:rStyle w:val="HideTWBExt"/>
      </w:rPr>
      <w:t>&lt;/Version&gt;</w:t>
    </w:r>
    <w:r w:rsidRPr="00956293">
      <w:tab/>
    </w:r>
    <w:r w:rsidRPr="00956293">
      <w:fldChar w:fldCharType="begin"/>
    </w:r>
    <w:r w:rsidRPr="00956293">
      <w:instrText xml:space="preserve"> PAGE  \* MERGEFORMAT </w:instrText>
    </w:r>
    <w:r w:rsidRPr="00956293">
      <w:fldChar w:fldCharType="separate"/>
    </w:r>
    <w:r w:rsidR="006D1EA3">
      <w:rPr>
        <w:noProof/>
      </w:rPr>
      <w:t>8</w:t>
    </w:r>
    <w:r w:rsidRPr="00956293">
      <w:fldChar w:fldCharType="end"/>
    </w:r>
    <w:r w:rsidRPr="00956293">
      <w:t>/</w:t>
    </w:r>
    <w:r w:rsidR="00F71AEC">
      <w:fldChar w:fldCharType="begin"/>
    </w:r>
    <w:r>
      <w:instrText xml:space="preserve"> NUMPAGES  \* MERGEFORMAT </w:instrText>
    </w:r>
    <w:r w:rsidR="00F71AEC">
      <w:fldChar w:fldCharType="separate"/>
    </w:r>
    <w:r w:rsidR="006D1EA3">
      <w:rPr>
        <w:noProof/>
      </w:rPr>
      <w:t>9</w:t>
    </w:r>
    <w:r w:rsidR="00F71AEC">
      <w:rPr>
        <w:noProof/>
      </w:rPr>
      <w:fldChar w:fldCharType="end"/>
    </w:r>
    <w:r w:rsidRPr="00956293">
      <w:tab/>
    </w:r>
    <w:r w:rsidRPr="00930B12">
      <w:rPr>
        <w:rStyle w:val="HideTWBExt"/>
      </w:rPr>
      <w:t>&lt;PathFdR&gt;</w:t>
    </w:r>
    <w:r w:rsidRPr="00956293">
      <w:t>PR\1308977RO.docx</w:t>
    </w:r>
    <w:r w:rsidRPr="00930B12">
      <w:rPr>
        <w:rStyle w:val="HideTWBExt"/>
      </w:rPr>
      <w:t>&lt;/PathFdR&gt;</w:t>
    </w:r>
  </w:p>
  <w:p w:rsidR="0085501C" w:rsidRPr="00956293" w:rsidRDefault="00930B12" w:rsidP="009A6C73">
    <w:pPr>
      <w:pStyle w:val="EPFooter2"/>
    </w:pPr>
    <w:r w:rsidRPr="00956293">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C73" w:rsidRPr="00956293" w:rsidRDefault="00930B12" w:rsidP="009A6C73">
    <w:pPr>
      <w:pStyle w:val="EPFooter"/>
    </w:pPr>
    <w:r w:rsidRPr="00930B12">
      <w:rPr>
        <w:rStyle w:val="HideTWBExt"/>
      </w:rPr>
      <w:t>&lt;PathFdR&gt;</w:t>
    </w:r>
    <w:r w:rsidRPr="00956293">
      <w:t>PR\1308977RO.docx</w:t>
    </w:r>
    <w:r w:rsidRPr="00930B12">
      <w:rPr>
        <w:rStyle w:val="HideTWBExt"/>
      </w:rPr>
      <w:t>&lt;/PathFdR&gt;</w:t>
    </w:r>
    <w:r w:rsidRPr="00956293">
      <w:tab/>
    </w:r>
    <w:r w:rsidRPr="00956293">
      <w:fldChar w:fldCharType="begin"/>
    </w:r>
    <w:r w:rsidRPr="00956293">
      <w:instrText xml:space="preserve"> PAGE  \* MERGEFORMAT </w:instrText>
    </w:r>
    <w:r w:rsidRPr="00956293">
      <w:fldChar w:fldCharType="separate"/>
    </w:r>
    <w:r w:rsidR="006D1EA3">
      <w:rPr>
        <w:noProof/>
      </w:rPr>
      <w:t>9</w:t>
    </w:r>
    <w:r w:rsidRPr="00956293">
      <w:fldChar w:fldCharType="end"/>
    </w:r>
    <w:r w:rsidRPr="00956293">
      <w:t>/</w:t>
    </w:r>
    <w:r w:rsidR="00F71AEC">
      <w:fldChar w:fldCharType="begin"/>
    </w:r>
    <w:r>
      <w:instrText xml:space="preserve"> NUMPAGES  \* MERGEFORMAT </w:instrText>
    </w:r>
    <w:r w:rsidR="00F71AEC">
      <w:fldChar w:fldCharType="separate"/>
    </w:r>
    <w:r w:rsidR="006D1EA3">
      <w:rPr>
        <w:noProof/>
      </w:rPr>
      <w:t>9</w:t>
    </w:r>
    <w:r w:rsidR="00F71AEC">
      <w:rPr>
        <w:noProof/>
      </w:rPr>
      <w:fldChar w:fldCharType="end"/>
    </w:r>
    <w:r w:rsidRPr="00956293">
      <w:tab/>
      <w:t>PE</w:t>
    </w:r>
    <w:r w:rsidRPr="00930B12">
      <w:rPr>
        <w:rStyle w:val="HideTWBExt"/>
      </w:rPr>
      <w:t>&lt;NoPE&gt;</w:t>
    </w:r>
    <w:r w:rsidRPr="00956293">
      <w:t>765.182</w:t>
    </w:r>
    <w:r w:rsidRPr="00930B12">
      <w:rPr>
        <w:rStyle w:val="HideTWBExt"/>
      </w:rPr>
      <w:t>&lt;/NoPE&gt;&lt;Version&gt;</w:t>
    </w:r>
    <w:r w:rsidRPr="00956293">
      <w:t>v01-00</w:t>
    </w:r>
    <w:r w:rsidRPr="00930B12">
      <w:rPr>
        <w:rStyle w:val="HideTWBExt"/>
      </w:rPr>
      <w:t>&lt;/Version&gt;</w:t>
    </w:r>
  </w:p>
  <w:p w:rsidR="0085501C" w:rsidRPr="00956293" w:rsidRDefault="00930B12" w:rsidP="009A6C73">
    <w:pPr>
      <w:pStyle w:val="EPFooter2"/>
    </w:pPr>
    <w:r w:rsidRPr="00956293">
      <w:tab/>
    </w:r>
    <w:r w:rsidRPr="00956293">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C73" w:rsidRPr="00956293" w:rsidRDefault="00930B12" w:rsidP="009A6C73">
    <w:pPr>
      <w:pStyle w:val="EPFooter"/>
    </w:pPr>
    <w:r w:rsidRPr="00930B12">
      <w:rPr>
        <w:rStyle w:val="HideTWBExt"/>
      </w:rPr>
      <w:t>&lt;PathFdR&gt;</w:t>
    </w:r>
    <w:r w:rsidRPr="00956293">
      <w:t>PR\1308977RO.docx</w:t>
    </w:r>
    <w:r w:rsidRPr="00930B12">
      <w:rPr>
        <w:rStyle w:val="HideTWBExt"/>
      </w:rPr>
      <w:t>&lt;/PathFdR&gt;</w:t>
    </w:r>
    <w:r w:rsidRPr="00956293">
      <w:tab/>
    </w:r>
    <w:r w:rsidRPr="00956293">
      <w:tab/>
      <w:t>PE</w:t>
    </w:r>
    <w:r w:rsidRPr="00930B12">
      <w:rPr>
        <w:rStyle w:val="HideTWBExt"/>
      </w:rPr>
      <w:t>&lt;NoPE&gt;</w:t>
    </w:r>
    <w:r w:rsidRPr="00956293">
      <w:t>765.182</w:t>
    </w:r>
    <w:r w:rsidRPr="00930B12">
      <w:rPr>
        <w:rStyle w:val="HideTWBExt"/>
      </w:rPr>
      <w:t>&lt;/NoPE&gt;&lt;Version&gt;</w:t>
    </w:r>
    <w:r w:rsidRPr="00956293">
      <w:t>v01-00</w:t>
    </w:r>
    <w:r w:rsidRPr="00930B12">
      <w:rPr>
        <w:rStyle w:val="HideTWBExt"/>
      </w:rPr>
      <w:t>&lt;/Version&gt;</w:t>
    </w:r>
  </w:p>
  <w:p w:rsidR="0085501C" w:rsidRPr="00956293" w:rsidRDefault="00930B12" w:rsidP="009A6C73">
    <w:pPr>
      <w:pStyle w:val="EPFooter2"/>
    </w:pPr>
    <w:r w:rsidRPr="00956293">
      <w:t>RO</w:t>
    </w:r>
    <w:r w:rsidRPr="00956293">
      <w:tab/>
    </w:r>
    <w:r w:rsidRPr="00956293">
      <w:rPr>
        <w:b w:val="0"/>
        <w:i/>
        <w:color w:val="C0C0C0"/>
        <w:sz w:val="22"/>
      </w:rPr>
      <w:t>Unită în diversitate</w:t>
    </w:r>
    <w:r w:rsidRPr="00956293">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653" w:rsidRPr="00956293" w:rsidRDefault="00930B12">
      <w:r w:rsidRPr="00956293">
        <w:separator/>
      </w:r>
    </w:p>
  </w:footnote>
  <w:footnote w:type="continuationSeparator" w:id="0">
    <w:p w:rsidR="00963653" w:rsidRPr="00956293" w:rsidRDefault="00930B12">
      <w:r w:rsidRPr="00956293">
        <w:continuationSeparator/>
      </w:r>
    </w:p>
  </w:footnote>
  <w:footnote w:id="1">
    <w:p w:rsidR="00434610" w:rsidRPr="00956293" w:rsidRDefault="00930B12" w:rsidP="00434610">
      <w:pPr>
        <w:pStyle w:val="FootnoteText"/>
      </w:pPr>
      <w:r>
        <w:rPr>
          <w:rStyle w:val="FootnoteReference"/>
        </w:rPr>
        <w:footnoteRef/>
      </w:r>
      <w:r>
        <w:tab/>
        <w:t>Texte adoptate, P10_TA(0000)0000.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AEC" w:rsidRDefault="00F71A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AEC" w:rsidRDefault="00F71A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AEC" w:rsidRDefault="00F71A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F857E6"/>
    <w:multiLevelType w:val="hybridMultilevel"/>
    <w:tmpl w:val="D5908C3A"/>
    <w:lvl w:ilvl="0" w:tplc="62527BEC">
      <w:numFmt w:val="bullet"/>
      <w:lvlText w:val="–"/>
      <w:lvlJc w:val="left"/>
      <w:pPr>
        <w:ind w:left="720" w:hanging="360"/>
      </w:pPr>
      <w:rPr>
        <w:rFonts w:ascii="Times New Roman" w:eastAsia="Times New Roman" w:hAnsi="Times New Roman" w:cs="Times New Roman" w:hint="default"/>
      </w:rPr>
    </w:lvl>
    <w:lvl w:ilvl="1" w:tplc="73C0171A" w:tentative="1">
      <w:start w:val="1"/>
      <w:numFmt w:val="bullet"/>
      <w:lvlText w:val="o"/>
      <w:lvlJc w:val="left"/>
      <w:pPr>
        <w:ind w:left="1440" w:hanging="360"/>
      </w:pPr>
      <w:rPr>
        <w:rFonts w:ascii="Courier New" w:hAnsi="Courier New" w:cs="Courier New" w:hint="default"/>
      </w:rPr>
    </w:lvl>
    <w:lvl w:ilvl="2" w:tplc="B0EA9A2C" w:tentative="1">
      <w:start w:val="1"/>
      <w:numFmt w:val="bullet"/>
      <w:lvlText w:val=""/>
      <w:lvlJc w:val="left"/>
      <w:pPr>
        <w:ind w:left="2160" w:hanging="360"/>
      </w:pPr>
      <w:rPr>
        <w:rFonts w:ascii="Wingdings" w:hAnsi="Wingdings" w:hint="default"/>
      </w:rPr>
    </w:lvl>
    <w:lvl w:ilvl="3" w:tplc="F7924E58" w:tentative="1">
      <w:start w:val="1"/>
      <w:numFmt w:val="bullet"/>
      <w:lvlText w:val=""/>
      <w:lvlJc w:val="left"/>
      <w:pPr>
        <w:ind w:left="2880" w:hanging="360"/>
      </w:pPr>
      <w:rPr>
        <w:rFonts w:ascii="Symbol" w:hAnsi="Symbol" w:hint="default"/>
      </w:rPr>
    </w:lvl>
    <w:lvl w:ilvl="4" w:tplc="F9720C04" w:tentative="1">
      <w:start w:val="1"/>
      <w:numFmt w:val="bullet"/>
      <w:lvlText w:val="o"/>
      <w:lvlJc w:val="left"/>
      <w:pPr>
        <w:ind w:left="3600" w:hanging="360"/>
      </w:pPr>
      <w:rPr>
        <w:rFonts w:ascii="Courier New" w:hAnsi="Courier New" w:cs="Courier New" w:hint="default"/>
      </w:rPr>
    </w:lvl>
    <w:lvl w:ilvl="5" w:tplc="77E6358C" w:tentative="1">
      <w:start w:val="1"/>
      <w:numFmt w:val="bullet"/>
      <w:lvlText w:val=""/>
      <w:lvlJc w:val="left"/>
      <w:pPr>
        <w:ind w:left="4320" w:hanging="360"/>
      </w:pPr>
      <w:rPr>
        <w:rFonts w:ascii="Wingdings" w:hAnsi="Wingdings" w:hint="default"/>
      </w:rPr>
    </w:lvl>
    <w:lvl w:ilvl="6" w:tplc="95020028" w:tentative="1">
      <w:start w:val="1"/>
      <w:numFmt w:val="bullet"/>
      <w:lvlText w:val=""/>
      <w:lvlJc w:val="left"/>
      <w:pPr>
        <w:ind w:left="5040" w:hanging="360"/>
      </w:pPr>
      <w:rPr>
        <w:rFonts w:ascii="Symbol" w:hAnsi="Symbol" w:hint="default"/>
      </w:rPr>
    </w:lvl>
    <w:lvl w:ilvl="7" w:tplc="58C25C64" w:tentative="1">
      <w:start w:val="1"/>
      <w:numFmt w:val="bullet"/>
      <w:lvlText w:val="o"/>
      <w:lvlJc w:val="left"/>
      <w:pPr>
        <w:ind w:left="5760" w:hanging="360"/>
      </w:pPr>
      <w:rPr>
        <w:rFonts w:ascii="Courier New" w:hAnsi="Courier New" w:cs="Courier New" w:hint="default"/>
      </w:rPr>
    </w:lvl>
    <w:lvl w:ilvl="8" w:tplc="C39E26C2"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AUTHORMFPMNU" w:val=" 1"/>
    <w:docVar w:name="CIT1MNU" w:val=" 4"/>
    <w:docVar w:name="CIT2MNU" w:val=" 4"/>
    <w:docVar w:name="CIT3MNU" w:val=" 4"/>
    <w:docVar w:name="COMKEY" w:val="PECH"/>
    <w:docVar w:name="CONSENTMNU" w:val=" 1"/>
    <w:docVar w:name="CONTRIBUTIONMNU" w:val=" 1"/>
    <w:docVar w:name="CopyToNetwork" w:val="-1"/>
    <w:docVar w:name="DOCDT" w:val="22/10/2024"/>
    <w:docVar w:name="LastEditedSection" w:val=" 1"/>
    <w:docVar w:name="NVAR1" w:val="0"/>
    <w:docVar w:name="strDocTypeID" w:val="PR_NLE-AP_Agreement"/>
    <w:docVar w:name="strSubDir" w:val="1308"/>
    <w:docVar w:name="TITLEMNU" w:val=" 2"/>
    <w:docVar w:name="TXTAUTHOR" w:val="Eric Sargiacomo"/>
    <w:docVar w:name="TXTLANGUE" w:val="RO"/>
    <w:docVar w:name="TXTLANGUEMIN" w:val="ro"/>
    <w:docVar w:name="TXTNRC" w:val="0108/2024"/>
    <w:docVar w:name="TXTNRCOUNC" w:val="12475/2024"/>
    <w:docVar w:name="TXTNRNLE" w:val="2024/0159"/>
    <w:docVar w:name="TXTNRPE" w:val="765.182"/>
    <w:docVar w:name="TXTPEorAP" w:val="PE"/>
    <w:docVar w:name="TXTROUTE" w:val="PR\1308977RO.docx"/>
    <w:docVar w:name="TXTTITLE" w:val="on the conclusion, on behalf of the European Union, of the Protocol on the implementation of the Fisheries Partnership Agreement between the European Community and the Republic of Guinea-Bissau (2024–2029) "/>
    <w:docVar w:name="TXTVERSION" w:val="01-00"/>
  </w:docVars>
  <w:rsids>
    <w:rsidRoot w:val="00963653"/>
    <w:rsid w:val="00001D52"/>
    <w:rsid w:val="0000443F"/>
    <w:rsid w:val="000053E3"/>
    <w:rsid w:val="00016E55"/>
    <w:rsid w:val="0006167F"/>
    <w:rsid w:val="00061EFE"/>
    <w:rsid w:val="00086351"/>
    <w:rsid w:val="00095D8B"/>
    <w:rsid w:val="000A2F73"/>
    <w:rsid w:val="000B6D45"/>
    <w:rsid w:val="000C123D"/>
    <w:rsid w:val="000D78AF"/>
    <w:rsid w:val="00145DE1"/>
    <w:rsid w:val="001747E4"/>
    <w:rsid w:val="00180664"/>
    <w:rsid w:val="001874D8"/>
    <w:rsid w:val="001D02E3"/>
    <w:rsid w:val="001D7F84"/>
    <w:rsid w:val="001F7574"/>
    <w:rsid w:val="001F7BBE"/>
    <w:rsid w:val="0021049A"/>
    <w:rsid w:val="0022685A"/>
    <w:rsid w:val="0024325F"/>
    <w:rsid w:val="002E2E20"/>
    <w:rsid w:val="002E503E"/>
    <w:rsid w:val="002F5A83"/>
    <w:rsid w:val="003045D2"/>
    <w:rsid w:val="003072BE"/>
    <w:rsid w:val="00337C92"/>
    <w:rsid w:val="00356066"/>
    <w:rsid w:val="00363B94"/>
    <w:rsid w:val="00367A49"/>
    <w:rsid w:val="0039691B"/>
    <w:rsid w:val="003B598C"/>
    <w:rsid w:val="003C6703"/>
    <w:rsid w:val="004174FC"/>
    <w:rsid w:val="00434610"/>
    <w:rsid w:val="00460BD6"/>
    <w:rsid w:val="00463710"/>
    <w:rsid w:val="004859B3"/>
    <w:rsid w:val="004C083C"/>
    <w:rsid w:val="004E1650"/>
    <w:rsid w:val="004F1C4A"/>
    <w:rsid w:val="004F307C"/>
    <w:rsid w:val="005027B1"/>
    <w:rsid w:val="0053367A"/>
    <w:rsid w:val="00541BFC"/>
    <w:rsid w:val="00544D48"/>
    <w:rsid w:val="005511CA"/>
    <w:rsid w:val="00553671"/>
    <w:rsid w:val="0056379C"/>
    <w:rsid w:val="005877C0"/>
    <w:rsid w:val="005922F0"/>
    <w:rsid w:val="005A6B14"/>
    <w:rsid w:val="005D0B97"/>
    <w:rsid w:val="005F5D6C"/>
    <w:rsid w:val="006132CE"/>
    <w:rsid w:val="00613F2E"/>
    <w:rsid w:val="00646AD2"/>
    <w:rsid w:val="006A1A75"/>
    <w:rsid w:val="006A2CF5"/>
    <w:rsid w:val="006D05A4"/>
    <w:rsid w:val="006D1EA3"/>
    <w:rsid w:val="006F1B6F"/>
    <w:rsid w:val="007041CC"/>
    <w:rsid w:val="007052F1"/>
    <w:rsid w:val="00791637"/>
    <w:rsid w:val="0079637B"/>
    <w:rsid w:val="0080122F"/>
    <w:rsid w:val="00822206"/>
    <w:rsid w:val="008368CB"/>
    <w:rsid w:val="0085501C"/>
    <w:rsid w:val="0087090F"/>
    <w:rsid w:val="00893FBD"/>
    <w:rsid w:val="008B75A4"/>
    <w:rsid w:val="008D23C6"/>
    <w:rsid w:val="008D3030"/>
    <w:rsid w:val="008E3848"/>
    <w:rsid w:val="008E39F1"/>
    <w:rsid w:val="00924EE0"/>
    <w:rsid w:val="00930B12"/>
    <w:rsid w:val="00956293"/>
    <w:rsid w:val="009612AA"/>
    <w:rsid w:val="00963653"/>
    <w:rsid w:val="0099178F"/>
    <w:rsid w:val="009A13D4"/>
    <w:rsid w:val="009A6C73"/>
    <w:rsid w:val="009E39A7"/>
    <w:rsid w:val="00A00CDF"/>
    <w:rsid w:val="00A1209E"/>
    <w:rsid w:val="00A415B7"/>
    <w:rsid w:val="00A44C75"/>
    <w:rsid w:val="00AD5D0C"/>
    <w:rsid w:val="00B31C6A"/>
    <w:rsid w:val="00B31D18"/>
    <w:rsid w:val="00B42885"/>
    <w:rsid w:val="00B50C20"/>
    <w:rsid w:val="00B6722A"/>
    <w:rsid w:val="00B6769C"/>
    <w:rsid w:val="00B7198C"/>
    <w:rsid w:val="00BA6DE6"/>
    <w:rsid w:val="00BB22CC"/>
    <w:rsid w:val="00BB41C8"/>
    <w:rsid w:val="00BE02EB"/>
    <w:rsid w:val="00BE5E72"/>
    <w:rsid w:val="00BF0A0F"/>
    <w:rsid w:val="00BF2E15"/>
    <w:rsid w:val="00BF7F55"/>
    <w:rsid w:val="00C05DD8"/>
    <w:rsid w:val="00C15447"/>
    <w:rsid w:val="00C35D01"/>
    <w:rsid w:val="00C85D0F"/>
    <w:rsid w:val="00C85D1E"/>
    <w:rsid w:val="00C87ABD"/>
    <w:rsid w:val="00CB5651"/>
    <w:rsid w:val="00CC20CB"/>
    <w:rsid w:val="00CF44DF"/>
    <w:rsid w:val="00D04E0B"/>
    <w:rsid w:val="00D47F5D"/>
    <w:rsid w:val="00D62198"/>
    <w:rsid w:val="00D62DA0"/>
    <w:rsid w:val="00D6543C"/>
    <w:rsid w:val="00D84F96"/>
    <w:rsid w:val="00D86524"/>
    <w:rsid w:val="00DF594D"/>
    <w:rsid w:val="00E14FEE"/>
    <w:rsid w:val="00E71368"/>
    <w:rsid w:val="00E93816"/>
    <w:rsid w:val="00EA59ED"/>
    <w:rsid w:val="00EF48F2"/>
    <w:rsid w:val="00F04010"/>
    <w:rsid w:val="00F71AEC"/>
    <w:rsid w:val="00FC699E"/>
    <w:rsid w:val="00FE761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8398D5"/>
  <w15:chartTrackingRefBased/>
  <w15:docId w15:val="{58C3A91F-472E-48B8-B5F7-FF1DCCDF0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53671"/>
    <w:pPr>
      <w:tabs>
        <w:tab w:val="right" w:pos="454"/>
        <w:tab w:val="left" w:pos="737"/>
      </w:tabs>
      <w:ind w:left="737" w:hanging="737"/>
    </w:pPr>
    <w:rPr>
      <w:snapToGrid w:val="0"/>
      <w:sz w:val="18"/>
      <w:lang w:eastAsia="en-US"/>
    </w:rPr>
  </w:style>
  <w:style w:type="paragraph" w:customStyle="1" w:styleId="Lgendetitre">
    <w:name w:val="Légende titre"/>
    <w:basedOn w:val="Normal"/>
    <w:rsid w:val="00553671"/>
    <w:pPr>
      <w:spacing w:before="240" w:after="240"/>
    </w:pPr>
    <w:rPr>
      <w:b/>
      <w:i/>
      <w:snapToGrid w:val="0"/>
      <w:lang w:eastAsia="en-US"/>
    </w:rPr>
  </w:style>
  <w:style w:type="paragraph" w:customStyle="1" w:styleId="Lgendestandard">
    <w:name w:val="Légende standard"/>
    <w:basedOn w:val="Normal"/>
    <w:rsid w:val="00553671"/>
    <w:rPr>
      <w:sz w:val="18"/>
    </w:rPr>
  </w:style>
  <w:style w:type="paragraph" w:styleId="Footer">
    <w:name w:val="footer"/>
    <w:basedOn w:val="Normal"/>
    <w:link w:val="FooterChar"/>
    <w:semiHidden/>
    <w:rsid w:val="00553671"/>
    <w:pPr>
      <w:tabs>
        <w:tab w:val="center" w:pos="4513"/>
        <w:tab w:val="right" w:pos="9026"/>
      </w:tabs>
    </w:pPr>
  </w:style>
  <w:style w:type="character" w:customStyle="1" w:styleId="FooterChar">
    <w:name w:val="Footer Char"/>
    <w:basedOn w:val="DefaultParagraphFont"/>
    <w:link w:val="Footer"/>
    <w:semiHidden/>
    <w:rsid w:val="00553671"/>
    <w:rPr>
      <w:sz w:val="24"/>
    </w:rPr>
  </w:style>
  <w:style w:type="paragraph" w:styleId="FootnoteText">
    <w:name w:val="footnote text"/>
    <w:basedOn w:val="Normal"/>
    <w:link w:val="FootnoteTextChar"/>
    <w:unhideWhenUsed/>
    <w:rsid w:val="00434610"/>
    <w:rPr>
      <w:sz w:val="20"/>
    </w:rPr>
  </w:style>
  <w:style w:type="character" w:customStyle="1" w:styleId="FootnoteTextChar">
    <w:name w:val="Footnote Text Char"/>
    <w:basedOn w:val="DefaultParagraphFont"/>
    <w:link w:val="FootnoteText"/>
    <w:rsid w:val="00434610"/>
  </w:style>
  <w:style w:type="character" w:styleId="FootnoteReference">
    <w:name w:val="footnote reference"/>
    <w:basedOn w:val="DefaultParagraphFont"/>
    <w:unhideWhenUsed/>
    <w:rsid w:val="00434610"/>
    <w:rPr>
      <w:vertAlign w:val="superscript"/>
    </w:rPr>
  </w:style>
  <w:style w:type="paragraph" w:customStyle="1" w:styleId="Normal12Hanging">
    <w:name w:val="Normal12Hanging"/>
    <w:basedOn w:val="Normal"/>
    <w:rsid w:val="0087090F"/>
    <w:pPr>
      <w:spacing w:after="240"/>
      <w:ind w:left="567" w:hanging="567"/>
    </w:pPr>
  </w:style>
  <w:style w:type="character" w:styleId="Hyperlink">
    <w:name w:val="Hyperlink"/>
    <w:basedOn w:val="DefaultParagraphFont"/>
    <w:unhideWhenUsed/>
    <w:rsid w:val="00356066"/>
    <w:rPr>
      <w:color w:val="0563C1" w:themeColor="hyperlink"/>
      <w:u w:val="single"/>
    </w:rPr>
  </w:style>
  <w:style w:type="paragraph" w:customStyle="1" w:styleId="Normal24a">
    <w:name w:val="Normal24a"/>
    <w:basedOn w:val="Normal"/>
    <w:rsid w:val="00A00CDF"/>
    <w:pPr>
      <w:spacing w:after="480"/>
    </w:pPr>
  </w:style>
  <w:style w:type="paragraph" w:customStyle="1" w:styleId="NormalBoldCenter">
    <w:name w:val="NormalBoldCenter"/>
    <w:basedOn w:val="Normal"/>
    <w:rsid w:val="00A00CDF"/>
    <w:pPr>
      <w:jc w:val="center"/>
    </w:pPr>
    <w:rPr>
      <w:b/>
    </w:rPr>
  </w:style>
  <w:style w:type="paragraph" w:customStyle="1" w:styleId="Footprint12b">
    <w:name w:val="Footprint12b"/>
    <w:basedOn w:val="Normal"/>
    <w:rsid w:val="00A00CDF"/>
    <w:pPr>
      <w:spacing w:before="240"/>
    </w:pPr>
    <w:rPr>
      <w:szCs w:val="24"/>
    </w:rPr>
  </w:style>
  <w:style w:type="paragraph" w:customStyle="1" w:styleId="NormalSingle">
    <w:name w:val="NormalSingle"/>
    <w:basedOn w:val="Normal"/>
    <w:qFormat/>
    <w:rsid w:val="00A00CDF"/>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B6D6C-8296-4D40-A40F-4AD678C51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1645</Words>
  <Characters>10102</Characters>
  <Application>Microsoft Office Word</Application>
  <DocSecurity>0</DocSecurity>
  <Lines>206</Lines>
  <Paragraphs>87</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NENICKOVA Sylvia</dc:creator>
  <cp:lastModifiedBy>MACKEVIČ Vladislav</cp:lastModifiedBy>
  <cp:revision>2</cp:revision>
  <cp:lastPrinted>2002-12-11T09:25:00Z</cp:lastPrinted>
  <dcterms:created xsi:type="dcterms:W3CDTF">2024-11-28T11:41:00Z</dcterms:created>
  <dcterms:modified xsi:type="dcterms:W3CDTF">2024-11-28T11:41:00Z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1308977</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17:05:00)</vt:lpwstr>
  </property>
  <property fmtid="{D5CDD505-2E9C-101B-9397-08002B2CF9AE}" pid="6" name="&lt;ModelTra&gt;">
    <vt:lpwstr>\\eiciBRUpr1\pdocep$\DocEP\TRANSFIL\EN\PR_NLE-AP_Agreement.EN(04/10/2024 12:39:01)</vt:lpwstr>
  </property>
  <property fmtid="{D5CDD505-2E9C-101B-9397-08002B2CF9AE}" pid="7" name="&lt;Type&gt;">
    <vt:lpwstr>PR</vt:lpwstr>
  </property>
  <property fmtid="{D5CDD505-2E9C-101B-9397-08002B2CF9AE}" pid="8" name="Created with">
    <vt:lpwstr>9.18.0 Build [20240401]</vt:lpwstr>
  </property>
  <property fmtid="{D5CDD505-2E9C-101B-9397-08002B2CF9AE}" pid="9" name="FooterPath">
    <vt:lpwstr>PR\1308977RO.docx</vt:lpwstr>
  </property>
  <property fmtid="{D5CDD505-2E9C-101B-9397-08002B2CF9AE}" pid="10" name="LastEdited with">
    <vt:lpwstr>10.0.0 Build [20241005]</vt:lpwstr>
  </property>
  <property fmtid="{D5CDD505-2E9C-101B-9397-08002B2CF9AE}" pid="11" name="PE number">
    <vt:lpwstr>765.182</vt:lpwstr>
  </property>
  <property fmtid="{D5CDD505-2E9C-101B-9397-08002B2CF9AE}" pid="12" name="SDLStudio">
    <vt:lpwstr/>
  </property>
  <property fmtid="{D5CDD505-2E9C-101B-9397-08002B2CF9AE}" pid="13" name="SendToEpades">
    <vt:lpwstr>OK - 2024/11/14 15:01</vt:lpwstr>
  </property>
  <property fmtid="{D5CDD505-2E9C-101B-9397-08002B2CF9AE}" pid="14" name="Bookout">
    <vt:lpwstr>NOK(TWBEXT) - 2024/11/28 12:41</vt:lpwstr>
  </property>
</Properties>
</file>