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233AC" w:rsidRPr="002F041F" w:rsidTr="00C6436A">
        <w:trPr>
          <w:trHeight w:hRule="exact" w:val="1418"/>
        </w:trPr>
        <w:tc>
          <w:tcPr>
            <w:tcW w:w="6804" w:type="dxa"/>
            <w:vAlign w:val="center"/>
            <w:hideMark/>
          </w:tcPr>
          <w:p w:rsidR="00C6436A" w:rsidRPr="002F041F" w:rsidRDefault="002F041F">
            <w:pPr>
              <w:pStyle w:val="EPName"/>
            </w:pPr>
            <w:r w:rsidRPr="002F041F">
              <w:t>Europa-Parlamentet</w:t>
            </w:r>
          </w:p>
          <w:p w:rsidR="00C6436A" w:rsidRPr="002F041F" w:rsidRDefault="002F041F">
            <w:pPr>
              <w:pStyle w:val="EPTerm"/>
            </w:pPr>
            <w:r w:rsidRPr="002F041F">
              <w:t>2024-2029</w:t>
            </w:r>
          </w:p>
        </w:tc>
        <w:tc>
          <w:tcPr>
            <w:tcW w:w="2268" w:type="dxa"/>
            <w:hideMark/>
          </w:tcPr>
          <w:p w:rsidR="00C6436A" w:rsidRPr="002F041F" w:rsidRDefault="002F041F">
            <w:pPr>
              <w:pStyle w:val="EPLogo"/>
            </w:pPr>
            <w:r w:rsidRPr="002F041F">
              <w:drawing>
                <wp:inline distT="0" distB="0" distL="0" distR="0">
                  <wp:extent cx="1157605" cy="652780"/>
                  <wp:effectExtent l="0" t="0" r="4445"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rsidR="00C6436A" w:rsidRPr="002F041F" w:rsidRDefault="00C6436A" w:rsidP="00C6436A">
      <w:pPr>
        <w:pStyle w:val="LineTop"/>
      </w:pPr>
    </w:p>
    <w:p w:rsidR="00C6436A" w:rsidRPr="002F041F" w:rsidRDefault="002F041F" w:rsidP="00C6436A">
      <w:pPr>
        <w:pStyle w:val="EPBody"/>
      </w:pPr>
      <w:r w:rsidRPr="002F041F">
        <w:rPr>
          <w:rStyle w:val="HideTWBExt"/>
          <w:noProof w:val="0"/>
        </w:rPr>
        <w:t>&lt;</w:t>
      </w:r>
      <w:r w:rsidRPr="002F041F">
        <w:rPr>
          <w:rStyle w:val="HideTWBExt"/>
          <w:i w:val="0"/>
          <w:noProof w:val="0"/>
        </w:rPr>
        <w:t>Commission</w:t>
      </w:r>
      <w:r w:rsidRPr="002F041F">
        <w:rPr>
          <w:rStyle w:val="HideTWBExt"/>
          <w:noProof w:val="0"/>
        </w:rPr>
        <w:t>&gt;</w:t>
      </w:r>
      <w:r w:rsidRPr="002F041F">
        <w:rPr>
          <w:rStyle w:val="HideTWBInt"/>
          <w:color w:val="auto"/>
        </w:rPr>
        <w:t>{PECH}</w:t>
      </w:r>
      <w:r w:rsidRPr="002F041F">
        <w:t>Fiskeriudvalget</w:t>
      </w:r>
      <w:r w:rsidRPr="002F041F">
        <w:rPr>
          <w:rStyle w:val="HideTWBExt"/>
          <w:noProof w:val="0"/>
        </w:rPr>
        <w:t>&lt;/</w:t>
      </w:r>
      <w:r w:rsidRPr="002F041F">
        <w:rPr>
          <w:rStyle w:val="HideTWBExt"/>
          <w:i w:val="0"/>
          <w:noProof w:val="0"/>
        </w:rPr>
        <w:t>Commission</w:t>
      </w:r>
      <w:r w:rsidRPr="002F041F">
        <w:rPr>
          <w:rStyle w:val="HideTWBExt"/>
          <w:noProof w:val="0"/>
        </w:rPr>
        <w:t>&gt;</w:t>
      </w:r>
    </w:p>
    <w:p w:rsidR="00C6436A" w:rsidRPr="002F041F" w:rsidRDefault="00C6436A" w:rsidP="00C6436A">
      <w:pPr>
        <w:pStyle w:val="LineBottom"/>
      </w:pPr>
    </w:p>
    <w:p w:rsidR="00C6436A" w:rsidRPr="002F041F" w:rsidRDefault="002F041F" w:rsidP="00C6436A">
      <w:pPr>
        <w:pStyle w:val="CoverReference"/>
      </w:pPr>
      <w:r w:rsidRPr="002F041F">
        <w:rPr>
          <w:rStyle w:val="HideTWBExt"/>
          <w:noProof w:val="0"/>
        </w:rPr>
        <w:t>&lt;RefProc&gt;</w:t>
      </w:r>
      <w:r w:rsidRPr="002F041F">
        <w:t>2024/0098</w:t>
      </w:r>
      <w:r w:rsidRPr="002F041F">
        <w:rPr>
          <w:rStyle w:val="HideTWBExt"/>
          <w:noProof w:val="0"/>
        </w:rPr>
        <w:t>&lt;/RefProc&gt;&lt;RefTypeProc&gt;</w:t>
      </w:r>
      <w:r w:rsidRPr="002F041F">
        <w:t>(COD)</w:t>
      </w:r>
      <w:r w:rsidRPr="002F041F">
        <w:rPr>
          <w:rStyle w:val="HideTWBExt"/>
          <w:noProof w:val="0"/>
        </w:rPr>
        <w:t>&lt;/RefTypeProc&gt;</w:t>
      </w:r>
    </w:p>
    <w:p w:rsidR="00C6436A" w:rsidRPr="002F041F" w:rsidRDefault="002F041F" w:rsidP="00C6436A">
      <w:pPr>
        <w:pStyle w:val="CoverDate"/>
      </w:pPr>
      <w:r w:rsidRPr="002F041F">
        <w:rPr>
          <w:rStyle w:val="HideTWBExt"/>
          <w:noProof w:val="0"/>
        </w:rPr>
        <w:t>&lt;Date&gt;</w:t>
      </w:r>
      <w:r w:rsidRPr="002F041F">
        <w:rPr>
          <w:rStyle w:val="HideTWBInt"/>
          <w:color w:val="auto"/>
        </w:rPr>
        <w:t>{25/02/2025}</w:t>
      </w:r>
      <w:r w:rsidRPr="002F041F">
        <w:t>25.02.2025</w:t>
      </w:r>
      <w:r w:rsidRPr="002F041F">
        <w:rPr>
          <w:rStyle w:val="HideTWBExt"/>
          <w:noProof w:val="0"/>
        </w:rPr>
        <w:t>&lt;/Date&gt;</w:t>
      </w:r>
    </w:p>
    <w:p w:rsidR="00C6436A" w:rsidRPr="002F041F" w:rsidRDefault="002F041F" w:rsidP="00C6436A">
      <w:pPr>
        <w:pStyle w:val="CoverDocType"/>
      </w:pPr>
      <w:r w:rsidRPr="002F041F">
        <w:rPr>
          <w:rStyle w:val="HideTWBExt"/>
          <w:noProof w:val="0"/>
        </w:rPr>
        <w:t>&lt;RefProcLect&gt;</w:t>
      </w:r>
      <w:r w:rsidRPr="002F041F">
        <w:t>***I</w:t>
      </w:r>
      <w:r w:rsidRPr="002F041F">
        <w:rPr>
          <w:rStyle w:val="HideTWBExt"/>
          <w:noProof w:val="0"/>
        </w:rPr>
        <w:t>&lt;/RefProcLect&gt;</w:t>
      </w:r>
    </w:p>
    <w:p w:rsidR="00C6436A" w:rsidRPr="002F041F" w:rsidRDefault="002F041F" w:rsidP="00C6436A">
      <w:pPr>
        <w:pStyle w:val="CoverDocType24a"/>
      </w:pPr>
      <w:r w:rsidRPr="002F041F">
        <w:rPr>
          <w:rStyle w:val="HideTWBExt"/>
          <w:noProof w:val="0"/>
        </w:rPr>
        <w:t>&lt;TitreType&gt;</w:t>
      </w:r>
      <w:r w:rsidRPr="002F041F">
        <w:t>UDKAST TIL BETÆNKNING</w:t>
      </w:r>
      <w:r w:rsidRPr="002F041F">
        <w:rPr>
          <w:rStyle w:val="HideTWBExt"/>
          <w:noProof w:val="0"/>
        </w:rPr>
        <w:t>&lt;/TitreType&gt;</w:t>
      </w:r>
    </w:p>
    <w:p w:rsidR="00C6436A" w:rsidRPr="002F041F" w:rsidRDefault="002F041F" w:rsidP="00C6436A">
      <w:pPr>
        <w:pStyle w:val="CoverNormal"/>
      </w:pPr>
      <w:r w:rsidRPr="002F041F">
        <w:rPr>
          <w:rStyle w:val="HideTWBExt"/>
          <w:noProof w:val="0"/>
        </w:rPr>
        <w:t>&lt;Titre&gt;</w:t>
      </w:r>
      <w:r w:rsidRPr="002F041F">
        <w:t>om forslag til Europa-Parlamentets og Rådets forordning om ændring af Europa-Parlamentets og Rådets forordning (EU) 2023/2124 af 4. oktober 2023 om visse bestemmelser for fiskeri i aftaleområdet for Den Almindelige Kommission for Fiskeri i Middelhav</w:t>
      </w:r>
      <w:r w:rsidRPr="002F041F">
        <w:t>et (GFCM)</w:t>
      </w:r>
      <w:r w:rsidRPr="002F041F">
        <w:rPr>
          <w:rStyle w:val="HideTWBExt"/>
          <w:noProof w:val="0"/>
        </w:rPr>
        <w:t>&lt;/Titre&gt;</w:t>
      </w:r>
    </w:p>
    <w:p w:rsidR="00C6436A" w:rsidRPr="002F041F" w:rsidRDefault="002F041F" w:rsidP="00C6436A">
      <w:pPr>
        <w:pStyle w:val="CoverNormal24a"/>
      </w:pPr>
      <w:r w:rsidRPr="002F041F">
        <w:rPr>
          <w:rStyle w:val="HideTWBExt"/>
          <w:noProof w:val="0"/>
        </w:rPr>
        <w:t>&lt;DocRef&gt;</w:t>
      </w:r>
      <w:r w:rsidRPr="002F041F">
        <w:t>(COM(2024)0183 – C10-0006/2024 – 2024/0098(COD))</w:t>
      </w:r>
      <w:r w:rsidRPr="002F041F">
        <w:rPr>
          <w:rStyle w:val="HideTWBExt"/>
          <w:noProof w:val="0"/>
        </w:rPr>
        <w:t>&lt;/DocRef&gt;</w:t>
      </w:r>
    </w:p>
    <w:p w:rsidR="00C6436A" w:rsidRPr="002F041F" w:rsidRDefault="002F041F" w:rsidP="00C6436A">
      <w:pPr>
        <w:pStyle w:val="CoverNormal24a"/>
      </w:pPr>
      <w:r w:rsidRPr="002F041F">
        <w:rPr>
          <w:rStyle w:val="HideTWBExt"/>
          <w:noProof w:val="0"/>
        </w:rPr>
        <w:t>&lt;Commission&gt;</w:t>
      </w:r>
      <w:r w:rsidRPr="002F041F">
        <w:rPr>
          <w:rStyle w:val="HideTWBInt"/>
          <w:color w:val="auto"/>
        </w:rPr>
        <w:t>{PECH}</w:t>
      </w:r>
      <w:r w:rsidRPr="002F041F">
        <w:t>Fiskeriudvalget</w:t>
      </w:r>
      <w:r w:rsidRPr="002F041F">
        <w:rPr>
          <w:rStyle w:val="HideTWBExt"/>
          <w:noProof w:val="0"/>
        </w:rPr>
        <w:t>&lt;/Commission&gt;</w:t>
      </w:r>
    </w:p>
    <w:p w:rsidR="00C6436A" w:rsidRPr="002F041F" w:rsidRDefault="002F041F" w:rsidP="00C6436A">
      <w:pPr>
        <w:pStyle w:val="CoverNormal24a"/>
      </w:pPr>
      <w:r w:rsidRPr="002F041F">
        <w:t xml:space="preserve">Ordfører (for udtalelse): </w:t>
      </w:r>
      <w:r w:rsidRPr="002F041F">
        <w:rPr>
          <w:rStyle w:val="HideTWBExt"/>
          <w:noProof w:val="0"/>
        </w:rPr>
        <w:t>&lt;Depute&gt;</w:t>
      </w:r>
      <w:r w:rsidRPr="002F041F">
        <w:t>Željana Zovko</w:t>
      </w:r>
      <w:r w:rsidRPr="002F041F">
        <w:rPr>
          <w:rStyle w:val="HideTWBExt"/>
          <w:noProof w:val="0"/>
        </w:rPr>
        <w:t>&lt;/Depute&gt;</w:t>
      </w:r>
    </w:p>
    <w:p w:rsidR="00C6436A" w:rsidRPr="002F041F" w:rsidRDefault="00C6436A" w:rsidP="00C6436A">
      <w:pPr>
        <w:pStyle w:val="CoverNormal"/>
      </w:pPr>
    </w:p>
    <w:p w:rsidR="00C6436A" w:rsidRPr="002F041F" w:rsidRDefault="002F041F" w:rsidP="00C6436A">
      <w:r w:rsidRPr="002F041F">
        <w:br w:type="page"/>
      </w:r>
      <w:fldSimple w:instr=" TITLE  \* MERGEFORMAT ">
        <w:r>
          <w:t>PR_COD_1amCom</w:t>
        </w:r>
      </w:fldSimple>
    </w:p>
    <w:p w:rsidR="00C6436A" w:rsidRPr="002F041F" w:rsidRDefault="00C6436A" w:rsidP="00C6436A"/>
    <w:p w:rsidR="00C6436A" w:rsidRPr="002F041F" w:rsidRDefault="00C6436A" w:rsidP="00C6436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811"/>
      </w:tblGrid>
      <w:tr w:rsidR="007233AC" w:rsidRPr="002F041F" w:rsidTr="00C6436A">
        <w:tc>
          <w:tcPr>
            <w:tcW w:w="5811" w:type="dxa"/>
            <w:tcBorders>
              <w:top w:val="single" w:sz="4" w:space="0" w:color="auto"/>
              <w:left w:val="single" w:sz="4" w:space="0" w:color="auto"/>
              <w:bottom w:val="nil"/>
              <w:right w:val="single" w:sz="4" w:space="0" w:color="auto"/>
            </w:tcBorders>
            <w:hideMark/>
          </w:tcPr>
          <w:p w:rsidR="00C6436A" w:rsidRPr="002F041F" w:rsidRDefault="002F041F">
            <w:pPr>
              <w:pStyle w:val="Lgendetitre"/>
            </w:pPr>
            <w:r w:rsidRPr="002F041F">
              <w:t>Tegnforklaring</w:t>
            </w:r>
          </w:p>
        </w:tc>
      </w:tr>
      <w:tr w:rsidR="007233AC" w:rsidRPr="002F041F" w:rsidTr="00C6436A">
        <w:trPr>
          <w:cantSplit/>
          <w:trHeight w:val="1807"/>
        </w:trPr>
        <w:tc>
          <w:tcPr>
            <w:tcW w:w="5811" w:type="dxa"/>
            <w:tcBorders>
              <w:top w:val="nil"/>
              <w:left w:val="single" w:sz="4" w:space="0" w:color="auto"/>
              <w:bottom w:val="single" w:sz="4" w:space="0" w:color="auto"/>
              <w:right w:val="single" w:sz="4" w:space="0" w:color="auto"/>
            </w:tcBorders>
          </w:tcPr>
          <w:p w:rsidR="00C6436A" w:rsidRPr="002F041F" w:rsidRDefault="002F041F">
            <w:pPr>
              <w:pStyle w:val="Lgendesigne"/>
            </w:pPr>
            <w:r w:rsidRPr="002F041F">
              <w:tab/>
              <w:t>*</w:t>
            </w:r>
            <w:r w:rsidRPr="002F041F">
              <w:tab/>
            </w:r>
            <w:r w:rsidRPr="002F041F">
              <w:t>Høringsprocedure</w:t>
            </w:r>
          </w:p>
          <w:p w:rsidR="00C6436A" w:rsidRPr="002F041F" w:rsidRDefault="002F041F">
            <w:pPr>
              <w:pStyle w:val="Lgendesigne"/>
            </w:pPr>
            <w:r w:rsidRPr="002F041F">
              <w:tab/>
              <w:t>***</w:t>
            </w:r>
            <w:r w:rsidRPr="002F041F">
              <w:tab/>
              <w:t>Godkendelsesprocedure</w:t>
            </w:r>
          </w:p>
          <w:p w:rsidR="00C6436A" w:rsidRPr="002F041F" w:rsidRDefault="002F041F">
            <w:pPr>
              <w:pStyle w:val="Lgendesigne"/>
            </w:pPr>
            <w:r w:rsidRPr="002F041F">
              <w:tab/>
              <w:t>***I</w:t>
            </w:r>
            <w:r w:rsidRPr="002F041F">
              <w:tab/>
              <w:t>Almindelig lovgivningsprocedure (førstebehandling)</w:t>
            </w:r>
          </w:p>
          <w:p w:rsidR="00C6436A" w:rsidRPr="002F041F" w:rsidRDefault="002F041F">
            <w:pPr>
              <w:pStyle w:val="Lgendesigne"/>
            </w:pPr>
            <w:r w:rsidRPr="002F041F">
              <w:tab/>
              <w:t>***II</w:t>
            </w:r>
            <w:r w:rsidRPr="002F041F">
              <w:tab/>
              <w:t>Almindelig lovgivningsprocedure (andenbehandling)</w:t>
            </w:r>
          </w:p>
          <w:p w:rsidR="00C6436A" w:rsidRPr="002F041F" w:rsidRDefault="002F041F">
            <w:pPr>
              <w:pStyle w:val="Lgendesigne"/>
            </w:pPr>
            <w:r w:rsidRPr="002F041F">
              <w:tab/>
              <w:t>***III</w:t>
            </w:r>
            <w:r w:rsidRPr="002F041F">
              <w:tab/>
              <w:t>Almindelig lovgivningsprocedure (tredjebehandling)</w:t>
            </w:r>
          </w:p>
          <w:p w:rsidR="00C6436A" w:rsidRPr="002F041F" w:rsidRDefault="00C6436A">
            <w:pPr>
              <w:pStyle w:val="Lgendestandard"/>
            </w:pPr>
          </w:p>
          <w:p w:rsidR="00C6436A" w:rsidRPr="002F041F" w:rsidRDefault="002F041F">
            <w:pPr>
              <w:pStyle w:val="Lgendestandard"/>
            </w:pPr>
            <w:r w:rsidRPr="002F041F">
              <w:t>(Proceduren afhænger af, hvilket retsg</w:t>
            </w:r>
            <w:r w:rsidRPr="002F041F">
              <w:t>rundlag der er valgt i udkastet til retsakt)</w:t>
            </w:r>
          </w:p>
          <w:p w:rsidR="00C6436A" w:rsidRPr="002F041F" w:rsidRDefault="00C6436A">
            <w:pPr>
              <w:pStyle w:val="Lgendestandard"/>
            </w:pPr>
          </w:p>
        </w:tc>
      </w:tr>
    </w:tbl>
    <w:p w:rsidR="00C6436A" w:rsidRPr="002F041F" w:rsidRDefault="00C6436A" w:rsidP="00C6436A"/>
    <w:p w:rsidR="00C6436A" w:rsidRPr="002F041F" w:rsidRDefault="00C6436A" w:rsidP="00C6436A"/>
    <w:p w:rsidR="00C6436A" w:rsidRPr="002F041F" w:rsidRDefault="00C6436A" w:rsidP="00C6436A"/>
    <w:p w:rsidR="00C6436A" w:rsidRPr="002F041F" w:rsidRDefault="00C6436A" w:rsidP="00C6436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firstRow="1" w:lastRow="0" w:firstColumn="1" w:lastColumn="0" w:noHBand="0" w:noVBand="1"/>
      </w:tblPr>
      <w:tblGrid>
        <w:gridCol w:w="5811"/>
      </w:tblGrid>
      <w:tr w:rsidR="007233AC" w:rsidRPr="002F041F" w:rsidTr="00C6436A">
        <w:tc>
          <w:tcPr>
            <w:tcW w:w="5811" w:type="dxa"/>
            <w:tcBorders>
              <w:top w:val="single" w:sz="4" w:space="0" w:color="auto"/>
              <w:left w:val="single" w:sz="4" w:space="0" w:color="auto"/>
              <w:bottom w:val="nil"/>
              <w:right w:val="single" w:sz="4" w:space="0" w:color="auto"/>
            </w:tcBorders>
            <w:hideMark/>
          </w:tcPr>
          <w:p w:rsidR="00C6436A" w:rsidRPr="002F041F" w:rsidRDefault="002F041F">
            <w:pPr>
              <w:pStyle w:val="Lgendetitre"/>
            </w:pPr>
            <w:r w:rsidRPr="002F041F">
              <w:t>Ændringsforslag til et udkast til retsakt</w:t>
            </w:r>
          </w:p>
        </w:tc>
      </w:tr>
      <w:tr w:rsidR="007233AC" w:rsidRPr="002F041F" w:rsidTr="00C6436A">
        <w:trPr>
          <w:trHeight w:val="4496"/>
        </w:trPr>
        <w:tc>
          <w:tcPr>
            <w:tcW w:w="5811" w:type="dxa"/>
            <w:tcBorders>
              <w:top w:val="nil"/>
              <w:left w:val="single" w:sz="4" w:space="0" w:color="auto"/>
              <w:bottom w:val="single" w:sz="4" w:space="0" w:color="auto"/>
              <w:right w:val="single" w:sz="4" w:space="0" w:color="auto"/>
            </w:tcBorders>
          </w:tcPr>
          <w:p w:rsidR="00C6436A" w:rsidRPr="002F041F" w:rsidRDefault="002F041F">
            <w:pPr>
              <w:pStyle w:val="Lgendestandard"/>
              <w:rPr>
                <w:szCs w:val="24"/>
              </w:rPr>
            </w:pPr>
            <w:r w:rsidRPr="002F041F">
              <w:rPr>
                <w:b/>
              </w:rPr>
              <w:t>Ændringsforslag fra Parlamentet opstillet i to kolonner</w:t>
            </w:r>
          </w:p>
          <w:p w:rsidR="00C6436A" w:rsidRPr="002F041F" w:rsidRDefault="00C6436A">
            <w:pPr>
              <w:pStyle w:val="Lgendestandard"/>
              <w:rPr>
                <w:szCs w:val="24"/>
              </w:rPr>
            </w:pPr>
          </w:p>
          <w:p w:rsidR="00C6436A" w:rsidRPr="002F041F" w:rsidRDefault="002F041F">
            <w:pPr>
              <w:pStyle w:val="Lgendestandard"/>
              <w:rPr>
                <w:szCs w:val="24"/>
              </w:rPr>
            </w:pPr>
            <w:r w:rsidRPr="002F041F">
              <w:t xml:space="preserve">Tekst, der udgår, er markeret med fede typer og kursiv i venstre kolonne. Tekst, der udskiftes, er </w:t>
            </w:r>
            <w:r w:rsidRPr="002F041F">
              <w:t>markeret med fede typer og kursiv i begge kolonner. Ny tekst er markeret med fede typer og kursiv i højre kolonne.</w:t>
            </w:r>
          </w:p>
          <w:p w:rsidR="00C6436A" w:rsidRPr="002F041F" w:rsidRDefault="00C6436A">
            <w:pPr>
              <w:pStyle w:val="Lgendestandard"/>
              <w:rPr>
                <w:szCs w:val="24"/>
              </w:rPr>
            </w:pPr>
          </w:p>
          <w:p w:rsidR="00C6436A" w:rsidRPr="002F041F" w:rsidRDefault="002F041F">
            <w:pPr>
              <w:pStyle w:val="Lgendestandard"/>
              <w:rPr>
                <w:szCs w:val="24"/>
              </w:rPr>
            </w:pPr>
            <w:r w:rsidRPr="002F041F">
              <w:t>Den første og den anden linje i informationsblokken til hvert ændringsforslag angiver den relevante passage i det pågældende udkast til rets</w:t>
            </w:r>
            <w:r w:rsidRPr="002F041F">
              <w:t>akt. Hvis et ændringsforslag angår en eksisterende retsakt, som udkastet til retsakt har til formål at ændre, indeholder informationsblokken tillige en tredje og en fjerde linje, hvori det er anført, hvilken eksisterende retsakt og hvilken bestemmelse heri</w:t>
            </w:r>
            <w:r w:rsidRPr="002F041F">
              <w:t xml:space="preserve"> der er berørt.</w:t>
            </w:r>
          </w:p>
          <w:p w:rsidR="00C6436A" w:rsidRPr="002F041F" w:rsidRDefault="00C6436A">
            <w:pPr>
              <w:pStyle w:val="Lgendestandard"/>
              <w:rPr>
                <w:szCs w:val="24"/>
              </w:rPr>
            </w:pPr>
          </w:p>
          <w:p w:rsidR="00C6436A" w:rsidRPr="002F041F" w:rsidRDefault="002F041F">
            <w:pPr>
              <w:pStyle w:val="Lgendestandard"/>
              <w:rPr>
                <w:b/>
                <w:szCs w:val="24"/>
              </w:rPr>
            </w:pPr>
            <w:r w:rsidRPr="002F041F">
              <w:rPr>
                <w:b/>
              </w:rPr>
              <w:t>Ændringsforslag fra Parlamentet i form af en konsolideret tekst</w:t>
            </w:r>
          </w:p>
          <w:p w:rsidR="00C6436A" w:rsidRPr="002F041F" w:rsidRDefault="00C6436A">
            <w:pPr>
              <w:pStyle w:val="Lgendestandard"/>
              <w:rPr>
                <w:szCs w:val="24"/>
              </w:rPr>
            </w:pPr>
          </w:p>
          <w:p w:rsidR="00C6436A" w:rsidRPr="002F041F" w:rsidRDefault="002F041F">
            <w:pPr>
              <w:pStyle w:val="Lgendestandard"/>
              <w:rPr>
                <w:szCs w:val="24"/>
              </w:rPr>
            </w:pPr>
            <w:r w:rsidRPr="002F041F">
              <w:t>Ny tekst er markeret med fede typer og kursiv. Tekst, som er bortfaldet, markeres med symbolet ▌eller med overstregning. Ved udskiftninger markeres den nye tekst med fede typ</w:t>
            </w:r>
            <w:r w:rsidRPr="002F041F">
              <w:t xml:space="preserve">er og kursiv, og den udskiftede tekst slettes eller overstreges. </w:t>
            </w:r>
          </w:p>
          <w:p w:rsidR="00C6436A" w:rsidRPr="002F041F" w:rsidRDefault="002F041F">
            <w:pPr>
              <w:pStyle w:val="Lgendestandard"/>
            </w:pPr>
            <w:r w:rsidRPr="002F041F">
              <w:t>Som en undtagelse bliver rent tekniske justeringer, der er foretaget af de berørte tjenestegrene med henblik på udarbejdelsen af den endelige tekst, ikke markeret.</w:t>
            </w:r>
          </w:p>
          <w:p w:rsidR="00C6436A" w:rsidRPr="002F041F" w:rsidRDefault="00C6436A">
            <w:pPr>
              <w:pStyle w:val="Lgendestandard"/>
            </w:pPr>
          </w:p>
        </w:tc>
      </w:tr>
    </w:tbl>
    <w:p w:rsidR="00C6436A" w:rsidRPr="002F041F" w:rsidRDefault="00C6436A" w:rsidP="00C6436A"/>
    <w:p w:rsidR="00C6436A" w:rsidRPr="002F041F" w:rsidRDefault="00C6436A" w:rsidP="00C6436A">
      <w:pPr>
        <w:widowControl/>
        <w:tabs>
          <w:tab w:val="center" w:pos="4677"/>
        </w:tabs>
      </w:pPr>
    </w:p>
    <w:p w:rsidR="00C6436A" w:rsidRPr="002F041F" w:rsidRDefault="002F041F" w:rsidP="00C6436A">
      <w:pPr>
        <w:pStyle w:val="TOCHeading"/>
      </w:pPr>
      <w:r w:rsidRPr="002F041F">
        <w:br w:type="page"/>
      </w:r>
      <w:r w:rsidRPr="002F041F">
        <w:lastRenderedPageBreak/>
        <w:t>INDHOLD</w:t>
      </w:r>
    </w:p>
    <w:p w:rsidR="00C6436A" w:rsidRPr="002F041F" w:rsidRDefault="002F041F" w:rsidP="00C6436A">
      <w:pPr>
        <w:pStyle w:val="TOCPage"/>
      </w:pPr>
      <w:r w:rsidRPr="002F041F">
        <w:t>Side</w:t>
      </w:r>
    </w:p>
    <w:p w:rsidR="002F041F" w:rsidRDefault="002F041F">
      <w:pPr>
        <w:pStyle w:val="TOC1"/>
        <w:tabs>
          <w:tab w:val="right" w:leader="dot" w:pos="9060"/>
        </w:tabs>
        <w:rPr>
          <w:rFonts w:asciiTheme="minorHAnsi" w:eastAsiaTheme="minorEastAsia" w:hAnsiTheme="minorHAnsi" w:cstheme="minorBidi"/>
          <w:noProof/>
          <w:sz w:val="22"/>
          <w:szCs w:val="22"/>
          <w:lang w:val="en-GB"/>
        </w:rPr>
      </w:pPr>
      <w:r w:rsidRPr="002F041F">
        <w:rPr>
          <w:b/>
        </w:rPr>
        <w:fldChar w:fldCharType="begin"/>
      </w:r>
      <w:r w:rsidRPr="002F041F">
        <w:rPr>
          <w:b/>
        </w:rPr>
        <w:instrText xml:space="preserve"> TOC \t "PageHeading</w:instrText>
      </w:r>
      <w:r w:rsidR="0065437A" w:rsidRPr="002F041F">
        <w:rPr>
          <w:b/>
        </w:rPr>
        <w:instrText>;</w:instrText>
      </w:r>
      <w:r w:rsidRPr="002F041F">
        <w:rPr>
          <w:b/>
        </w:rPr>
        <w:instrText xml:space="preserve">1" </w:instrText>
      </w:r>
      <w:r w:rsidRPr="002F041F">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_Toc192580509 \h </w:instrText>
      </w:r>
      <w:r>
        <w:rPr>
          <w:noProof/>
        </w:rPr>
      </w:r>
      <w:r>
        <w:rPr>
          <w:noProof/>
        </w:rPr>
        <w:fldChar w:fldCharType="separate"/>
      </w:r>
      <w:r>
        <w:rPr>
          <w:noProof/>
        </w:rPr>
        <w:t>5</w:t>
      </w:r>
      <w:r>
        <w:rPr>
          <w:noProof/>
        </w:rPr>
        <w:fldChar w:fldCharType="end"/>
      </w:r>
    </w:p>
    <w:p w:rsidR="002F041F" w:rsidRDefault="002F041F">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_Toc192580510 \h </w:instrText>
      </w:r>
      <w:r>
        <w:rPr>
          <w:noProof/>
        </w:rPr>
      </w:r>
      <w:r>
        <w:rPr>
          <w:noProof/>
        </w:rPr>
        <w:fldChar w:fldCharType="separate"/>
      </w:r>
      <w:r>
        <w:rPr>
          <w:noProof/>
        </w:rPr>
        <w:t>90</w:t>
      </w:r>
      <w:r>
        <w:rPr>
          <w:noProof/>
        </w:rPr>
        <w:fldChar w:fldCharType="end"/>
      </w:r>
    </w:p>
    <w:p w:rsidR="002F041F" w:rsidRDefault="002F041F">
      <w:pPr>
        <w:pStyle w:val="TOC1"/>
        <w:tabs>
          <w:tab w:val="right" w:leader="dot" w:pos="9060"/>
        </w:tabs>
        <w:rPr>
          <w:rFonts w:asciiTheme="minorHAnsi" w:eastAsiaTheme="minorEastAsia" w:hAnsiTheme="minorHAnsi" w:cstheme="minorBidi"/>
          <w:noProof/>
          <w:sz w:val="22"/>
          <w:szCs w:val="22"/>
          <w:lang w:val="en-GB"/>
        </w:rPr>
      </w:pPr>
      <w:r>
        <w:rPr>
          <w:noProof/>
        </w:rPr>
        <w:t>BILAG: ENHEDER ELLER PERSONER, SOM ORDFØREREN HAR MODTAGET INPUT FRA</w:t>
      </w:r>
      <w:r>
        <w:rPr>
          <w:noProof/>
        </w:rPr>
        <w:tab/>
      </w:r>
      <w:r>
        <w:rPr>
          <w:noProof/>
        </w:rPr>
        <w:fldChar w:fldCharType="begin"/>
      </w:r>
      <w:r>
        <w:rPr>
          <w:noProof/>
        </w:rPr>
        <w:instrText xml:space="preserve"> PAGEREF _Toc192580511 \h </w:instrText>
      </w:r>
      <w:r>
        <w:rPr>
          <w:noProof/>
        </w:rPr>
      </w:r>
      <w:r>
        <w:rPr>
          <w:noProof/>
        </w:rPr>
        <w:fldChar w:fldCharType="separate"/>
      </w:r>
      <w:r>
        <w:rPr>
          <w:noProof/>
        </w:rPr>
        <w:t>92</w:t>
      </w:r>
      <w:r>
        <w:rPr>
          <w:noProof/>
        </w:rPr>
        <w:fldChar w:fldCharType="end"/>
      </w:r>
    </w:p>
    <w:p w:rsidR="00C6436A" w:rsidRPr="002F041F" w:rsidRDefault="002F041F" w:rsidP="00C6436A">
      <w:r w:rsidRPr="002F041F">
        <w:rPr>
          <w:b/>
        </w:rPr>
        <w:fldChar w:fldCharType="end"/>
      </w:r>
    </w:p>
    <w:p w:rsidR="00C6436A" w:rsidRPr="002F041F" w:rsidRDefault="002F041F" w:rsidP="00C6436A">
      <w:pPr>
        <w:pStyle w:val="PageHeading"/>
      </w:pPr>
      <w:r w:rsidRPr="002F041F">
        <w:br w:type="page"/>
      </w:r>
      <w:r w:rsidRPr="002F041F">
        <w:lastRenderedPageBreak/>
        <w:br w:type="page"/>
      </w:r>
      <w:bookmarkStart w:id="0" w:name="_Toc192580509"/>
      <w:r w:rsidRPr="002F041F">
        <w:lastRenderedPageBreak/>
        <w:t xml:space="preserve">FORSLAG TIL EUROPA-PARLAMENTETS LOVGIVNINGSMÆSSIGE </w:t>
      </w:r>
      <w:r w:rsidRPr="002F041F">
        <w:t>BESLUTNING</w:t>
      </w:r>
      <w:bookmarkEnd w:id="0"/>
    </w:p>
    <w:p w:rsidR="00C6436A" w:rsidRPr="002F041F" w:rsidRDefault="002F041F" w:rsidP="00C6436A">
      <w:pPr>
        <w:pStyle w:val="NormalBold"/>
      </w:pPr>
      <w:r w:rsidRPr="002F041F">
        <w:t>om forslag til Europa-Parlamentets og Rådets forordning om ændring af Europa-Parlamentets og Rådets forordning (EU) 2023/2124 af 4. oktober 2023 om visse bestemmelser for fiskeri i aftaleområdet for Den Almindelige Kommission for Fiskeri i Midde</w:t>
      </w:r>
      <w:r w:rsidRPr="002F041F">
        <w:t>lhavet (GFCM)</w:t>
      </w:r>
    </w:p>
    <w:p w:rsidR="00C6436A" w:rsidRPr="002F041F" w:rsidRDefault="002F041F" w:rsidP="00C6436A">
      <w:pPr>
        <w:pStyle w:val="NormalBold12a"/>
      </w:pPr>
      <w:r w:rsidRPr="002F041F">
        <w:t>(COM(2024)0183 – C10</w:t>
      </w:r>
      <w:r w:rsidRPr="002F041F">
        <w:noBreakHyphen/>
        <w:t>0006/2024 – 2024/0098(COD))</w:t>
      </w:r>
    </w:p>
    <w:p w:rsidR="00C6436A" w:rsidRPr="002F041F" w:rsidRDefault="002F041F" w:rsidP="00C6436A">
      <w:pPr>
        <w:pStyle w:val="NormalBold"/>
      </w:pPr>
      <w:r w:rsidRPr="002F041F">
        <w:t>(Almindelig lovgivningsprocedure: førstebehandling)</w:t>
      </w:r>
    </w:p>
    <w:p w:rsidR="00C6436A" w:rsidRPr="002F041F" w:rsidRDefault="002F041F" w:rsidP="00C6436A">
      <w:pPr>
        <w:pStyle w:val="EPComma"/>
      </w:pPr>
      <w:r w:rsidRPr="002F041F">
        <w:rPr>
          <w:i/>
          <w:iCs/>
        </w:rPr>
        <w:t>Europa-Parlamentet</w:t>
      </w:r>
      <w:r w:rsidRPr="002F041F">
        <w:t>,</w:t>
      </w:r>
    </w:p>
    <w:p w:rsidR="00C6436A" w:rsidRPr="002F041F" w:rsidRDefault="002F041F" w:rsidP="00C6436A">
      <w:pPr>
        <w:pStyle w:val="NormalHanging12a"/>
      </w:pPr>
      <w:r w:rsidRPr="002F041F">
        <w:t>–</w:t>
      </w:r>
      <w:r w:rsidRPr="002F041F">
        <w:tab/>
        <w:t>der henviser til Kommissionens forslag til Europa-Parlamentet og Rådet (COM(2024)0183),</w:t>
      </w:r>
    </w:p>
    <w:p w:rsidR="00C6436A" w:rsidRPr="002F041F" w:rsidRDefault="002F041F" w:rsidP="00C6436A">
      <w:pPr>
        <w:pStyle w:val="NormalHanging12a"/>
      </w:pPr>
      <w:r w:rsidRPr="002F041F">
        <w:t>–</w:t>
      </w:r>
      <w:r w:rsidRPr="002F041F">
        <w:tab/>
        <w:t>der henviser til artikel 294,</w:t>
      </w:r>
      <w:r w:rsidRPr="002F041F">
        <w:t xml:space="preserve"> stk. 2, og artikel 43, stk. 2, i traktaten om Den Europæiske Unions funktionsmåde, på grundlag af hvilke Kommissionen har forelagt Parlamentet forslaget (C10-0006/2024),</w:t>
      </w:r>
    </w:p>
    <w:p w:rsidR="00C6436A" w:rsidRPr="002F041F" w:rsidRDefault="002F041F" w:rsidP="00C6436A">
      <w:pPr>
        <w:pStyle w:val="NormalHanging12a"/>
      </w:pPr>
      <w:r w:rsidRPr="002F041F">
        <w:t>–</w:t>
      </w:r>
      <w:r w:rsidRPr="002F041F">
        <w:tab/>
        <w:t>der henviser til artikel 294, stk. 3, i traktaten om Den Europæiske Unions funktion</w:t>
      </w:r>
      <w:r w:rsidRPr="002F041F">
        <w:t>småde,</w:t>
      </w:r>
    </w:p>
    <w:p w:rsidR="00857E18" w:rsidRPr="002F041F" w:rsidRDefault="002F041F" w:rsidP="00C6436A">
      <w:pPr>
        <w:pStyle w:val="NormalHanging12a"/>
      </w:pPr>
      <w:r w:rsidRPr="002F041F">
        <w:t>–</w:t>
      </w:r>
      <w:r w:rsidRPr="002F041F">
        <w:tab/>
        <w:t>under henvisning til udtalelse fra Det Europæiske Økonomiske og Sociale Udvalg</w:t>
      </w:r>
      <w:r w:rsidRPr="002F041F">
        <w:rPr>
          <w:rStyle w:val="FootnoteReference"/>
        </w:rPr>
        <w:footnoteReference w:id="1"/>
      </w:r>
      <w:r w:rsidRPr="002F041F">
        <w:t>,</w:t>
      </w:r>
    </w:p>
    <w:p w:rsidR="00C6436A" w:rsidRPr="002F041F" w:rsidRDefault="002F041F" w:rsidP="00C6436A">
      <w:pPr>
        <w:pStyle w:val="NormalHanging12a"/>
      </w:pPr>
      <w:r w:rsidRPr="002F041F">
        <w:t>–</w:t>
      </w:r>
      <w:r w:rsidRPr="002F041F">
        <w:tab/>
        <w:t>der henviser til forretningsordenens artikel 60,</w:t>
      </w:r>
    </w:p>
    <w:p w:rsidR="00C6436A" w:rsidRPr="002F041F" w:rsidRDefault="002F041F" w:rsidP="00C6436A">
      <w:pPr>
        <w:pStyle w:val="NormalHanging12a"/>
      </w:pPr>
      <w:r w:rsidRPr="002F041F">
        <w:t>–</w:t>
      </w:r>
      <w:r w:rsidRPr="002F041F">
        <w:tab/>
        <w:t>der henviser til betænkning fra Fiskeriudvalget (A10</w:t>
      </w:r>
      <w:r w:rsidRPr="002F041F">
        <w:noBreakHyphen/>
        <w:t>0000/2024),</w:t>
      </w:r>
    </w:p>
    <w:p w:rsidR="00C6436A" w:rsidRPr="002F041F" w:rsidRDefault="002F041F" w:rsidP="00C6436A">
      <w:pPr>
        <w:pStyle w:val="NormalHanging12a"/>
      </w:pPr>
      <w:r w:rsidRPr="002F041F">
        <w:t>1.</w:t>
      </w:r>
      <w:r w:rsidRPr="002F041F">
        <w:tab/>
        <w:t>vedtager nedenstående holdning ved førstebeha</w:t>
      </w:r>
      <w:r w:rsidRPr="002F041F">
        <w:t>ndling;</w:t>
      </w:r>
    </w:p>
    <w:p w:rsidR="00C6436A" w:rsidRPr="002F041F" w:rsidRDefault="002F041F" w:rsidP="00C6436A">
      <w:pPr>
        <w:pStyle w:val="NormalHanging12a"/>
      </w:pPr>
      <w:r w:rsidRPr="002F041F">
        <w:t>2.</w:t>
      </w:r>
      <w:r w:rsidRPr="002F041F">
        <w:tab/>
        <w:t>anmoder om fornyet forelæggelse, hvis Kommissionen erstatter, i væsentlig grad ændrer eller agter i væsentlig grad at ændre sit forslag;</w:t>
      </w:r>
    </w:p>
    <w:p w:rsidR="00C6436A" w:rsidRPr="002F041F" w:rsidRDefault="002F041F" w:rsidP="00C6436A">
      <w:pPr>
        <w:pStyle w:val="NormalHanging12a"/>
      </w:pPr>
      <w:r w:rsidRPr="002F041F">
        <w:t>3.</w:t>
      </w:r>
      <w:r w:rsidRPr="002F041F">
        <w:tab/>
        <w:t>pålægger sin formand at sende Parlamentets holdning til Rådet og Kommissionen samt til de nationale parla</w:t>
      </w:r>
      <w:r w:rsidRPr="002F041F">
        <w:t>menter.</w:t>
      </w:r>
    </w:p>
    <w:p w:rsidR="00C6436A" w:rsidRPr="002F041F" w:rsidRDefault="00C6436A" w:rsidP="00C6436A"/>
    <w:p w:rsidR="00C6436A" w:rsidRPr="002F041F" w:rsidRDefault="002F041F" w:rsidP="00C6436A">
      <w:pPr>
        <w:pStyle w:val="AMNumberTabs0"/>
        <w:keepNext/>
      </w:pPr>
      <w:r w:rsidRPr="002F041F">
        <w:rPr>
          <w:rStyle w:val="HideTWBExt"/>
          <w:noProof w:val="0"/>
        </w:rPr>
        <w:t>&lt;RepeatBlock-Amend&gt;&lt;Amend&gt;</w:t>
      </w:r>
      <w:r w:rsidRPr="002F041F">
        <w:t>Ændringsforslag</w:t>
      </w:r>
      <w:r w:rsidRPr="002F041F">
        <w:tab/>
      </w:r>
      <w:r w:rsidRPr="002F041F">
        <w:tab/>
      </w:r>
      <w:r w:rsidRPr="002F041F">
        <w:rPr>
          <w:rStyle w:val="HideTWBExt"/>
          <w:noProof w:val="0"/>
        </w:rPr>
        <w:t>&lt;NumAm&gt;</w:t>
      </w:r>
      <w:r w:rsidRPr="002F041F">
        <w:t>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7</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(7)</w:t>
            </w:r>
            <w:r w:rsidRPr="002F041F">
              <w:tab/>
            </w:r>
            <w:r w:rsidRPr="002F041F">
              <w:t xml:space="preserve">GFCM vedtog på sit årlige møde i 2021 henstilling GFCM/44/2021/2 om </w:t>
            </w:r>
            <w:bookmarkStart w:id="1" w:name="_GoBack"/>
            <w:bookmarkEnd w:id="1"/>
            <w:r w:rsidRPr="002F041F">
              <w:lastRenderedPageBreak/>
              <w:t xml:space="preserve">etablering af et område med fiskeribegrænsninger ved Jabuka-/Pomograven i Adriaterhavet og om ændring af henstilling GFCM/41/2017/3 </w:t>
            </w:r>
            <w:r w:rsidRPr="002F041F">
              <w:rPr>
                <w:b/>
                <w:bCs/>
                <w:i/>
                <w:iCs/>
              </w:rPr>
              <w:t>samt henstilling GFCM/44/2021/5 om etablering af et områ</w:t>
            </w:r>
            <w:r w:rsidRPr="002F041F">
              <w:rPr>
                <w:b/>
                <w:bCs/>
                <w:i/>
                <w:iCs/>
              </w:rPr>
              <w:t>de med fiskeribegrænsning i Lionbugten for at beskytte gydestimer og følsomme dybhavslevesteder og om ophævelse af henstilling GFCM/33/2009/1</w:t>
            </w:r>
            <w:r w:rsidRPr="002F041F">
              <w:t>.</w:t>
            </w:r>
          </w:p>
        </w:tc>
        <w:tc>
          <w:tcPr>
            <w:tcW w:w="4876" w:type="dxa"/>
            <w:hideMark/>
          </w:tcPr>
          <w:p w:rsidR="00C6436A" w:rsidRPr="002F041F" w:rsidRDefault="002F041F">
            <w:pPr>
              <w:pStyle w:val="Normal6"/>
              <w:rPr>
                <w:szCs w:val="24"/>
              </w:rPr>
            </w:pPr>
            <w:r w:rsidRPr="002F041F">
              <w:lastRenderedPageBreak/>
              <w:t>(7)</w:t>
            </w:r>
            <w:r w:rsidRPr="002F041F">
              <w:tab/>
              <w:t xml:space="preserve">GFCM vedtog på sit årlige møde i 2021 henstilling GFCM/44/2021/2 om </w:t>
            </w:r>
            <w:r w:rsidRPr="002F041F">
              <w:lastRenderedPageBreak/>
              <w:t>etablering af et område med fiskeribegræn</w:t>
            </w:r>
            <w:r w:rsidRPr="002F041F">
              <w:t>sninger ved Jabuka-/Pomograven i Adriaterhavet og om ændring af henstilling GFCM/41/2017/3.</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Udgår for ikke at forvirre læserne, da GFCM/44/2021/5 blev ophævet ved GFCM/46/2023/1.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9</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(9)</w:t>
            </w:r>
            <w:r w:rsidRPr="002F041F">
              <w:tab/>
              <w:t xml:space="preserve">GFCM vedtog på sit årlige møde i 2021 også </w:t>
            </w:r>
            <w:r w:rsidRPr="002F041F">
              <w:rPr>
                <w:b/>
                <w:bCs/>
                <w:i/>
                <w:iCs/>
              </w:rPr>
              <w:t xml:space="preserve">henstilling GFCM/44/2021/13 om mindskelse af </w:t>
            </w:r>
            <w:r w:rsidRPr="002F041F">
              <w:rPr>
                <w:b/>
                <w:bCs/>
                <w:i/>
                <w:iCs/>
              </w:rPr>
              <w:t>fiskeriets indvirkninger på bevarelsen af havfugle i Middelhavet,</w:t>
            </w:r>
            <w:r w:rsidRPr="002F041F">
              <w:t xml:space="preserve"> henstilling GFCM/44/2021/14 om mindskelse af fiskeriets indvirkninger på bevarelsen af havskildpadder, henstilling GFCM/44/2021/15 om mindskelse af fiskeriets indvirkninger på bevarelsen af </w:t>
            </w:r>
            <w:r w:rsidRPr="002F041F">
              <w:t>hvaler og henstilling GFCM/44/2021/16 om yderligere afhjælpende foranstaltninger til bevarelse af elasmobranchii (hajer, rokker osv.) i Middelhavet.</w:t>
            </w:r>
          </w:p>
        </w:tc>
        <w:tc>
          <w:tcPr>
            <w:tcW w:w="4876" w:type="dxa"/>
            <w:hideMark/>
          </w:tcPr>
          <w:p w:rsidR="00C6436A" w:rsidRPr="002F041F" w:rsidRDefault="002F041F">
            <w:pPr>
              <w:pStyle w:val="Normal6"/>
              <w:rPr>
                <w:szCs w:val="24"/>
              </w:rPr>
            </w:pPr>
            <w:r w:rsidRPr="002F041F">
              <w:t>(9)</w:t>
            </w:r>
            <w:r w:rsidRPr="002F041F">
              <w:tab/>
              <w:t>GFCM vedtog på sit årlige møde i 2021 også henstilling GFCM/44/2021/14 om mindskelse af fiskeriets indv</w:t>
            </w:r>
            <w:r w:rsidRPr="002F041F">
              <w:t>irkninger på bevarelsen af havskildpadder, henstilling GFCM/44/2021/15 om mindskelse af fiskeriets indvirkninger på bevarelsen af hvaler og henstilling GFCM/44/2021/16 om yderligere afhjælpende foranstaltninger til bevarelse af elasmobranchii (hajer, rokke</w:t>
            </w:r>
            <w:r w:rsidRPr="002F041F">
              <w:t>r osv.) i Middelhavet.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a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(23a)</w:t>
            </w:r>
            <w:r w:rsidRPr="002F041F">
              <w:rPr>
                <w:b/>
                <w:i/>
              </w:rPr>
              <w:tab/>
              <w:t xml:space="preserve">GFCM vedtog på </w:t>
            </w:r>
            <w:r w:rsidRPr="002F041F">
              <w:rPr>
                <w:b/>
                <w:i/>
              </w:rPr>
              <w:t xml:space="preserve">sit årlige møde i 2023 henstilling GFCM/46/2023/1 om etablering af et område med fiskeribegrænsning i Lionbugten (underområde 7) til at beskytte gydestimer og følsomme dybhavshabitater, og som ophæver henstilling GFCM/44/2021/5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w:t>
      </w:r>
      <w:r w:rsidRPr="002F041F">
        <w:rPr>
          <w:rStyle w:val="HideTWBExt"/>
          <w:noProof w:val="0"/>
        </w:rPr>
        <w:t>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 ophævede henstilling GFCM/44/2021/5.</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b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 xml:space="preserve">Kommissionens </w:t>
            </w:r>
            <w:r w:rsidRPr="002F041F">
              <w:t>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(23b)</w:t>
            </w:r>
            <w:r w:rsidRPr="002F041F">
              <w:rPr>
                <w:b/>
                <w:i/>
              </w:rPr>
              <w:tab/>
              <w:t xml:space="preserve">GFCM vedtog på sit årlige møde i 2023 henstilling GFCM/46/2023/2 om fastsættelse af en bevarelsesmæssig mindstereferencestørrelse for rød kæmpereje og blårød reje i den Sicilianske Kanal (underområder 12-16).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Begrundelse: Henstilling GFCM/46/2023/2</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c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 xml:space="preserve">Kommissionens </w:t>
            </w:r>
            <w:r w:rsidRPr="002F041F">
              <w:t>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(23c)</w:t>
            </w:r>
            <w:r w:rsidRPr="002F041F">
              <w:rPr>
                <w:b/>
                <w:i/>
              </w:rPr>
              <w:tab/>
              <w:t xml:space="preserve">GFCM vedtog på sit årlige møde i 2023 henstilling GFCM/46/2023/3 om fastsættelse af en bevarelsesmæssig </w:t>
            </w:r>
            <w:r w:rsidRPr="002F041F">
              <w:rPr>
                <w:b/>
                <w:i/>
              </w:rPr>
              <w:lastRenderedPageBreak/>
              <w:t xml:space="preserve">mindstereferencestørrelse for rød kæmpereje og blårød reje i det Joniske Hav (underområder 19-21). </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w:t>
      </w:r>
      <w:r w:rsidRPr="002F041F">
        <w:rPr>
          <w:noProof w:val="0"/>
        </w:rPr>
        <w:t>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GFCM/46/2023/3</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d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(23d)</w:t>
            </w:r>
            <w:r w:rsidRPr="002F041F">
              <w:rPr>
                <w:b/>
                <w:i/>
              </w:rPr>
              <w:tab/>
              <w:t xml:space="preserve">GFCM vedtog på sit årlige møde i 2023 henstilling GFCM/46/2023/4 om fastsættelse af en bevarelsesmæssig mindstereferencestørrelse for rød kæmpereje og blårød reje i det Levantinske Hav (underområder 24-27).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e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(23e)</w:t>
            </w:r>
            <w:r w:rsidRPr="002F041F">
              <w:rPr>
                <w:b/>
                <w:i/>
              </w:rPr>
              <w:tab/>
              <w:t>GFCM vedtog</w:t>
            </w:r>
            <w:r w:rsidRPr="002F041F">
              <w:rPr>
                <w:b/>
                <w:i/>
              </w:rPr>
              <w:t xml:space="preserve"> på sit årlige møde i 2023 også henstilling GFCM/46/2023/5 om forlængelse af en fiskeriovergangsordning og fastlæggelse af en fangstbegrænsning for 2024 for små pelagiske bestande i Adriaterhavet (underområder 17 og 18) i forlængelse af henstilling GFCM/44</w:t>
            </w:r>
            <w:r w:rsidRPr="002F041F">
              <w:rPr>
                <w:b/>
                <w:i/>
              </w:rPr>
              <w:t xml:space="preserve">/2021/20. </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GFCM/46/2023/5</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f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w:t>
            </w:r>
            <w:r w:rsidRPr="002F041F">
              <w:t xml:space="preserve">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(23f)</w:t>
            </w:r>
            <w:r w:rsidRPr="002F041F">
              <w:rPr>
                <w:b/>
                <w:i/>
              </w:rPr>
              <w:tab/>
              <w:t>GFCM vedtog på sit årlige møde i 2023 henstilling GFCM/46/2023/6 om gennemførelse af en fiskeriindsatsordning for vigtige demersale bestande i Adriaterhavet i 2024 (underområder 17 og 18) i forlængelse af henstilling GFCM/4</w:t>
            </w:r>
            <w:r w:rsidRPr="002F041F">
              <w:rPr>
                <w:b/>
                <w:i/>
              </w:rPr>
              <w:t xml:space="preserve">3/2019/5.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GFCM/46/2023/6</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g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w:t>
            </w:r>
            <w:r w:rsidRPr="002F041F">
              <w:t xml:space="preserve">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(23g)</w:t>
            </w:r>
            <w:r w:rsidRPr="002F041F">
              <w:rPr>
                <w:b/>
                <w:i/>
              </w:rPr>
              <w:tab/>
              <w:t xml:space="preserve">GFCM vedtog på sit årlige møde i 2023 henstilling GFCM/46/2023/7 om forlængelse af den flerårige forvaltningsplan for pighvarfiskeri i Sortehavet (underområde 29) og om ændring af henstilling GFCM/41/2017/4.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w:t>
      </w:r>
      <w:r w:rsidRPr="002F041F">
        <w:rPr>
          <w:rStyle w:val="HideTWBExt"/>
          <w:noProof w:val="0"/>
        </w:rPr>
        <w:t>&gt;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GFCM/46/2023/7 ændrede henstilling GFCM/41/2017/4.</w:t>
      </w:r>
    </w:p>
    <w:p w:rsidR="00C6436A" w:rsidRPr="002F041F" w:rsidRDefault="002F041F" w:rsidP="00C6436A">
      <w:r w:rsidRPr="002F041F">
        <w:rPr>
          <w:rStyle w:val="HideTWBExt"/>
          <w:noProof w:val="0"/>
        </w:rPr>
        <w:lastRenderedPageBreak/>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h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(23h)</w:t>
            </w:r>
            <w:r w:rsidRPr="002F041F">
              <w:rPr>
                <w:b/>
                <w:i/>
              </w:rPr>
              <w:tab/>
              <w:t>GFCM vedtog på sit årlige møde i 2023 også henstilling GFCM/46/2023/11 om foranstaltninger til afbødning af rovfangst af øresvin ved fiskeri af små pelagiske arter i Alboránhavet (underområde 3).</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w:t>
      </w:r>
      <w:r w:rsidRPr="002F041F">
        <w:rPr>
          <w:rStyle w:val="HideTWBExt"/>
          <w:noProof w:val="0"/>
        </w:rPr>
        <w:t>&gt;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i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(23i)</w:t>
            </w:r>
            <w:r w:rsidRPr="002F041F">
              <w:rPr>
                <w:b/>
                <w:i/>
              </w:rPr>
              <w:tab/>
              <w:t xml:space="preserve">GFCM vedtog på sit årlige møde i 2023 også henstilling GFCM/46/2023/12 om opstilling af en regional kapacitetsforvaltningsplan.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GFCM/46/2023/12</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j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(23j)</w:t>
            </w:r>
            <w:r w:rsidRPr="002F041F">
              <w:rPr>
                <w:b/>
                <w:i/>
              </w:rPr>
              <w:tab/>
              <w:t xml:space="preserve">GFCM vedtog på sit årlige møde i 2023 også henstilling GFCM/46/2023/14 </w:t>
            </w:r>
            <w:r w:rsidRPr="002F041F">
              <w:rPr>
                <w:b/>
                <w:i/>
              </w:rPr>
              <w:t xml:space="preserve">om opstilling af en flerårig forvaltningsplan for bæredygtig udnyttelse af guldmakrel i Middelhavet og om ophævelse af henstilling GFCM/30/2006/2, GFCM/43/2019/1 og GFCM/44/2021/11.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GFCM/46/2023/14 ophævede henstilling GFCM/30/2006/2, GFCM/43/2019/1 og GFCM/44/2021/11.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k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 xml:space="preserve">Kommissionens </w:t>
            </w:r>
            <w:r w:rsidRPr="002F041F">
              <w:t>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(23k)</w:t>
            </w:r>
            <w:r w:rsidRPr="002F041F">
              <w:rPr>
                <w:b/>
                <w:i/>
              </w:rPr>
              <w:tab/>
              <w:t>GFCM vedtog på sit årlige møde i 2023 også henstilling GFCM/46/2023/15 om revision af den bevarelsesmæssige mindstereferencestørrelse for spidstandet blankesten i Alboránhavet (underområder 1 og 2) og om ændring af henstilli</w:t>
            </w:r>
            <w:r w:rsidRPr="002F041F">
              <w:rPr>
                <w:b/>
                <w:i/>
              </w:rPr>
              <w:t xml:space="preserve">ng GFCM/45/2022/3.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GFCM/46/2023/15 ændrede henstilling GFCM/45/2022/3.</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l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(23l)</w:t>
            </w:r>
            <w:r w:rsidRPr="002F041F">
              <w:rPr>
                <w:b/>
                <w:i/>
              </w:rPr>
              <w:tab/>
              <w:t xml:space="preserve">GFCM vedtog på sit årlige møde i 2023 også henstilling GFCM/46/2023/16 om en flerårig forvaltningsplan for europæisk ål i Middelhavet og om ophævelse af henstilling </w:t>
            </w:r>
            <w:r w:rsidRPr="002F041F">
              <w:rPr>
                <w:b/>
                <w:i/>
              </w:rPr>
              <w:t xml:space="preserve">GFCM/42/2018/1 og GFCM/45/2022/1.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 vedtog på sit årlige møde i 2022 henstilling GFCM/46/2023/16 om en langsigtet forvaltningsplan for europæisk ål i Middelhavet og om ophævelse af hen</w:t>
      </w:r>
      <w:r w:rsidRPr="002F041F">
        <w:rPr>
          <w:noProof w:val="0"/>
        </w:rPr>
        <w:t>stilling GFCM/45/2022/1 og GFCM/42/2018/1.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m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(23m)</w:t>
            </w:r>
            <w:r w:rsidRPr="002F041F">
              <w:rPr>
                <w:b/>
                <w:i/>
              </w:rPr>
              <w:tab/>
              <w:t xml:space="preserve">GFCM vedtog på sit årlige </w:t>
            </w:r>
            <w:r w:rsidRPr="002F041F">
              <w:rPr>
                <w:b/>
                <w:i/>
              </w:rPr>
              <w:t xml:space="preserve">møde i 2023 også henstilling GFCM/46/2023/17 om en international fælles inspektions- og overvågningsordning for guldmakrelfiskeri i farvande uden for national jurisdiktion i Middelhavet.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GFCM/46/2023/17</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n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(23n)</w:t>
            </w:r>
            <w:r w:rsidRPr="002F041F">
              <w:rPr>
                <w:b/>
                <w:i/>
              </w:rPr>
              <w:tab/>
              <w:t xml:space="preserve">GFCM vedtog på sit årlige møde i 2023 også </w:t>
            </w:r>
            <w:r w:rsidRPr="002F041F">
              <w:rPr>
                <w:b/>
                <w:i/>
              </w:rPr>
              <w:t xml:space="preserve">henstilling GFCM/46/2023/18 </w:t>
            </w:r>
            <w:r w:rsidRPr="002F041F">
              <w:rPr>
                <w:b/>
                <w:i/>
              </w:rPr>
              <w:lastRenderedPageBreak/>
              <w:t xml:space="preserve">om internationale ordninger for fælles inspektion og overvågning i farvande uden for national jurisdiktion i Adriaterhavet (underområder 17 og 18). </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w:t>
      </w:r>
      <w:r w:rsidRPr="002F041F">
        <w:rPr>
          <w:noProof w:val="0"/>
        </w:rPr>
        <w:t xml:space="preserve"> GFCM/46/2023/18</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o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(23o)</w:t>
            </w:r>
            <w:r w:rsidRPr="002F041F">
              <w:rPr>
                <w:b/>
                <w:i/>
              </w:rPr>
              <w:tab/>
              <w:t xml:space="preserve">GFCM vedtog på sit årlige møde i 2023 også </w:t>
            </w:r>
            <w:r w:rsidRPr="002F041F">
              <w:rPr>
                <w:b/>
                <w:i/>
              </w:rPr>
              <w:t xml:space="preserve">henstilling GFCM/46/2023/19 om en fangstattestordning for ædelkoraller i Middelhavet.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GFCM/46/2023/19</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 xml:space="preserve">Forslag til </w:t>
      </w:r>
      <w:r w:rsidRPr="002F041F">
        <w:t>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p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(23p)</w:t>
            </w:r>
            <w:r w:rsidRPr="002F041F">
              <w:rPr>
                <w:b/>
                <w:i/>
              </w:rPr>
              <w:tab/>
              <w:t xml:space="preserve">GFCM vedtog på sit årlige møde i 2023 også henstilling GFCM/46/2023/20 om en fangstattestordning for pighvar i Sortehavet (underområde 29).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GFCM/46/2023/20</w:t>
      </w:r>
    </w:p>
    <w:p w:rsidR="00C6436A" w:rsidRPr="002F041F" w:rsidRDefault="002F041F" w:rsidP="00C6436A">
      <w:r w:rsidRPr="002F041F">
        <w:rPr>
          <w:rStyle w:val="HideTWBExt"/>
          <w:noProof w:val="0"/>
        </w:rPr>
        <w:lastRenderedPageBreak/>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q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(23q)</w:t>
            </w:r>
            <w:r w:rsidRPr="002F041F">
              <w:rPr>
                <w:b/>
                <w:i/>
              </w:rPr>
              <w:tab/>
              <w:t xml:space="preserve">GFCM vedtog på sit årlige møde i 2023 også henstilling GFCM/46/2023/21 om observation af fiskerfartøjer og om ændring af henstilling GFCM/44/2021/21.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 xml:space="preserve">Henstilling </w:t>
      </w:r>
      <w:r w:rsidRPr="002F041F">
        <w:rPr>
          <w:noProof w:val="0"/>
        </w:rPr>
        <w:t>GFCM/46/2023/21 ændrede henstilling GFCM/44/2021/21.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20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r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(23r)</w:t>
            </w:r>
            <w:r w:rsidRPr="002F041F">
              <w:rPr>
                <w:b/>
                <w:i/>
              </w:rPr>
              <w:tab/>
              <w:t xml:space="preserve">GFCM vedtog på sit </w:t>
            </w:r>
            <w:r w:rsidRPr="002F041F">
              <w:rPr>
                <w:b/>
                <w:i/>
              </w:rPr>
              <w:t xml:space="preserve">årlige møde i 2023 også henstilling GFCM/46/2023/22 om en GFCM-tidsplan for regelefterlevelse og hermed forbundne tiltag, og om ophævelse af resolution GFCM/44/2021/13 og GFCM/43/2019/5.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GFCM/46/2023/22</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21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s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(23s)</w:t>
            </w:r>
            <w:r w:rsidRPr="002F041F">
              <w:rPr>
                <w:b/>
                <w:i/>
              </w:rPr>
              <w:tab/>
              <w:t xml:space="preserve">GFCM vedtog på sit årlige møde i 2023 også </w:t>
            </w:r>
            <w:r w:rsidRPr="002F041F">
              <w:rPr>
                <w:b/>
                <w:i/>
              </w:rPr>
              <w:t xml:space="preserve">henstilling GFCM/46/2023/23, der præciserer anvendelsen af henstillinger om overholdelse og opstiller en overensstemmelses- og kapacitetsopgørelse til støtte for arbejdet i tilsynsudvalget.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w:t>
      </w:r>
      <w:r w:rsidRPr="002F041F">
        <w:rPr>
          <w:rStyle w:val="HideTWBExt"/>
          <w:i w:val="0"/>
          <w:noProof w:val="0"/>
        </w:rPr>
        <w:t>t&gt;</w:t>
      </w:r>
    </w:p>
    <w:p w:rsidR="00C6436A" w:rsidRPr="002F041F" w:rsidRDefault="002F041F" w:rsidP="00C6436A">
      <w:pPr>
        <w:pStyle w:val="Normal12Italic"/>
        <w:rPr>
          <w:noProof w:val="0"/>
        </w:rPr>
      </w:pPr>
      <w:r w:rsidRPr="002F041F">
        <w:rPr>
          <w:noProof w:val="0"/>
        </w:rPr>
        <w:t>Henstilling GFCM/46/2023/23</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22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Betragtning 23 t (ny)</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3F71E4">
            <w:pPr>
              <w:pStyle w:val="Normal6"/>
              <w:rPr>
                <w:szCs w:val="24"/>
              </w:rPr>
            </w:pPr>
            <w:r w:rsidRPr="002F041F">
              <w:rPr>
                <w:b/>
                <w:i/>
              </w:rPr>
              <w:t>(23t)</w:t>
            </w:r>
            <w:r w:rsidRPr="002F041F">
              <w:rPr>
                <w:b/>
                <w:i/>
              </w:rPr>
              <w:tab/>
              <w:t xml:space="preserve">GFCM vedtog på sit årlige møde i 2023 </w:t>
            </w:r>
            <w:r w:rsidRPr="002F041F">
              <w:rPr>
                <w:b/>
                <w:i/>
              </w:rPr>
              <w:t xml:space="preserve">også henstilling GFCM/46/2023/24 om opstilling af en liste over fartøjer, der formodes at have udøvet ulovligt, urapporteret og ureguleret fiskeri, og om ophævelse af henstilling GFCM/44/2021/19.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GFCM/46/2023/24 ændrede henstilling GFCM/44/2021/19.</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23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1 – litra b</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 xml:space="preserve">Forordning (EU) </w:t>
      </w:r>
      <w:r w:rsidRPr="002F041F">
        <w:t>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3 – stk. 11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11)</w:t>
            </w:r>
            <w:r w:rsidRPr="002F041F">
              <w:tab/>
            </w:r>
            <w:r w:rsidRPr="002F041F">
              <w:t xml:space="preserve">"fangstattest": et officielt dokument, som ledsager en sending og er valideret af den kompetente myndighed, og som gør det muligt at sende nøjagtige og verificerbare oplysninger om </w:t>
            </w:r>
            <w:r w:rsidRPr="002F041F">
              <w:rPr>
                <w:b/>
                <w:bCs/>
                <w:i/>
                <w:iCs/>
              </w:rPr>
              <w:t>fisk</w:t>
            </w:r>
            <w:r w:rsidRPr="002F041F">
              <w:t xml:space="preserve"> gennem forsyningskæden</w:t>
            </w:r>
          </w:p>
        </w:tc>
        <w:tc>
          <w:tcPr>
            <w:tcW w:w="4876" w:type="dxa"/>
            <w:hideMark/>
          </w:tcPr>
          <w:p w:rsidR="00C6436A" w:rsidRPr="002F041F" w:rsidRDefault="002F041F">
            <w:pPr>
              <w:pStyle w:val="Normal6"/>
              <w:rPr>
                <w:szCs w:val="24"/>
              </w:rPr>
            </w:pPr>
            <w:r w:rsidRPr="002F041F">
              <w:t>11)</w:t>
            </w:r>
            <w:r w:rsidRPr="002F041F">
              <w:tab/>
              <w:t xml:space="preserve">"fangstattest": et officielt dokument, som </w:t>
            </w:r>
            <w:r w:rsidRPr="002F041F">
              <w:t xml:space="preserve">ledsager en sending og er valideret af den kompetente myndighed, og som gør det muligt at sende nøjagtige og verificerbare oplysninger om </w:t>
            </w:r>
            <w:r w:rsidRPr="002F041F">
              <w:rPr>
                <w:b/>
                <w:bCs/>
                <w:i/>
                <w:iCs/>
              </w:rPr>
              <w:t>fiskevarer</w:t>
            </w:r>
            <w:r w:rsidRPr="002F041F">
              <w:t xml:space="preserve"> gennem forsyningskæden</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24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1 – litra b</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3 – stk. 12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12)</w:t>
            </w:r>
            <w:r w:rsidRPr="002F041F">
              <w:tab/>
            </w:r>
            <w:r w:rsidRPr="002F041F">
              <w:t xml:space="preserve">"fangstdokumentationsordning": et system, der er oprettet i overensstemmelse med relevante internationale forpligtelser, og som primært har til formål at hjælpe med at fastslå igennem hele forsyningskæden, hvorvidt </w:t>
            </w:r>
            <w:r w:rsidRPr="002F041F">
              <w:rPr>
                <w:b/>
                <w:bCs/>
                <w:i/>
                <w:iCs/>
              </w:rPr>
              <w:t>fisken</w:t>
            </w:r>
            <w:r w:rsidRPr="002F041F">
              <w:t xml:space="preserve"> stammer fra fangster, der er i ove</w:t>
            </w:r>
            <w:r w:rsidRPr="002F041F">
              <w:t>rensstemmelse med gældende nationale, regionale og internationale bevarelses- og forvaltningsforanstaltninger."</w:t>
            </w:r>
          </w:p>
        </w:tc>
        <w:tc>
          <w:tcPr>
            <w:tcW w:w="4876" w:type="dxa"/>
            <w:hideMark/>
          </w:tcPr>
          <w:p w:rsidR="00C6436A" w:rsidRPr="002F041F" w:rsidRDefault="002F041F">
            <w:pPr>
              <w:pStyle w:val="Normal6"/>
              <w:rPr>
                <w:szCs w:val="24"/>
              </w:rPr>
            </w:pPr>
            <w:r w:rsidRPr="002F041F">
              <w:t>12)</w:t>
            </w:r>
            <w:r w:rsidRPr="002F041F">
              <w:tab/>
              <w:t xml:space="preserve">"fangstdokumentationsordning": et system, der er oprettet i overensstemmelse med relevante internationale forpligtelser, og som primært har </w:t>
            </w:r>
            <w:r w:rsidRPr="002F041F">
              <w:t xml:space="preserve">til formål at hjælpe med at fastslå igennem hele forsyningskæden, hvorvidt </w:t>
            </w:r>
            <w:r w:rsidRPr="002F041F">
              <w:rPr>
                <w:b/>
                <w:bCs/>
                <w:i/>
                <w:iCs/>
              </w:rPr>
              <w:t>fiskevaren</w:t>
            </w:r>
            <w:r w:rsidRPr="002F041F">
              <w:t xml:space="preserve"> stammer fra fangster, der er i overensstemmelse med gældende nationale, regionale og internationale bevarelses- og forvaltningsforanstaltninger."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25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2</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4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 xml:space="preserve">Dette kapitel finder anvendelse på alt fiskeri efter europæisk ål (Anguilla </w:t>
            </w:r>
            <w:r w:rsidRPr="002F041F">
              <w:lastRenderedPageBreak/>
              <w:t xml:space="preserve">anguilla), dvs. målrettet, utilsigtet og rekreativt fiskeri i alle de i bilag I fastsatte havområder i Middelhavet, herunder </w:t>
            </w:r>
            <w:r w:rsidRPr="002F041F">
              <w:rPr>
                <w:b/>
                <w:bCs/>
                <w:i/>
                <w:iCs/>
              </w:rPr>
              <w:t>ferskvandsområde</w:t>
            </w:r>
            <w:r w:rsidRPr="002F041F">
              <w:rPr>
                <w:b/>
                <w:bCs/>
                <w:i/>
                <w:iCs/>
              </w:rPr>
              <w:t>r og</w:t>
            </w:r>
            <w:r w:rsidRPr="002F041F">
              <w:t xml:space="preserve"> overgangs- og brakvande såsom laguner og flodmundinger."</w:t>
            </w:r>
          </w:p>
        </w:tc>
        <w:tc>
          <w:tcPr>
            <w:tcW w:w="4876" w:type="dxa"/>
            <w:hideMark/>
          </w:tcPr>
          <w:p w:rsidR="00C6436A" w:rsidRPr="002F041F" w:rsidRDefault="002F041F">
            <w:pPr>
              <w:pStyle w:val="Normal6"/>
              <w:rPr>
                <w:szCs w:val="24"/>
              </w:rPr>
            </w:pPr>
            <w:r w:rsidRPr="002F041F">
              <w:lastRenderedPageBreak/>
              <w:t xml:space="preserve">Dette kapitel finder anvendelse på alt fiskeri efter europæisk ål (Anguilla </w:t>
            </w:r>
            <w:r w:rsidRPr="002F041F">
              <w:lastRenderedPageBreak/>
              <w:t>anguilla), dvs. målrettet, utilsigtet og rekreativt fiskeri i alle de i bilag I fastsatte havområder i Middelhavet, he</w:t>
            </w:r>
            <w:r w:rsidRPr="002F041F">
              <w:t>runder overgangs- og brakvande såsom laguner og flodmundinger."</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Ferskvand betragtes ikke som en del af et havområde, da det jo ikke er havvand. Bestande, der lever i ferskvand, kan således</w:t>
      </w:r>
      <w:r w:rsidRPr="002F041F">
        <w:rPr>
          <w:noProof w:val="0"/>
        </w:rPr>
        <w:t xml:space="preserve"> ikke betragtes som en hav- eller marinebiologisk ressource. GFCM har overskredet sine beføjelser ved at have vedtaget en henstilling, der rækker ud over GFCM's geografiske jurisdiktionsområde. EU er i overensstemmelse med folkeretten ikke forpligtet til a</w:t>
      </w:r>
      <w:r w:rsidRPr="002F041F">
        <w:rPr>
          <w:noProof w:val="0"/>
        </w:rPr>
        <w:t>t gennemføre en GFCM-henstilling vedrørende ferskvandsfiskeri.</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26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2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104E2D">
            <w:pPr>
              <w:pStyle w:val="Normal6"/>
              <w:rPr>
                <w:szCs w:val="24"/>
              </w:rPr>
            </w:pPr>
            <w:r w:rsidRPr="002F041F">
              <w:rPr>
                <w:b/>
                <w:i/>
              </w:rPr>
              <w:t>2a)</w:t>
            </w:r>
            <w:r w:rsidRPr="002F041F">
              <w:rPr>
                <w:b/>
                <w:i/>
              </w:rPr>
              <w:tab/>
              <w:t>I artikel 12 tilføjes følgende stykker: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t>"</w:t>
            </w:r>
            <w:r w:rsidRPr="002F041F">
              <w:rPr>
                <w:b/>
                <w:bCs/>
                <w:i/>
                <w:iCs/>
              </w:rPr>
              <w:t>4.</w:t>
            </w:r>
            <w:r w:rsidRPr="002F041F">
              <w:rPr>
                <w:b/>
                <w:i/>
              </w:rPr>
              <w:tab/>
              <w:t xml:space="preserve">Medlemsstaterne opretter et sporbarhedssystem for landinger, salg og eksportvarer, der gør det muligt at spore </w:t>
            </w:r>
            <w:r w:rsidRPr="002F041F">
              <w:rPr>
                <w:b/>
                <w:i/>
              </w:rPr>
              <w:t>fangsterne fra det godkendte landingssted til det endelige bestemmelsessted, uanset om enhederne sælges i levende, død eller forarbejdet tilstand.</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r>
            <w:r w:rsidRPr="002F041F">
              <w:rPr>
                <w:b/>
                <w:bCs/>
                <w:i/>
                <w:iCs/>
              </w:rPr>
              <w:t>Medlemsstaterne opstiller og ajourfører en liste over auktionshaller, organer eller personer, der er bem</w:t>
            </w:r>
            <w:r w:rsidRPr="002F041F">
              <w:rPr>
                <w:b/>
                <w:bCs/>
                <w:i/>
                <w:iCs/>
              </w:rPr>
              <w:t>yndiget til at foretage første salg af europæisk ål."</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GFCM/46/2023/16</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27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12a</w:t>
      </w:r>
      <w:r w:rsidRPr="002F041F">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9E2F79">
        <w:trPr>
          <w:jc w:val="center"/>
        </w:trPr>
        <w:tc>
          <w:tcPr>
            <w:tcW w:w="9752" w:type="dxa"/>
            <w:gridSpan w:val="2"/>
          </w:tcPr>
          <w:p w:rsidR="00C6436A" w:rsidRPr="002F041F" w:rsidRDefault="00C6436A">
            <w:pPr>
              <w:keepNext/>
            </w:pPr>
          </w:p>
        </w:tc>
      </w:tr>
      <w:tr w:rsidR="007233AC" w:rsidRPr="002F041F" w:rsidTr="009E2F79">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9E2F79">
        <w:trPr>
          <w:jc w:val="center"/>
        </w:trPr>
        <w:tc>
          <w:tcPr>
            <w:tcW w:w="4876" w:type="dxa"/>
          </w:tcPr>
          <w:p w:rsidR="00C326E3" w:rsidRPr="002F041F" w:rsidRDefault="002F041F">
            <w:pPr>
              <w:pStyle w:val="ColumnHeading"/>
              <w:keepNext/>
              <w:rPr>
                <w:i w:val="0"/>
              </w:rPr>
            </w:pPr>
            <w:r w:rsidRPr="002F041F">
              <w:rPr>
                <w:i w:val="0"/>
              </w:rPr>
              <w:t>Artikel 12a</w:t>
            </w:r>
          </w:p>
        </w:tc>
        <w:tc>
          <w:tcPr>
            <w:tcW w:w="4876" w:type="dxa"/>
          </w:tcPr>
          <w:p w:rsidR="00C326E3" w:rsidRPr="002F041F" w:rsidRDefault="002F041F">
            <w:pPr>
              <w:pStyle w:val="ColumnHeading"/>
              <w:keepNext/>
              <w:rPr>
                <w:i w:val="0"/>
              </w:rPr>
            </w:pPr>
            <w:r w:rsidRPr="002F041F">
              <w:rPr>
                <w:i w:val="0"/>
              </w:rPr>
              <w:t>Artikel 12a</w:t>
            </w:r>
          </w:p>
        </w:tc>
      </w:tr>
      <w:tr w:rsidR="007233AC" w:rsidRPr="002F041F" w:rsidTr="009E2F79">
        <w:trPr>
          <w:jc w:val="center"/>
        </w:trPr>
        <w:tc>
          <w:tcPr>
            <w:tcW w:w="4876" w:type="dxa"/>
            <w:hideMark/>
          </w:tcPr>
          <w:p w:rsidR="00C6436A" w:rsidRPr="002F041F" w:rsidRDefault="002F041F">
            <w:pPr>
              <w:pStyle w:val="Normal6"/>
            </w:pPr>
            <w:r w:rsidRPr="002F041F">
              <w:rPr>
                <w:b/>
                <w:i/>
              </w:rPr>
              <w:t>Rekreativt fiskeri</w:t>
            </w:r>
          </w:p>
        </w:tc>
        <w:tc>
          <w:tcPr>
            <w:tcW w:w="4876" w:type="dxa"/>
            <w:hideMark/>
          </w:tcPr>
          <w:p w:rsidR="00C6436A" w:rsidRPr="002F041F" w:rsidRDefault="002F041F">
            <w:pPr>
              <w:pStyle w:val="Normal6"/>
              <w:rPr>
                <w:b/>
                <w:i/>
                <w:szCs w:val="24"/>
              </w:rPr>
            </w:pPr>
            <w:r w:rsidRPr="002F041F">
              <w:rPr>
                <w:b/>
                <w:i/>
              </w:rPr>
              <w:t>Dataindsamling</w:t>
            </w:r>
          </w:p>
        </w:tc>
      </w:tr>
      <w:tr w:rsidR="007233AC" w:rsidRPr="002F041F" w:rsidTr="009E2F79">
        <w:trPr>
          <w:jc w:val="center"/>
        </w:trPr>
        <w:tc>
          <w:tcPr>
            <w:tcW w:w="4876" w:type="dxa"/>
            <w:hideMark/>
          </w:tcPr>
          <w:p w:rsidR="00C6436A" w:rsidRPr="002F041F" w:rsidRDefault="002F041F">
            <w:pPr>
              <w:pStyle w:val="Normal6"/>
            </w:pPr>
            <w:r w:rsidRPr="002F041F">
              <w:rPr>
                <w:b/>
                <w:i/>
              </w:rPr>
              <w:t xml:space="preserve">Medlemsstaterne sikrer, at </w:t>
            </w:r>
            <w:r w:rsidRPr="002F041F">
              <w:rPr>
                <w:b/>
                <w:i/>
              </w:rPr>
              <w:t>rekreativt fiskeri efter alle stadier af europæisk ål (glas, gul, blank) er forbudt på alle levesteder."</w:t>
            </w:r>
          </w:p>
        </w:tc>
        <w:tc>
          <w:tcPr>
            <w:tcW w:w="4876" w:type="dxa"/>
            <w:hideMark/>
          </w:tcPr>
          <w:p w:rsidR="00C6436A" w:rsidRPr="002F041F" w:rsidRDefault="002F041F">
            <w:pPr>
              <w:pStyle w:val="Normal6"/>
              <w:rPr>
                <w:b/>
                <w:i/>
                <w:szCs w:val="24"/>
              </w:rPr>
            </w:pPr>
            <w:r w:rsidRPr="002F041F">
              <w:rPr>
                <w:b/>
                <w:i/>
              </w:rPr>
              <w:t>1.</w:t>
            </w:r>
            <w:r w:rsidRPr="002F041F">
              <w:rPr>
                <w:b/>
                <w:i/>
              </w:rPr>
              <w:tab/>
              <w:t>Hvis der vides at forekomme IUU-fiskeri, sendes de foreliggende data, herunder skøn, også til GFCM's sekretariat.</w:t>
            </w:r>
          </w:p>
        </w:tc>
      </w:tr>
      <w:tr w:rsidR="007233AC" w:rsidRPr="002F041F" w:rsidTr="009E2F79">
        <w:trPr>
          <w:jc w:val="center"/>
        </w:trPr>
        <w:tc>
          <w:tcPr>
            <w:tcW w:w="4876" w:type="dxa"/>
            <w:hideMark/>
          </w:tcPr>
          <w:p w:rsidR="00C6436A" w:rsidRPr="002F041F" w:rsidRDefault="00C6436A">
            <w:pPr>
              <w:pStyle w:val="Normal6"/>
            </w:pPr>
          </w:p>
        </w:tc>
        <w:tc>
          <w:tcPr>
            <w:tcW w:w="4876" w:type="dxa"/>
            <w:hideMark/>
          </w:tcPr>
          <w:p w:rsidR="00C6436A" w:rsidRPr="002F041F" w:rsidRDefault="002F041F">
            <w:pPr>
              <w:pStyle w:val="Normal6"/>
              <w:rPr>
                <w:b/>
                <w:i/>
                <w:szCs w:val="24"/>
              </w:rPr>
            </w:pPr>
            <w:r w:rsidRPr="002F041F">
              <w:rPr>
                <w:b/>
                <w:i/>
              </w:rPr>
              <w:t>2.</w:t>
            </w:r>
            <w:r w:rsidRPr="002F041F">
              <w:rPr>
                <w:b/>
                <w:i/>
              </w:rPr>
              <w:tab/>
              <w:t>Medlemsstaterne indberetter d</w:t>
            </w:r>
            <w:r w:rsidRPr="002F041F">
              <w:rPr>
                <w:b/>
                <w:i/>
              </w:rPr>
              <w:t>ata vedrørende opfedningsaktiviteter til GFCM's sekretariat i overensstemmelse med de frister, der er fastsat i henstilling GFCM/41/2017/1 om rapportering af akvakulturdata og oplysninger om ophævelse af henstilling GFCM/35/2011/6.</w:t>
            </w:r>
          </w:p>
        </w:tc>
      </w:tr>
      <w:tr w:rsidR="007233AC" w:rsidRPr="002F041F" w:rsidTr="009E2F79">
        <w:trPr>
          <w:jc w:val="center"/>
        </w:trPr>
        <w:tc>
          <w:tcPr>
            <w:tcW w:w="4876" w:type="dxa"/>
            <w:hideMark/>
          </w:tcPr>
          <w:p w:rsidR="00C6436A" w:rsidRPr="002F041F" w:rsidRDefault="00C6436A">
            <w:pPr>
              <w:pStyle w:val="Normal6"/>
            </w:pPr>
          </w:p>
        </w:tc>
        <w:tc>
          <w:tcPr>
            <w:tcW w:w="4876" w:type="dxa"/>
            <w:hideMark/>
          </w:tcPr>
          <w:p w:rsidR="00C6436A" w:rsidRPr="002F041F" w:rsidRDefault="002F041F">
            <w:pPr>
              <w:pStyle w:val="Normal6"/>
              <w:rPr>
                <w:b/>
                <w:i/>
                <w:szCs w:val="24"/>
              </w:rPr>
            </w:pPr>
            <w:r w:rsidRPr="002F041F">
              <w:rPr>
                <w:b/>
                <w:i/>
              </w:rPr>
              <w:t>3.</w:t>
            </w:r>
            <w:r w:rsidRPr="002F041F">
              <w:rPr>
                <w:b/>
                <w:i/>
              </w:rPr>
              <w:tab/>
              <w:t>Medlemsstaterne kan</w:t>
            </w:r>
            <w:r w:rsidRPr="002F041F">
              <w:rPr>
                <w:b/>
                <w:i/>
              </w:rPr>
              <w:t xml:space="preserve"> også sende GFCM's sekretariat eventuelle yderligere oplysninger på frivillig basis, om muligt senest til GFCM's 47. møde.</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GFCM/45/2022/1 ophævede henstilling GFCM/46/2023/16.</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28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14a</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104E2D" w:rsidRPr="002F041F" w:rsidRDefault="002F041F">
            <w:pPr>
              <w:pStyle w:val="ColumnHeading"/>
              <w:keepNext/>
              <w:rPr>
                <w:i w:val="0"/>
              </w:rPr>
            </w:pPr>
            <w:r w:rsidRPr="002F041F">
              <w:rPr>
                <w:i w:val="0"/>
              </w:rPr>
              <w:t>Artikel 14a</w:t>
            </w:r>
          </w:p>
        </w:tc>
        <w:tc>
          <w:tcPr>
            <w:tcW w:w="4876" w:type="dxa"/>
          </w:tcPr>
          <w:p w:rsidR="00104E2D" w:rsidRPr="002F041F" w:rsidRDefault="002F041F">
            <w:pPr>
              <w:pStyle w:val="ColumnHeading"/>
              <w:keepNext/>
              <w:rPr>
                <w:i w:val="0"/>
              </w:rPr>
            </w:pPr>
            <w:r w:rsidRPr="002F041F">
              <w:rPr>
                <w:i w:val="0"/>
              </w:rPr>
              <w:t>Artikel 14a</w:t>
            </w:r>
          </w:p>
        </w:tc>
      </w:tr>
      <w:tr w:rsidR="007233AC" w:rsidRPr="002F041F" w:rsidTr="00C6436A">
        <w:trPr>
          <w:jc w:val="center"/>
        </w:trPr>
        <w:tc>
          <w:tcPr>
            <w:tcW w:w="4876" w:type="dxa"/>
          </w:tcPr>
          <w:p w:rsidR="00104E2D" w:rsidRPr="002F041F" w:rsidRDefault="002F041F">
            <w:pPr>
              <w:pStyle w:val="ColumnHeading"/>
              <w:keepNext/>
              <w:rPr>
                <w:i w:val="0"/>
              </w:rPr>
            </w:pPr>
            <w:r w:rsidRPr="002F041F">
              <w:rPr>
                <w:i w:val="0"/>
              </w:rPr>
              <w:t>Flådeforvaltningsforanstaltninger</w:t>
            </w:r>
          </w:p>
        </w:tc>
        <w:tc>
          <w:tcPr>
            <w:tcW w:w="4876" w:type="dxa"/>
          </w:tcPr>
          <w:p w:rsidR="00104E2D" w:rsidRPr="002F041F" w:rsidRDefault="002F041F">
            <w:pPr>
              <w:pStyle w:val="ColumnHeading"/>
              <w:keepNext/>
              <w:rPr>
                <w:i w:val="0"/>
              </w:rPr>
            </w:pPr>
            <w:r w:rsidRPr="002F041F">
              <w:rPr>
                <w:i w:val="0"/>
              </w:rPr>
              <w:t>Flådeforvaltningsforanstaltninger</w:t>
            </w:r>
          </w:p>
        </w:tc>
      </w:tr>
      <w:tr w:rsidR="007233AC" w:rsidRPr="002F041F" w:rsidTr="00C6436A">
        <w:trPr>
          <w:jc w:val="center"/>
        </w:trPr>
        <w:tc>
          <w:tcPr>
            <w:tcW w:w="4876" w:type="dxa"/>
            <w:hideMark/>
          </w:tcPr>
          <w:p w:rsidR="00C6436A" w:rsidRPr="002F041F" w:rsidRDefault="002F041F">
            <w:pPr>
              <w:pStyle w:val="Normal6"/>
            </w:pPr>
            <w:r w:rsidRPr="002F041F">
              <w:t xml:space="preserve">Medlemsstaterne sikrer, at den samlede flådekapacitet eller fiskeriindsats for de flåder, som med bundtrawl fisker aktivt efter vigtige bestande, hvad angår bruttotonnage (BT) </w:t>
            </w:r>
            <w:r w:rsidRPr="002F041F">
              <w:rPr>
                <w:b/>
                <w:bCs/>
                <w:i/>
                <w:iCs/>
              </w:rPr>
              <w:t>og/eller bruttoregistertonnage (BRT)</w:t>
            </w:r>
            <w:r w:rsidRPr="002F041F">
              <w:t>, maskineffekt (kW) og antal fartøjer som re</w:t>
            </w:r>
            <w:r w:rsidRPr="002F041F">
              <w:t xml:space="preserve">gistreret i både nationale registre og GFCM-registre, ikke overstiger antallet af fartøjer eller fiskeriindsatsen for fartøjer, der fiskede med skovltrawl, efter dybvandsrejer i årene 2014-2017 eller en anden periode på tre på hinanden følgende år, f.eks. </w:t>
            </w:r>
            <w:r w:rsidRPr="002F041F">
              <w:t xml:space="preserve">2015-2018, forudsat at </w:t>
            </w:r>
            <w:r w:rsidRPr="002F041F">
              <w:rPr>
                <w:b/>
                <w:bCs/>
                <w:i/>
                <w:iCs/>
              </w:rPr>
              <w:t>stigningen</w:t>
            </w:r>
            <w:r w:rsidRPr="002F041F">
              <w:t xml:space="preserve"> ikke er over 50 % i forhold til referenceperioden 2014-2017."</w:t>
            </w:r>
          </w:p>
        </w:tc>
        <w:tc>
          <w:tcPr>
            <w:tcW w:w="4876" w:type="dxa"/>
            <w:hideMark/>
          </w:tcPr>
          <w:p w:rsidR="00C6436A" w:rsidRPr="002F041F" w:rsidRDefault="002F041F">
            <w:pPr>
              <w:pStyle w:val="Normal6"/>
              <w:rPr>
                <w:szCs w:val="24"/>
              </w:rPr>
            </w:pPr>
            <w:r w:rsidRPr="002F041F">
              <w:t>Medlemsstaterne sikrer, at den samlede flådekapacitet eller fiskeriindsats for de flåder, som med bundtrawl fisker aktivt efter vigtige bestande, hvad angår bru</w:t>
            </w:r>
            <w:r w:rsidRPr="002F041F">
              <w:t>ttotonnage (BT), maskineffekt (kW) og antal fartøjer som registreret i både nationale registre og GFCM-registre, ikke overstiger antallet af fartøjer eller fiskeriindsatsen for fartøjer, der fiskede med skovltrawl, efter dybvandsrejer i årene 2014-2017 ell</w:t>
            </w:r>
            <w:r w:rsidRPr="002F041F">
              <w:t xml:space="preserve">er en anden periode på tre på hinanden følgende år, f.eks. 2015-2018, forudsat at </w:t>
            </w:r>
            <w:r w:rsidRPr="002F041F">
              <w:rPr>
                <w:b/>
                <w:bCs/>
                <w:i/>
                <w:iCs/>
              </w:rPr>
              <w:t>niveauerne</w:t>
            </w:r>
            <w:r w:rsidRPr="002F041F">
              <w:t xml:space="preserve"> </w:t>
            </w:r>
            <w:r w:rsidRPr="002F041F">
              <w:rPr>
                <w:b/>
                <w:bCs/>
                <w:i/>
                <w:iCs/>
              </w:rPr>
              <w:t xml:space="preserve">for sådanne perioders vedkommende </w:t>
            </w:r>
            <w:r w:rsidRPr="002F041F">
              <w:t>ikke er over 50 % i forhold til referenceperioden 2014-2017."</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GFCM/46/2023/12</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29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7</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17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t>Bundtrawlere, der fisker efter gydestimer af rød kæmpereje, indstiller fiskeriet i 30 på hinanden følgende dage mellem marts og december.</w:t>
            </w:r>
          </w:p>
        </w:tc>
        <w:tc>
          <w:tcPr>
            <w:tcW w:w="4876" w:type="dxa"/>
            <w:hideMark/>
          </w:tcPr>
          <w:p w:rsidR="00C6436A" w:rsidRPr="002F041F" w:rsidRDefault="002F041F">
            <w:pPr>
              <w:pStyle w:val="Normal6"/>
              <w:rPr>
                <w:szCs w:val="24"/>
              </w:rPr>
            </w:pPr>
            <w:r w:rsidRPr="002F041F">
              <w:t>1.</w:t>
            </w:r>
            <w:r w:rsidRPr="002F041F">
              <w:tab/>
              <w:t>Bundtrawlere, der fisker efter gydestimer af rød kæmpereje</w:t>
            </w:r>
            <w:r w:rsidRPr="002F041F">
              <w:rPr>
                <w:b/>
                <w:bCs/>
                <w:i/>
                <w:iCs/>
              </w:rPr>
              <w:t xml:space="preserve"> og blårød reje</w:t>
            </w:r>
            <w:r w:rsidRPr="002F041F">
              <w:t xml:space="preserve"> indstiller fiskeriet i 30 på hinanden følgende dage mellem marts og december.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GFCM/45/2022/7</w:t>
      </w:r>
    </w:p>
    <w:p w:rsidR="00C6436A" w:rsidRPr="002F041F" w:rsidRDefault="002F041F" w:rsidP="00C6436A">
      <w:r w:rsidRPr="002F041F">
        <w:rPr>
          <w:rStyle w:val="HideTWBExt"/>
          <w:noProof w:val="0"/>
        </w:rPr>
        <w:lastRenderedPageBreak/>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w:t>
      </w:r>
      <w:r w:rsidRPr="002F041F">
        <w:t>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9</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20 – stk. 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 xml:space="preserve">Indtil den 8. januar 2026 kan medlemsstaterne </w:t>
            </w:r>
            <w:r w:rsidRPr="002F041F">
              <w:t>indrømme fartøjer på under 15 m en undtagelse fra første stykke, hvis de udelukkende fisker i medlemsstatens territorialfarvande og/eller aldrig tilbringe mere end 24 timer til havs fra afsejlingstidspunktet til tidspunktet for ankomst tilbage i havn.</w:t>
            </w:r>
          </w:p>
        </w:tc>
        <w:tc>
          <w:tcPr>
            <w:tcW w:w="4876" w:type="dxa"/>
            <w:hideMark/>
          </w:tcPr>
          <w:p w:rsidR="00C6436A" w:rsidRPr="002F041F" w:rsidRDefault="002F041F">
            <w:pPr>
              <w:pStyle w:val="Normal6"/>
              <w:rPr>
                <w:szCs w:val="24"/>
              </w:rPr>
            </w:pPr>
            <w:r w:rsidRPr="002F041F">
              <w:t>Indt</w:t>
            </w:r>
            <w:r w:rsidRPr="002F041F">
              <w:t xml:space="preserve">il den 8. januar 2026 kan medlemsstaterne indrømme fartøjer på under 15 m en undtagelse fra første stykke, hvis de udelukkende fisker i </w:t>
            </w:r>
            <w:r w:rsidRPr="002F041F">
              <w:rPr>
                <w:b/>
                <w:bCs/>
                <w:i/>
                <w:iCs/>
              </w:rPr>
              <w:t xml:space="preserve">områder på den kystnære side af den ydre grænse for </w:t>
            </w:r>
            <w:r w:rsidRPr="002F041F">
              <w:t>medlemsstatens territorialfarvande og/eller aldrig tilbringe mere en</w:t>
            </w:r>
            <w:r w:rsidRPr="002F041F">
              <w:t>d 24 timer til havs fra afsejlingstidspunktet til tidspunktet for ankomst tilbage i havn.</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 xml:space="preserve">This provision allows states to exempt vessels that fish exclusively within the territorial sea </w:t>
      </w:r>
      <w:r w:rsidRPr="002F041F">
        <w:rPr>
          <w:noProof w:val="0"/>
        </w:rPr>
        <w:t>from VMS</w:t>
      </w:r>
      <w:r w:rsidR="0065437A" w:rsidRPr="002F041F">
        <w:rPr>
          <w:noProof w:val="0"/>
        </w:rPr>
        <w:t xml:space="preserve"> </w:t>
      </w:r>
      <w:r w:rsidRPr="002F041F">
        <w:rPr>
          <w:noProof w:val="0"/>
        </w:rPr>
        <w:t>control requirements. The rationale behind this is that vessels operating close to the shore on short trips can be exempted from certain control requirements. In some Member States fishing activities also take place in internal waters closer to t</w:t>
      </w:r>
      <w:r w:rsidRPr="002F041F">
        <w:rPr>
          <w:noProof w:val="0"/>
        </w:rPr>
        <w:t>he shore, depending on where the baselines of the territorial sea are drawn. In such situations it should be avoided that only vessels operating within the territorial sea are exempt from VMS requirements, while vessels closes to the shoreline are not. The</w:t>
      </w:r>
      <w:r w:rsidRPr="002F041F">
        <w:rPr>
          <w:noProof w:val="0"/>
        </w:rPr>
        <w:t xml:space="preserve"> newly proposed wording encompasses both internal waters and the territorial sea.</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9</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w:t>
      </w:r>
      <w:r w:rsidRPr="002F041F">
        <w:t>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20 – stk. 3</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 xml:space="preserve">Medlemsstaterne underretter omgående Kommissionen om undtagelser, </w:t>
            </w:r>
            <w:r w:rsidRPr="002F041F">
              <w:rPr>
                <w:b/>
                <w:bCs/>
                <w:i/>
                <w:iCs/>
              </w:rPr>
              <w:t>der indrømmes i overensstemmelse med artikel 9, stk. 5, i forordning (EU) nr. 1224/2009,</w:t>
            </w:r>
            <w:r w:rsidRPr="002F041F">
              <w:t xml:space="preserve"> og om andre kontrolforanstaltninger, der sættes i værk </w:t>
            </w:r>
            <w:r w:rsidRPr="002F041F">
              <w:lastRenderedPageBreak/>
              <w:t>for at overvåge disse fartøjer. Kommissionen videresender straks oplysningerne til GFCM's sekretariat."</w:t>
            </w:r>
          </w:p>
        </w:tc>
        <w:tc>
          <w:tcPr>
            <w:tcW w:w="4876" w:type="dxa"/>
            <w:hideMark/>
          </w:tcPr>
          <w:p w:rsidR="00C6436A" w:rsidRPr="002F041F" w:rsidRDefault="002F041F">
            <w:pPr>
              <w:pStyle w:val="Normal6"/>
              <w:rPr>
                <w:szCs w:val="24"/>
              </w:rPr>
            </w:pPr>
            <w:r w:rsidRPr="002F041F">
              <w:lastRenderedPageBreak/>
              <w:t xml:space="preserve">Medlemsstaterne underretter omgående Kommissionen om undtagelser, </w:t>
            </w:r>
            <w:r w:rsidRPr="002F041F">
              <w:rPr>
                <w:b/>
                <w:bCs/>
                <w:i/>
                <w:iCs/>
              </w:rPr>
              <w:t>der indrømmes i overensstemmel</w:t>
            </w:r>
            <w:r w:rsidRPr="002F041F">
              <w:rPr>
                <w:b/>
                <w:bCs/>
                <w:i/>
                <w:iCs/>
              </w:rPr>
              <w:t>se med artikel 9, stk. 5, i forordning (EU) nr. 1224/2009,</w:t>
            </w:r>
            <w:r w:rsidRPr="002F041F">
              <w:t xml:space="preserve"> og om andre kontrolforanstaltninger, der sættes i værk </w:t>
            </w:r>
            <w:r w:rsidRPr="002F041F">
              <w:lastRenderedPageBreak/>
              <w:t>for at overvåge disse fartøjer. Kommissionen videresender straks oplysningerne til GFCM's sekretariat."</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w:t>
      </w:r>
      <w:r w:rsidRPr="002F041F">
        <w:rPr>
          <w:rStyle w:val="HideTWBExt"/>
          <w:noProof w:val="0"/>
        </w:rPr>
        <w:t>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11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23a</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9E2F79" w:rsidRPr="002F041F" w:rsidRDefault="002F041F">
            <w:pPr>
              <w:pStyle w:val="ColumnHeading"/>
              <w:keepNext/>
              <w:rPr>
                <w:i w:val="0"/>
              </w:rPr>
            </w:pPr>
            <w:r w:rsidRPr="002F041F">
              <w:rPr>
                <w:i w:val="0"/>
              </w:rPr>
              <w:t>Artikel 23a</w:t>
            </w:r>
          </w:p>
        </w:tc>
        <w:tc>
          <w:tcPr>
            <w:tcW w:w="4876" w:type="dxa"/>
          </w:tcPr>
          <w:p w:rsidR="009E2F79" w:rsidRPr="002F041F" w:rsidRDefault="002F041F">
            <w:pPr>
              <w:pStyle w:val="ColumnHeading"/>
              <w:keepNext/>
              <w:rPr>
                <w:i w:val="0"/>
              </w:rPr>
            </w:pPr>
            <w:r w:rsidRPr="002F041F">
              <w:rPr>
                <w:i w:val="0"/>
              </w:rPr>
              <w:t>Artikel 23a</w:t>
            </w:r>
          </w:p>
        </w:tc>
      </w:tr>
      <w:tr w:rsidR="007233AC" w:rsidRPr="002F041F" w:rsidTr="00C6436A">
        <w:trPr>
          <w:jc w:val="center"/>
        </w:trPr>
        <w:tc>
          <w:tcPr>
            <w:tcW w:w="4876" w:type="dxa"/>
          </w:tcPr>
          <w:p w:rsidR="009E2F79" w:rsidRPr="002F041F" w:rsidRDefault="002F041F">
            <w:pPr>
              <w:pStyle w:val="ColumnHeading"/>
              <w:keepNext/>
              <w:rPr>
                <w:i w:val="0"/>
              </w:rPr>
            </w:pPr>
            <w:r w:rsidRPr="002F041F">
              <w:rPr>
                <w:i w:val="0"/>
              </w:rPr>
              <w:t>Flådeforvaltningsforanstaltninger</w:t>
            </w:r>
          </w:p>
        </w:tc>
        <w:tc>
          <w:tcPr>
            <w:tcW w:w="4876" w:type="dxa"/>
          </w:tcPr>
          <w:p w:rsidR="009E2F79" w:rsidRPr="002F041F" w:rsidRDefault="002F041F">
            <w:pPr>
              <w:pStyle w:val="ColumnHeading"/>
              <w:keepNext/>
              <w:rPr>
                <w:i w:val="0"/>
              </w:rPr>
            </w:pPr>
            <w:r w:rsidRPr="002F041F">
              <w:rPr>
                <w:i w:val="0"/>
              </w:rPr>
              <w:t>Flådeforvaltningsforanstaltninger</w:t>
            </w:r>
          </w:p>
        </w:tc>
      </w:tr>
      <w:tr w:rsidR="007233AC" w:rsidRPr="002F041F" w:rsidTr="00C6436A">
        <w:trPr>
          <w:jc w:val="center"/>
        </w:trPr>
        <w:tc>
          <w:tcPr>
            <w:tcW w:w="4876" w:type="dxa"/>
            <w:hideMark/>
          </w:tcPr>
          <w:p w:rsidR="00C6436A" w:rsidRPr="002F041F" w:rsidRDefault="002F041F">
            <w:pPr>
              <w:pStyle w:val="Normal6"/>
            </w:pPr>
            <w:r w:rsidRPr="002F041F">
              <w:t>Medlemsstaterne sikrer, at den samlede flådekapacitet, hvad angår bruttotonnage (BT) </w:t>
            </w:r>
            <w:r w:rsidRPr="002F041F">
              <w:rPr>
                <w:b/>
                <w:bCs/>
                <w:i/>
                <w:iCs/>
              </w:rPr>
              <w:t>og/eller bruttoregistertonnage (BRT)</w:t>
            </w:r>
            <w:r w:rsidRPr="002F041F">
              <w:t xml:space="preserve">, maskineffekt (kW) og </w:t>
            </w:r>
            <w:r w:rsidRPr="002F041F">
              <w:t>antal fartøjer som registreret i både nationale registre og GFCM-registre, ikke overstiger flådekapaciteten for fartøjer, der fiskede med skovltrawl efter dybvandsrejer i 2019.</w:t>
            </w:r>
          </w:p>
        </w:tc>
        <w:tc>
          <w:tcPr>
            <w:tcW w:w="4876" w:type="dxa"/>
            <w:hideMark/>
          </w:tcPr>
          <w:p w:rsidR="00C6436A" w:rsidRPr="002F041F" w:rsidRDefault="002F041F">
            <w:pPr>
              <w:pStyle w:val="Normal6"/>
              <w:rPr>
                <w:szCs w:val="24"/>
              </w:rPr>
            </w:pPr>
            <w:r w:rsidRPr="002F041F">
              <w:t xml:space="preserve">Medlemsstaterne sikrer, at den samlede flådekapacitet </w:t>
            </w:r>
            <w:r w:rsidRPr="002F041F">
              <w:rPr>
                <w:b/>
                <w:bCs/>
                <w:i/>
                <w:iCs/>
              </w:rPr>
              <w:t>for flåder, der fisker me</w:t>
            </w:r>
            <w:r w:rsidRPr="002F041F">
              <w:rPr>
                <w:b/>
                <w:bCs/>
                <w:i/>
                <w:iCs/>
              </w:rPr>
              <w:t>d bundtrawl og aktivt fisker efter vigtige bestande</w:t>
            </w:r>
            <w:r w:rsidRPr="002F041F">
              <w:t>, hvad angår bruttotonnage (BT), maskineffekt (kW) og antal fartøjer som registreret i både nationale registre og GFCM-registre, ikke overstiger flådekapaciteten for fartøjer, der fiskede med skovltrawl ef</w:t>
            </w:r>
            <w:r w:rsidRPr="002F041F">
              <w:t>ter dybvandsrejer i 2019.</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GFCM/45/2022/7</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16</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29 – stk. 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 xml:space="preserve">Indtil den 8. januar 2026 kan medlemsstaterne indrømme fartøjer på under 15 m en undtagelse fra reglen i første </w:t>
            </w:r>
            <w:r w:rsidRPr="002F041F">
              <w:lastRenderedPageBreak/>
              <w:t xml:space="preserve">stykke, hvis de udelukkende fisker </w:t>
            </w:r>
            <w:r w:rsidRPr="002F041F">
              <w:rPr>
                <w:b/>
                <w:bCs/>
                <w:i/>
                <w:iCs/>
              </w:rPr>
              <w:t>i</w:t>
            </w:r>
            <w:r w:rsidRPr="002F041F">
              <w:t xml:space="preserve"> den pågældende medlemsstats territorialfarvande eller aldrig tilbringe mere end 24 timer til havs fra afsej</w:t>
            </w:r>
            <w:r w:rsidRPr="002F041F">
              <w:t xml:space="preserve">lingstidspunktet til tidspunktet for ankomst tilbage i havn. Medlemsstaterne underretter omgående Kommissionen om undtagelser, der indrømmes </w:t>
            </w:r>
            <w:r w:rsidRPr="002F041F">
              <w:rPr>
                <w:b/>
                <w:bCs/>
                <w:i/>
                <w:iCs/>
              </w:rPr>
              <w:t>i overensstemmelse med artikel 9, stk. 5, i forordning (EU) nr. 1224/2009</w:t>
            </w:r>
            <w:r w:rsidRPr="002F041F">
              <w:t>, og om andre kontrolforanstaltninger, der</w:t>
            </w:r>
            <w:r w:rsidRPr="002F041F">
              <w:t xml:space="preserve"> sættes i værk for at overvåge disse fartøjer. Kommissionen videresender straks oplysningerne til GFCM's sekretariat."</w:t>
            </w:r>
          </w:p>
        </w:tc>
        <w:tc>
          <w:tcPr>
            <w:tcW w:w="4876" w:type="dxa"/>
            <w:hideMark/>
          </w:tcPr>
          <w:p w:rsidR="00C6436A" w:rsidRPr="002F041F" w:rsidRDefault="002F041F">
            <w:pPr>
              <w:pStyle w:val="Normal6"/>
              <w:rPr>
                <w:szCs w:val="24"/>
              </w:rPr>
            </w:pPr>
            <w:r w:rsidRPr="002F041F">
              <w:lastRenderedPageBreak/>
              <w:t xml:space="preserve">Indtil den 8. januar 2026 kan medlemsstaterne indrømme fartøjer på under 15 m en undtagelse fra reglen i første </w:t>
            </w:r>
            <w:r w:rsidRPr="002F041F">
              <w:lastRenderedPageBreak/>
              <w:t xml:space="preserve">stykke, hvis de udelukkende fisker </w:t>
            </w:r>
            <w:r w:rsidRPr="002F041F">
              <w:rPr>
                <w:b/>
                <w:bCs/>
                <w:i/>
                <w:iCs/>
              </w:rPr>
              <w:t>på den kystnære side af den ydre grænse for</w:t>
            </w:r>
            <w:r w:rsidRPr="002F041F">
              <w:t xml:space="preserve"> den pågældende medlemsstats territorialfarvande eller aldrig tilb</w:t>
            </w:r>
            <w:r w:rsidRPr="002F041F">
              <w:t>ringe mere end 24 timer til havs fra afsejlingstidspunktet til tidspunktet for ankomst tilbage i havn.</w:t>
            </w:r>
            <w:r w:rsidR="0065437A" w:rsidRPr="002F041F">
              <w:t xml:space="preserve"> </w:t>
            </w:r>
            <w:r w:rsidRPr="002F041F">
              <w:t xml:space="preserve">Medlemsstaterne underretter omgående Kommissionen om undtagelser, der indrømmes, og om andre kontrolforanstaltninger, der sættes i værk for at overvåge </w:t>
            </w:r>
            <w:r w:rsidRPr="002F041F">
              <w:t>disse fartøjer. Kommissionen videresender straks oplysningerne til GFCM's sekretariat."</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This provision allows states to exempt vessels that fish exclusively within the territorial sea from</w:t>
      </w:r>
      <w:r w:rsidRPr="002F041F">
        <w:rPr>
          <w:noProof w:val="0"/>
        </w:rPr>
        <w:t xml:space="preserve"> VMS (Vessel Monitoring System) control requirements. The rationale behind this is that vessels operating close to the shore on short trips can be exempted from certain control requirements. In some Member States fishing activities also take place in inter</w:t>
      </w:r>
      <w:r w:rsidRPr="002F041F">
        <w:rPr>
          <w:noProof w:val="0"/>
        </w:rPr>
        <w:t xml:space="preserve">nal waters closer to the shore, depending on where the baselines of the territorial sea are drawn. In such situations it should be avoided that only vessels operating within the territorial sea are exempt from VMS requirements, while vessels closes to the </w:t>
      </w:r>
      <w:r w:rsidRPr="002F041F">
        <w:rPr>
          <w:noProof w:val="0"/>
        </w:rPr>
        <w:t>shoreline are not. The newly proposed wording encompasses both internal waters and the territorial sea.</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17</w:t>
      </w:r>
      <w:r w:rsidRPr="002F041F">
        <w:rPr>
          <w:rStyle w:val="HideTWBExt"/>
          <w:noProof w:val="0"/>
        </w:rPr>
        <w:t>&lt;/Article&gt;</w:t>
      </w:r>
    </w:p>
    <w:p w:rsidR="00C6436A" w:rsidRPr="002F041F" w:rsidRDefault="002F041F" w:rsidP="00C6436A">
      <w:pPr>
        <w:keepNext/>
      </w:pPr>
      <w:r w:rsidRPr="002F041F">
        <w:rPr>
          <w:rStyle w:val="HideTWBExt"/>
          <w:noProof w:val="0"/>
        </w:rPr>
        <w:t>&lt;DocAmend2</w:t>
      </w:r>
      <w:r w:rsidRPr="002F041F">
        <w:rPr>
          <w:rStyle w:val="HideTWBExt"/>
          <w:noProof w:val="0"/>
        </w:rPr>
        <w:t>&gt;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30 a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t xml:space="preserve">Medlemsstaterne vedtager fiskeriforvaltningsforanstaltninger eller nationale forvaltningsplaner inden for anvendelsesområdet </w:t>
            </w:r>
            <w:r w:rsidRPr="002F041F">
              <w:t>for denne afdeling for at sikre, at udnyttelsesniveauet for rød kæmpereje og blårød reje når maksimalt bæredygtigt udbytte og holdes på dette niveau.</w:t>
            </w:r>
          </w:p>
        </w:tc>
        <w:tc>
          <w:tcPr>
            <w:tcW w:w="4876" w:type="dxa"/>
            <w:hideMark/>
          </w:tcPr>
          <w:p w:rsidR="00C6436A" w:rsidRPr="002F041F" w:rsidRDefault="002F041F">
            <w:pPr>
              <w:pStyle w:val="Normal6"/>
              <w:rPr>
                <w:szCs w:val="24"/>
              </w:rPr>
            </w:pPr>
            <w:r w:rsidRPr="002F041F">
              <w:t>1.</w:t>
            </w:r>
            <w:r w:rsidRPr="002F041F">
              <w:tab/>
              <w:t>Medlemsstaterne vedtager fiskeriforvaltningsforanstaltninger eller nationale forvaltningsplaner inden f</w:t>
            </w:r>
            <w:r w:rsidRPr="002F041F">
              <w:t xml:space="preserve">or anvendelsesområdet for denne afdeling for at sikre, at udnyttelsesniveauet for </w:t>
            </w:r>
            <w:r w:rsidRPr="002F041F">
              <w:rPr>
                <w:b/>
                <w:bCs/>
                <w:i/>
                <w:iCs/>
              </w:rPr>
              <w:t>bestande af</w:t>
            </w:r>
            <w:r w:rsidRPr="002F041F">
              <w:t xml:space="preserve"> rød kæmpereje og blårød reje når maksimalt bæredygtigt udbytte og holdes på dette niveau.</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lastRenderedPageBreak/>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w:t>
      </w:r>
      <w:r w:rsidRPr="002F041F">
        <w:rPr>
          <w:noProof w:val="0"/>
        </w:rPr>
        <w:t>tilling GFCM/45/2022/6 og GFCM/46/2023/3</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22</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37</w:t>
      </w:r>
      <w:r w:rsidRPr="002F041F">
        <w:t xml:space="preserve"> a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t xml:space="preserve">Medlemsstaterne vedtager fiskeriforvaltningsforanstaltninger eller nationale forvaltningsplaner inden for anvendelsesområdet for denne afdeling for at sikre, at udnyttelsesniveauet for rød </w:t>
            </w:r>
            <w:r w:rsidRPr="002F041F">
              <w:t>kæmpereje og blårød reje når maksimalt bæredygtigt udbytte og holdes på dette niveau.</w:t>
            </w:r>
          </w:p>
        </w:tc>
        <w:tc>
          <w:tcPr>
            <w:tcW w:w="4876" w:type="dxa"/>
            <w:hideMark/>
          </w:tcPr>
          <w:p w:rsidR="00C6436A" w:rsidRPr="002F041F" w:rsidRDefault="002F041F">
            <w:pPr>
              <w:pStyle w:val="Normal6"/>
              <w:rPr>
                <w:szCs w:val="24"/>
              </w:rPr>
            </w:pPr>
            <w:r w:rsidRPr="002F041F">
              <w:t>1.</w:t>
            </w:r>
            <w:r w:rsidRPr="002F041F">
              <w:tab/>
              <w:t>Medlemsstaterne vedtager fiskeriforvaltningsforanstaltninger eller nationale forvaltningsplaner inden for anvendelsesområdet for denne afdeling for at sikre, at udnytt</w:t>
            </w:r>
            <w:r w:rsidRPr="002F041F">
              <w:t xml:space="preserve">elsesniveauet for </w:t>
            </w:r>
            <w:r w:rsidRPr="002F041F">
              <w:rPr>
                <w:b/>
                <w:bCs/>
                <w:i/>
                <w:iCs/>
              </w:rPr>
              <w:t>bestande af</w:t>
            </w:r>
            <w:r w:rsidRPr="002F041F">
              <w:t xml:space="preserve"> rød kæmpereje og blårød reje når maksimalt bæredygtigt udbytte og holdes på dette niveau.</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GFCM/45/2022/5</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23</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44 – stk. 3</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3.</w:t>
            </w:r>
            <w:r w:rsidRPr="002F041F">
              <w:tab/>
              <w:t xml:space="preserve">Når en </w:t>
            </w:r>
            <w:r w:rsidRPr="002F041F">
              <w:t>lukningsudløsende fangstmængde af ædelkoral som omhandlet i stk. 4 er nået, lukker medlemsstaterne det pågældende område for alt fiskeri efter ædelkoral. Medlemsstaten underretter omgående Kommissionen. Kommissionen underretter så snart som muligt GFCM's s</w:t>
            </w:r>
            <w:r w:rsidRPr="002F041F">
              <w:t>ekretariat."</w:t>
            </w:r>
          </w:p>
        </w:tc>
        <w:tc>
          <w:tcPr>
            <w:tcW w:w="4876" w:type="dxa"/>
            <w:hideMark/>
          </w:tcPr>
          <w:p w:rsidR="00C6436A" w:rsidRPr="002F041F" w:rsidRDefault="002F041F">
            <w:pPr>
              <w:pStyle w:val="Normal6"/>
              <w:rPr>
                <w:szCs w:val="24"/>
              </w:rPr>
            </w:pPr>
            <w:r w:rsidRPr="002F041F">
              <w:t>3.</w:t>
            </w:r>
            <w:r w:rsidRPr="002F041F">
              <w:tab/>
              <w:t xml:space="preserve">Når en lukningsudløsende fangstmængde af ædelkoral som omhandlet i stk. 4 og 5 er nået, lukker medlemsstaterne </w:t>
            </w:r>
            <w:r w:rsidRPr="002F041F">
              <w:rPr>
                <w:b/>
                <w:bCs/>
                <w:i/>
                <w:iCs/>
              </w:rPr>
              <w:t xml:space="preserve">af forsigtighedshensyn </w:t>
            </w:r>
            <w:r w:rsidRPr="002F041F">
              <w:t>det pågældende område for alt fiskeri efter ædelkoral. Medlemsstaten underretter omgående Kommissionen. Ko</w:t>
            </w:r>
            <w:r w:rsidRPr="002F041F">
              <w:t>mmissionen videresender rapporten til GFCM's sekretariat."</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 xml:space="preserve">Artikel 1, stk. 23, i forslaget, som ændrer artikel 44, stk. 3, i forordning (EU) 2023/2124, skal bringes i overensstemmelse med </w:t>
      </w:r>
      <w:r w:rsidRPr="002F041F">
        <w:rPr>
          <w:noProof w:val="0"/>
        </w:rPr>
        <w:t>stk. 22 i GFCM-henstilling GFCM/43/2019/4 for at sikre en konsekvent gennemførelse af bestemmelsen ved at tilføje den nuværende manglende ordlyd: "af forsigtighedshensyn"</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w:t>
      </w:r>
      <w:r w:rsidRPr="002F041F">
        <w:rPr>
          <w:rStyle w:val="HideTWBExt"/>
          <w:noProof w:val="0"/>
        </w:rPr>
        <w:t>DocAmend&gt;</w:t>
      </w:r>
    </w:p>
    <w:p w:rsidR="00C6436A" w:rsidRPr="002F041F" w:rsidRDefault="002F041F" w:rsidP="00C6436A">
      <w:pPr>
        <w:pStyle w:val="NormalBold"/>
      </w:pPr>
      <w:r w:rsidRPr="002F041F">
        <w:rPr>
          <w:rStyle w:val="HideTWBExt"/>
          <w:noProof w:val="0"/>
        </w:rPr>
        <w:t>&lt;Article&gt;</w:t>
      </w:r>
      <w:r w:rsidRPr="002F041F">
        <w:t>Artikel 1 – stk. 1 – nr. 24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55</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Gældende ordlyd</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9E2F79">
            <w:pPr>
              <w:pStyle w:val="Normal6"/>
              <w:rPr>
                <w:szCs w:val="24"/>
              </w:rPr>
            </w:pPr>
            <w:r w:rsidRPr="002F041F">
              <w:rPr>
                <w:b/>
                <w:i/>
              </w:rPr>
              <w:t>24a)</w:t>
            </w:r>
            <w:r w:rsidRPr="002F041F">
              <w:rPr>
                <w:b/>
                <w:i/>
              </w:rPr>
              <w:tab/>
              <w:t>Artikel 55 affattes således:</w:t>
            </w:r>
          </w:p>
        </w:tc>
      </w:tr>
      <w:tr w:rsidR="007233AC" w:rsidRPr="002F041F" w:rsidTr="00C6436A">
        <w:trPr>
          <w:jc w:val="center"/>
        </w:trPr>
        <w:tc>
          <w:tcPr>
            <w:tcW w:w="4876" w:type="dxa"/>
            <w:hideMark/>
          </w:tcPr>
          <w:p w:rsidR="00C6436A" w:rsidRPr="002F041F" w:rsidRDefault="002F041F">
            <w:pPr>
              <w:pStyle w:val="Normal6"/>
              <w:rPr>
                <w:b/>
                <w:i/>
              </w:rPr>
            </w:pPr>
            <w:r w:rsidRPr="002F041F">
              <w:t>1.</w:t>
            </w:r>
            <w:r w:rsidRPr="002F041F">
              <w:rPr>
                <w:b/>
                <w:i/>
              </w:rPr>
              <w:tab/>
            </w:r>
            <w:r w:rsidRPr="002F041F">
              <w:t>I</w:t>
            </w:r>
            <w:r w:rsidRPr="002F041F">
              <w:rPr>
                <w:b/>
                <w:bCs/>
                <w:i/>
                <w:iCs/>
              </w:rPr>
              <w:t xml:space="preserve"> en overgangsperiode på tre år (2020-2022) kan medlemsstaterne deltage i pilotfasen af</w:t>
            </w:r>
            <w:r w:rsidRPr="002F041F">
              <w:t xml:space="preserve"> fangstdokumentationsordningen </w:t>
            </w:r>
            <w:r w:rsidRPr="002F041F">
              <w:rPr>
                <w:b/>
                <w:bCs/>
                <w:i/>
                <w:iCs/>
              </w:rPr>
              <w:t>med henblik på at identificere oprindelsen af ædelkoral, der er høstet i GFCM-anvendelsesområdet, og gennemføre følgende sporbarhedsforanst</w:t>
            </w:r>
            <w:r w:rsidRPr="002F041F">
              <w:rPr>
                <w:b/>
                <w:bCs/>
                <w:i/>
                <w:iCs/>
              </w:rPr>
              <w:t>altninger:</w:t>
            </w:r>
          </w:p>
        </w:tc>
        <w:tc>
          <w:tcPr>
            <w:tcW w:w="4876" w:type="dxa"/>
            <w:hideMark/>
          </w:tcPr>
          <w:p w:rsidR="00C6436A" w:rsidRPr="002F041F" w:rsidRDefault="002F041F">
            <w:pPr>
              <w:pStyle w:val="Normal6"/>
              <w:rPr>
                <w:szCs w:val="24"/>
              </w:rPr>
            </w:pPr>
            <w:r w:rsidRPr="002F041F">
              <w:rPr>
                <w:b/>
                <w:i/>
              </w:rPr>
              <w:t>“</w:t>
            </w:r>
            <w:r w:rsidRPr="002F041F">
              <w:t>1.</w:t>
            </w:r>
            <w:r w:rsidRPr="002F041F">
              <w:rPr>
                <w:b/>
                <w:i/>
              </w:rPr>
              <w:tab/>
            </w:r>
            <w:r w:rsidRPr="002F041F">
              <w:rPr>
                <w:b/>
                <w:bCs/>
                <w:i/>
                <w:iCs/>
              </w:rPr>
              <w:t xml:space="preserve">Medlemsstaterne gennemfører </w:t>
            </w:r>
            <w:r w:rsidRPr="002F041F">
              <w:t xml:space="preserve">fangstdokumentationsordningen </w:t>
            </w:r>
            <w:r w:rsidRPr="002F041F">
              <w:rPr>
                <w:b/>
                <w:bCs/>
                <w:i/>
                <w:iCs/>
              </w:rPr>
              <w:t>for fangst af ædelkoral i dens fulde udstrækning senest den ...[ikrafttrædelsesdatoen] i hele forsyningskæden for at muliggøre sporbarheden af ædelkoral (Corallium rubrum), der høstes</w:t>
            </w:r>
            <w:r w:rsidRPr="002F041F">
              <w:rPr>
                <w:b/>
                <w:bCs/>
                <w:i/>
                <w:iCs/>
              </w:rPr>
              <w:t xml:space="preserve"> i Middelhavet, og for at bidrage til bekæmpelsen af ulovligt, ureguleret og urapporteret fiskeri (IUU-fiskeri).</w:t>
            </w:r>
          </w:p>
        </w:tc>
      </w:tr>
      <w:tr w:rsidR="007233AC" w:rsidRPr="002F041F" w:rsidTr="00C6436A">
        <w:trPr>
          <w:jc w:val="center"/>
        </w:trPr>
        <w:tc>
          <w:tcPr>
            <w:tcW w:w="4876" w:type="dxa"/>
            <w:hideMark/>
          </w:tcPr>
          <w:p w:rsidR="00C6436A" w:rsidRPr="002F041F" w:rsidRDefault="002F041F">
            <w:pPr>
              <w:pStyle w:val="Normal6"/>
              <w:rPr>
                <w:b/>
                <w:i/>
              </w:rPr>
            </w:pPr>
            <w:r w:rsidRPr="002F041F">
              <w:rPr>
                <w:b/>
                <w:i/>
              </w:rPr>
              <w:t>a)</w:t>
            </w:r>
            <w:r w:rsidRPr="002F041F">
              <w:rPr>
                <w:b/>
                <w:i/>
              </w:rPr>
              <w:tab/>
              <w:t xml:space="preserve">et valideret høstcertifikat som omhandlet i bilag X, der er udstedt af flagstatens kompetente myndigheder, skal ledsage alle landinger og </w:t>
            </w:r>
            <w:r w:rsidRPr="002F041F">
              <w:rPr>
                <w:b/>
                <w:i/>
              </w:rPr>
              <w:t>enhver import, eksport og reeksport af høstet ædelkoral</w:t>
            </w:r>
          </w:p>
        </w:tc>
        <w:tc>
          <w:tcPr>
            <w:tcW w:w="4876" w:type="dxa"/>
          </w:tcPr>
          <w:p w:rsidR="00C6436A" w:rsidRPr="002F041F" w:rsidRDefault="00C6436A">
            <w:pPr>
              <w:pStyle w:val="Normal6"/>
              <w:rPr>
                <w:b/>
                <w:i/>
              </w:rPr>
            </w:pPr>
          </w:p>
        </w:tc>
      </w:tr>
      <w:tr w:rsidR="007233AC" w:rsidRPr="002F041F" w:rsidTr="00C6436A">
        <w:trPr>
          <w:jc w:val="center"/>
        </w:trPr>
        <w:tc>
          <w:tcPr>
            <w:tcW w:w="4876" w:type="dxa"/>
            <w:hideMark/>
          </w:tcPr>
          <w:p w:rsidR="00C6436A" w:rsidRPr="002F041F" w:rsidRDefault="002F041F">
            <w:pPr>
              <w:pStyle w:val="Normal6"/>
              <w:rPr>
                <w:b/>
                <w:i/>
              </w:rPr>
            </w:pPr>
            <w:r w:rsidRPr="002F041F">
              <w:rPr>
                <w:b/>
                <w:i/>
              </w:rPr>
              <w:t>b)</w:t>
            </w:r>
            <w:r w:rsidRPr="002F041F">
              <w:rPr>
                <w:b/>
                <w:i/>
              </w:rPr>
              <w:tab/>
              <w:t>hvert certifikat skal have et unikt dokumentidentifikationsnummer. Nummeret skal være specifikt for flagstaten og tildeles hver fisker eller hvert fartøj med tilladelse. Certifikaterne kan ikke o</w:t>
            </w:r>
            <w:r w:rsidRPr="002F041F">
              <w:rPr>
                <w:b/>
                <w:i/>
              </w:rPr>
              <w:t>verdrages til en anden fisker eller et andet fartøj med tilladelse</w:t>
            </w:r>
          </w:p>
        </w:tc>
        <w:tc>
          <w:tcPr>
            <w:tcW w:w="4876" w:type="dxa"/>
          </w:tcPr>
          <w:p w:rsidR="00C6436A" w:rsidRPr="002F041F" w:rsidRDefault="00C6436A">
            <w:pPr>
              <w:pStyle w:val="Normal6"/>
              <w:rPr>
                <w:b/>
                <w:i/>
              </w:rPr>
            </w:pPr>
          </w:p>
        </w:tc>
      </w:tr>
      <w:tr w:rsidR="007233AC" w:rsidRPr="002F041F" w:rsidTr="00C6436A">
        <w:trPr>
          <w:jc w:val="center"/>
        </w:trPr>
        <w:tc>
          <w:tcPr>
            <w:tcW w:w="4876" w:type="dxa"/>
            <w:hideMark/>
          </w:tcPr>
          <w:p w:rsidR="00C6436A" w:rsidRPr="002F041F" w:rsidRDefault="002F041F">
            <w:pPr>
              <w:pStyle w:val="Normal6"/>
              <w:rPr>
                <w:b/>
                <w:i/>
              </w:rPr>
            </w:pPr>
            <w:r w:rsidRPr="002F041F">
              <w:rPr>
                <w:b/>
                <w:i/>
              </w:rPr>
              <w:t>c)</w:t>
            </w:r>
            <w:r w:rsidRPr="002F041F">
              <w:rPr>
                <w:b/>
                <w:i/>
              </w:rPr>
              <w:tab/>
              <w:t>medlemsstaterne må først validere høstcertifikater for ædelkoral, når det ved kontrol af støttedokumenterne og de dertil hørende partier er konstateret, at alle oplysningerne i certifi</w:t>
            </w:r>
            <w:r w:rsidRPr="002F041F">
              <w:rPr>
                <w:b/>
                <w:i/>
              </w:rPr>
              <w:t>katet er korrekte.</w:t>
            </w:r>
          </w:p>
        </w:tc>
        <w:tc>
          <w:tcPr>
            <w:tcW w:w="4876" w:type="dxa"/>
          </w:tcPr>
          <w:p w:rsidR="00C6436A" w:rsidRPr="002F041F" w:rsidRDefault="00C6436A">
            <w:pPr>
              <w:pStyle w:val="Normal6"/>
              <w:rPr>
                <w:b/>
                <w:i/>
              </w:rPr>
            </w:pPr>
          </w:p>
        </w:tc>
      </w:tr>
      <w:tr w:rsidR="007233AC" w:rsidRPr="002F041F" w:rsidTr="00C6436A">
        <w:trPr>
          <w:jc w:val="center"/>
        </w:trPr>
        <w:tc>
          <w:tcPr>
            <w:tcW w:w="4876" w:type="dxa"/>
            <w:hideMark/>
          </w:tcPr>
          <w:p w:rsidR="00C6436A" w:rsidRPr="002F041F" w:rsidRDefault="002F041F">
            <w:pPr>
              <w:pStyle w:val="Normal6"/>
              <w:rPr>
                <w:b/>
                <w:i/>
              </w:rPr>
            </w:pPr>
            <w:r w:rsidRPr="002F041F">
              <w:rPr>
                <w:b/>
                <w:i/>
              </w:rPr>
              <w:lastRenderedPageBreak/>
              <w:t>2.</w:t>
            </w:r>
            <w:r w:rsidRPr="002F041F">
              <w:rPr>
                <w:b/>
                <w:i/>
              </w:rPr>
              <w:tab/>
            </w:r>
            <w:r w:rsidRPr="002F041F">
              <w:rPr>
                <w:b/>
                <w:bCs/>
                <w:i/>
                <w:iCs/>
              </w:rPr>
              <w:t>Medlemsstater, der deltager i pilotfasen, aflægger rapport til Kommissionen, og Kommissionen aflægger tilsvarende rapport til GFCM's sekretariat, om gennemførelsen af pilotfasen med henblik på en permanent fangstdokumentationsordnin</w:t>
            </w:r>
            <w:r w:rsidRPr="002F041F">
              <w:rPr>
                <w:b/>
                <w:bCs/>
                <w:i/>
                <w:iCs/>
              </w:rPr>
              <w:t>g for ædelkoral.</w:t>
            </w:r>
          </w:p>
        </w:tc>
        <w:tc>
          <w:tcPr>
            <w:tcW w:w="4876" w:type="dxa"/>
            <w:hideMark/>
          </w:tcPr>
          <w:p w:rsidR="00C6436A" w:rsidRPr="002F041F" w:rsidRDefault="002F041F">
            <w:pPr>
              <w:pStyle w:val="Normal6"/>
              <w:rPr>
                <w:szCs w:val="24"/>
              </w:rPr>
            </w:pPr>
            <w:r w:rsidRPr="002F041F">
              <w:rPr>
                <w:b/>
                <w:i/>
              </w:rPr>
              <w:t>2.</w:t>
            </w:r>
            <w:r w:rsidRPr="002F041F">
              <w:rPr>
                <w:b/>
                <w:i/>
              </w:rPr>
              <w:tab/>
            </w:r>
            <w:r w:rsidRPr="002F041F">
              <w:rPr>
                <w:b/>
                <w:bCs/>
                <w:i/>
                <w:iCs/>
              </w:rPr>
              <w:t>Den papirbaserede dokumentationsordning for fangst af ædelkoral, der er fastsat i stk. 1, berører ikke andre gældende nationale sporbarhedssystemer, der sikrer samme grad af kontrol med sporbarheden af ædelkoralvarer i medlemsstaterne.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Den papirbaserede dokumentationsordning for fangst af ædelkoral gælder for første landinger, eksportvarer og reeksportvarer. Indenlandsk handel indgår ikke i valideringskæden.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 xml:space="preserve">Uanset stk. 1 fastsættes der en overgangsperiode på et år, hvor </w:t>
            </w:r>
            <w:r w:rsidRPr="002F041F">
              <w:rPr>
                <w:b/>
                <w:i/>
              </w:rPr>
              <w:t>ædelkoral, der er oplagret inden den … [ikrafttrædelsesdatoen], kan eksporteres eller reeksporteres uden at fangstafsnittet på fangstattesten er valideret.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For at sikre en forbindelse mellem validerede fangstdokumenter under ordningen og de ædelkoralp</w:t>
            </w:r>
            <w:r w:rsidRPr="002F041F">
              <w:rPr>
                <w:b/>
                <w:i/>
              </w:rPr>
              <w:t>artier, som de vedrører, kan medlemsstaterne indføre et mærkningssystem.</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6.</w:t>
            </w:r>
            <w:r w:rsidRPr="002F041F">
              <w:rPr>
                <w:b/>
                <w:i/>
              </w:rPr>
              <w:tab/>
              <w:t>Alle varepartier af ædelkoral, der importeres, eksporteres eller reeksporteres fra deres oprindelsessted, skal ledsages af en valideret attest som omhandlet i bilag XX eller et t</w:t>
            </w:r>
            <w:r w:rsidRPr="002F041F">
              <w:rPr>
                <w:b/>
                <w:i/>
              </w:rPr>
              <w:t>ilsvarende dokument såsom det høstcertifikat, der anvendes i de eksporterende medlemsstater.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7.</w:t>
            </w:r>
            <w:r w:rsidRPr="002F041F">
              <w:rPr>
                <w:b/>
                <w:i/>
              </w:rPr>
              <w:tab/>
              <w:t xml:space="preserve">Hvert høstcertifikat skal have et unikt dokumentidentifikationsnummer. Nummeret skal være specifikt for flagstaten og tildeles hver fisker eller hvert </w:t>
            </w:r>
            <w:r w:rsidRPr="002F041F">
              <w:rPr>
                <w:b/>
                <w:i/>
              </w:rPr>
              <w:t>høstfartøj. Certifikaterne kan ikke overdrages til en anden fisker eller et andet høstfartøj.</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8.</w:t>
            </w:r>
            <w:r w:rsidRPr="002F041F">
              <w:rPr>
                <w:b/>
                <w:i/>
              </w:rPr>
              <w:tab/>
              <w:t>Medlemsstaterne må først validere høstcertifikater for ædelkoral, når alle oplysningerne indeholdt i fangstdokumentationsordningen for ædelkoral er blevet ko</w:t>
            </w:r>
            <w:r w:rsidRPr="002F041F">
              <w:rPr>
                <w:b/>
                <w:i/>
              </w:rPr>
              <w:t>nstateret korrekte ved verifikationen af bilagene og den pågældende forsendelse.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9.</w:t>
            </w:r>
            <w:r w:rsidRPr="002F041F">
              <w:rPr>
                <w:b/>
                <w:i/>
              </w:rPr>
              <w:tab/>
              <w:t>Medlemsstaterne aflægger rapport til GFCM's sekretariat om deres fangstdokumentationsordning samt eventuelle mærknings- og identifikationskrav og sporbarhedskrav for ædel</w:t>
            </w:r>
            <w:r w:rsidRPr="002F041F">
              <w:rPr>
                <w:b/>
                <w:i/>
              </w:rPr>
              <w:t>koralhøst, som skal være i overensstemmelse med bestemmelserne i denne artikel for effektivt at sikre, at sporbarhedsmålet opfyldes.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10.</w:t>
            </w:r>
            <w:r w:rsidRPr="002F041F">
              <w:rPr>
                <w:b/>
                <w:i/>
              </w:rPr>
              <w:tab/>
              <w:t xml:space="preserve">Reeksport af varer, der er importeret i henhold til et høstcertifikat i overensstemmelse med denne artikel, tillades </w:t>
            </w:r>
            <w:r w:rsidRPr="002F041F">
              <w:rPr>
                <w:b/>
                <w:i/>
              </w:rPr>
              <w:t>ved, at de kompetente myndigheder i de medlemsstater, hvorfra reeksporten skal finde sted, validerer afsnittet "reeksport" i det høstcertifikat, der er omhandlet i bilag XX, eller en kopi heraf, hvori de fiskevarer, der skal reeksporteres, er angivet som e</w:t>
            </w:r>
            <w:r w:rsidRPr="002F041F">
              <w:rPr>
                <w:b/>
                <w:i/>
              </w:rPr>
              <w:t>n del af de importerede varer.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AC7816">
            <w:pPr>
              <w:pStyle w:val="Normal6"/>
              <w:rPr>
                <w:szCs w:val="24"/>
              </w:rPr>
            </w:pPr>
            <w:r w:rsidRPr="002F041F">
              <w:rPr>
                <w:b/>
                <w:i/>
              </w:rPr>
              <w:t>11.</w:t>
            </w:r>
            <w:r w:rsidRPr="002F041F">
              <w:rPr>
                <w:b/>
                <w:i/>
              </w:rPr>
              <w:tab/>
              <w:t>Når en medlemsstat konstaterer misligholdelse af forpligtelserne i denne artikel, underretter den flagstaten og Kommissionen, som videresender oplysningen til GFCM's sekretariat.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12.</w:t>
            </w:r>
            <w:r w:rsidRPr="002F041F">
              <w:rPr>
                <w:b/>
                <w:i/>
              </w:rPr>
              <w:tab/>
              <w:t>Medlemsstaterne underretter GFCM's</w:t>
            </w:r>
            <w:r w:rsidRPr="002F041F">
              <w:rPr>
                <w:b/>
                <w:i/>
              </w:rPr>
              <w:t xml:space="preserve"> sekretariat om deres kompetente myndigheder med ansvar for validering, kontrol og verifikation af høstcertifikater samt kontaktpunkter for fangstdokumentationsordningen, valideringssegl og andre oplysninger, der er relevante for gennemførelsen af fangstdo</w:t>
            </w:r>
            <w:r w:rsidRPr="002F041F">
              <w:rPr>
                <w:b/>
                <w:i/>
              </w:rPr>
              <w:t>kumentationsordningen.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13.</w:t>
            </w:r>
            <w:r w:rsidRPr="002F041F">
              <w:rPr>
                <w:b/>
                <w:i/>
              </w:rPr>
              <w:tab/>
              <w:t>Medlemsstaterne opbevarer de validerede papirbaserede ædelkoralhøstcertifikater i en periode på ti år.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14.</w:t>
            </w:r>
            <w:r w:rsidRPr="002F041F">
              <w:rPr>
                <w:b/>
                <w:i/>
              </w:rPr>
              <w:tab/>
              <w:t>Medlemsstaterne aflægger hvert år rapport til GFCM's sekretariat om gennemførelsen af den papirbaserede dokumentations</w:t>
            </w:r>
            <w:r w:rsidRPr="002F041F">
              <w:rPr>
                <w:b/>
                <w:i/>
              </w:rPr>
              <w:t xml:space="preserve">ordning for fangst af ædelkoral med henblik på at forsyne tilsynsudvalget med detaljerede oplysninger og statistiske data om bl.a. årlige validerede mængder, årlige handlede mængder, antal fangstattester, der er blevet valideret, og eventuelle </w:t>
            </w:r>
            <w:r w:rsidRPr="002F041F">
              <w:rPr>
                <w:b/>
                <w:i/>
              </w:rPr>
              <w:lastRenderedPageBreak/>
              <w:t>relevante el</w:t>
            </w:r>
            <w:r w:rsidRPr="002F041F">
              <w:rPr>
                <w:b/>
                <w:i/>
              </w:rPr>
              <w:t>ementer, der anses for at give oplysninger om situationen. Rapporterne forelægges GFCM's sekretariat senest 30 dage før tilsynsudvalget træder sammen."</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4B7199" w:rsidRPr="002F041F" w:rsidRDefault="002F041F" w:rsidP="00C6436A">
      <w:pPr>
        <w:pStyle w:val="JustificationTitle"/>
        <w:rPr>
          <w:noProof w:val="0"/>
        </w:rPr>
      </w:pPr>
      <w:r w:rsidRPr="002F041F">
        <w:rPr>
          <w:noProof w:val="0"/>
        </w:rPr>
        <w:t>(https://eur-lex.europa.eu/legal-content/DA/TXT/?uri=CELEX:32023R2124)</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GFCM/46/2023/19</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29</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60a</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9E2F79" w:rsidRPr="002F041F" w:rsidRDefault="002F041F">
            <w:pPr>
              <w:pStyle w:val="ColumnHeading"/>
              <w:keepNext/>
              <w:rPr>
                <w:i w:val="0"/>
              </w:rPr>
            </w:pPr>
            <w:r w:rsidRPr="002F041F">
              <w:rPr>
                <w:i w:val="0"/>
              </w:rPr>
              <w:t>Artikel 60a</w:t>
            </w:r>
          </w:p>
        </w:tc>
        <w:tc>
          <w:tcPr>
            <w:tcW w:w="4876" w:type="dxa"/>
          </w:tcPr>
          <w:p w:rsidR="009E2F79" w:rsidRPr="002F041F" w:rsidRDefault="002F041F">
            <w:pPr>
              <w:pStyle w:val="ColumnHeading"/>
              <w:keepNext/>
              <w:rPr>
                <w:i w:val="0"/>
              </w:rPr>
            </w:pPr>
            <w:r w:rsidRPr="002F041F">
              <w:rPr>
                <w:i w:val="0"/>
              </w:rPr>
              <w:t>Artikel 60a</w:t>
            </w:r>
          </w:p>
        </w:tc>
      </w:tr>
      <w:tr w:rsidR="007233AC" w:rsidRPr="002F041F" w:rsidTr="00C6436A">
        <w:trPr>
          <w:jc w:val="center"/>
        </w:trPr>
        <w:tc>
          <w:tcPr>
            <w:tcW w:w="4876" w:type="dxa"/>
          </w:tcPr>
          <w:p w:rsidR="009E2F79" w:rsidRPr="002F041F" w:rsidRDefault="002F041F">
            <w:pPr>
              <w:pStyle w:val="ColumnHeading"/>
              <w:keepNext/>
              <w:rPr>
                <w:i w:val="0"/>
              </w:rPr>
            </w:pPr>
            <w:r w:rsidRPr="002F041F">
              <w:rPr>
                <w:i w:val="0"/>
              </w:rPr>
              <w:t>Flådeforvaltningsforanstaltninger</w:t>
            </w:r>
          </w:p>
        </w:tc>
        <w:tc>
          <w:tcPr>
            <w:tcW w:w="4876" w:type="dxa"/>
          </w:tcPr>
          <w:p w:rsidR="009E2F79" w:rsidRPr="002F041F" w:rsidRDefault="002F041F">
            <w:pPr>
              <w:pStyle w:val="ColumnHeading"/>
              <w:keepNext/>
              <w:rPr>
                <w:i w:val="0"/>
              </w:rPr>
            </w:pPr>
            <w:r w:rsidRPr="002F041F">
              <w:rPr>
                <w:i w:val="0"/>
              </w:rPr>
              <w:t>Flådeforvaltningsforanstaltninger</w:t>
            </w:r>
          </w:p>
        </w:tc>
      </w:tr>
      <w:tr w:rsidR="007233AC" w:rsidRPr="002F041F" w:rsidTr="00C6436A">
        <w:trPr>
          <w:jc w:val="center"/>
        </w:trPr>
        <w:tc>
          <w:tcPr>
            <w:tcW w:w="4876" w:type="dxa"/>
            <w:hideMark/>
          </w:tcPr>
          <w:p w:rsidR="00C6436A" w:rsidRPr="002F041F" w:rsidRDefault="002F041F">
            <w:pPr>
              <w:pStyle w:val="Normal6"/>
            </w:pPr>
            <w:r w:rsidRPr="002F041F">
              <w:t xml:space="preserve">Medlemsstaterne sikrer, at den samlede kapacitet for de flåder, der </w:t>
            </w:r>
            <w:r w:rsidRPr="002F041F">
              <w:rPr>
                <w:b/>
                <w:bCs/>
                <w:i/>
                <w:iCs/>
              </w:rPr>
              <w:t xml:space="preserve">hører </w:t>
            </w:r>
            <w:r w:rsidRPr="002F041F">
              <w:rPr>
                <w:b/>
                <w:bCs/>
                <w:i/>
                <w:iCs/>
              </w:rPr>
              <w:t>under anvendelsesområdet for denne afdeling</w:t>
            </w:r>
            <w:r w:rsidRPr="002F041F">
              <w:t>, hvad angår bruttotonnage (BT) </w:t>
            </w:r>
            <w:r w:rsidRPr="002F041F">
              <w:rPr>
                <w:b/>
                <w:bCs/>
                <w:i/>
                <w:iCs/>
              </w:rPr>
              <w:t>og/eller bruttoregistertonnage (BRT)</w:t>
            </w:r>
            <w:r w:rsidRPr="002F041F">
              <w:t xml:space="preserve">, maskineffekt (kW) og antal fartøjer som registreret i både nationale registre og GFCM-registre, ikke overstiger flådekapaciteten til demersalt </w:t>
            </w:r>
            <w:r w:rsidRPr="002F041F">
              <w:t>fiskeri i 2021."</w:t>
            </w:r>
          </w:p>
        </w:tc>
        <w:tc>
          <w:tcPr>
            <w:tcW w:w="4876" w:type="dxa"/>
            <w:hideMark/>
          </w:tcPr>
          <w:p w:rsidR="00C6436A" w:rsidRPr="002F041F" w:rsidRDefault="002F041F">
            <w:pPr>
              <w:pStyle w:val="Normal6"/>
              <w:rPr>
                <w:szCs w:val="24"/>
              </w:rPr>
            </w:pPr>
            <w:r w:rsidRPr="002F041F">
              <w:t xml:space="preserve">Medlemsstaterne sikrer, at den samlede kapacitet for de flåder, der </w:t>
            </w:r>
            <w:r w:rsidRPr="002F041F">
              <w:rPr>
                <w:b/>
                <w:bCs/>
                <w:i/>
                <w:iCs/>
              </w:rPr>
              <w:t>opererer med bundtrawl og aktivt fisker efter vigtige bestande</w:t>
            </w:r>
            <w:r w:rsidRPr="002F041F">
              <w:t>, hvad angår bruttotonnage (BT), maskineffekt (kW) og antal fartøjer som registreret i både nationale registr</w:t>
            </w:r>
            <w:r w:rsidRPr="002F041F">
              <w:t xml:space="preserve">e og GFCM-registre </w:t>
            </w:r>
            <w:r w:rsidRPr="002F041F">
              <w:rPr>
                <w:b/>
                <w:bCs/>
                <w:i/>
                <w:iCs/>
              </w:rPr>
              <w:t>i den periode, hvor den flerårige forvaltningsplan er gældende</w:t>
            </w:r>
            <w:r w:rsidRPr="002F041F">
              <w:t>,</w:t>
            </w:r>
            <w:r w:rsidRPr="002F041F">
              <w:rPr>
                <w:b/>
                <w:bCs/>
                <w:i/>
                <w:iCs/>
              </w:rPr>
              <w:t xml:space="preserve"> </w:t>
            </w:r>
            <w:r w:rsidRPr="002F041F">
              <w:t>ikke overstiger flådekapaciteten til demersalt fiskeri i 2021."</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GFCM/45/2022/4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39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33 – litra -a (nyt)</w:t>
      </w:r>
      <w:r w:rsidRPr="002F041F">
        <w:rPr>
          <w:rStyle w:val="HideTWBExt"/>
          <w:noProof w:val="0"/>
        </w:rPr>
        <w:t>&lt;/Article&gt;</w:t>
      </w:r>
    </w:p>
    <w:p w:rsidR="00C6436A" w:rsidRPr="002F041F" w:rsidRDefault="002F041F" w:rsidP="00C6436A">
      <w:pPr>
        <w:keepNext/>
      </w:pPr>
      <w:r w:rsidRPr="002F041F">
        <w:rPr>
          <w:rStyle w:val="HideTWBExt"/>
          <w:noProof w:val="0"/>
        </w:rPr>
        <w:lastRenderedPageBreak/>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70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 xml:space="preserve">Gældende </w:t>
            </w:r>
            <w:r w:rsidRPr="002F041F">
              <w:t>ordlyd</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w:t>
            </w:r>
            <w:r w:rsidRPr="002F041F">
              <w:rPr>
                <w:b/>
                <w:i/>
              </w:rPr>
              <w:tab/>
              <w:t>Stk. 1 affattes således:</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t>Medlemsstaterne opstiller en liste over fartøjer, der fører deres flag og har tilladelse til at fiske efter de arter, der er anført i artikel 66.</w:t>
            </w:r>
          </w:p>
        </w:tc>
        <w:tc>
          <w:tcPr>
            <w:tcW w:w="4876" w:type="dxa"/>
            <w:hideMark/>
          </w:tcPr>
          <w:p w:rsidR="00C6436A" w:rsidRPr="002F041F" w:rsidRDefault="002F041F">
            <w:pPr>
              <w:pStyle w:val="Normal6"/>
              <w:rPr>
                <w:szCs w:val="24"/>
              </w:rPr>
            </w:pPr>
            <w:r w:rsidRPr="002F041F">
              <w:rPr>
                <w:b/>
                <w:bCs/>
                <w:i/>
                <w:iCs/>
              </w:rPr>
              <w:t>"</w:t>
            </w:r>
            <w:r w:rsidRPr="002F041F">
              <w:t>1.</w:t>
            </w:r>
            <w:r w:rsidRPr="002F041F">
              <w:tab/>
              <w:t xml:space="preserve">Medlemsstaterne opstiller en liste over </w:t>
            </w:r>
            <w:r w:rsidRPr="002F041F">
              <w:t>fartøjer, der fører deres flag og har tilladelse til at fiske efter de arter, der er anført i artikel 66</w:t>
            </w:r>
            <w:r w:rsidRPr="002F041F">
              <w:rPr>
                <w:b/>
                <w:bCs/>
                <w:i/>
                <w:iCs/>
              </w:rPr>
              <w:t>, ved brug af skovltrawl, bomtrawl, parbundtrawl og dobbelttrawl</w:t>
            </w:r>
            <w:r w:rsidRPr="002F041F">
              <w:t>.</w:t>
            </w:r>
            <w:r w:rsidRPr="002F041F">
              <w:rPr>
                <w:b/>
                <w:bCs/>
                <w:i/>
                <w:iCs/>
              </w:rPr>
              <w: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4B7199" w:rsidRPr="002F041F" w:rsidRDefault="002F041F" w:rsidP="00C6436A">
      <w:pPr>
        <w:pStyle w:val="JustificationTitle"/>
        <w:rPr>
          <w:noProof w:val="0"/>
        </w:rPr>
      </w:pPr>
      <w:r w:rsidRPr="002F041F">
        <w:rPr>
          <w:noProof w:val="0"/>
        </w:rPr>
        <w:t>(https://eur-lex.europa.eu/legal-content/DA/TXT/?uri=CELEX:32023R2124)</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Artikel 70, stk. 1, i forordning (EF) nr. 2023/2124 skal bringes i overensstemmelse med stk. 30 i GFCM-henstilling GFCM/43/2019/5 for at præcisere, hv</w:t>
      </w:r>
      <w:r w:rsidRPr="002F041F">
        <w:rPr>
          <w:noProof w:val="0"/>
        </w:rPr>
        <w:t>ilken flåde forpligtelsen til at opstille en fartøjsliste finder anvendelse på, da den nuværende ordlyd er upræcis og giver mulighed for den fortolkning, at forpligtelsen gælder for hele flåden. Derfor er det nødvendigt at tilføje teksten "skovltrawl, bomt</w:t>
      </w:r>
      <w:r w:rsidRPr="002F041F">
        <w:rPr>
          <w:noProof w:val="0"/>
        </w:rPr>
        <w:t>rawl, parbundtrawl og dobbelttrawl" til slutningen af punktummet i artikel 70, stk. 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35</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 xml:space="preserve">Forordning (EU) </w:t>
      </w:r>
      <w:r w:rsidRPr="002F041F">
        <w:t>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73</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9E2F79" w:rsidRPr="002F041F" w:rsidRDefault="002F041F">
            <w:pPr>
              <w:pStyle w:val="ColumnHeading"/>
              <w:keepNext/>
              <w:rPr>
                <w:i w:val="0"/>
              </w:rPr>
            </w:pPr>
            <w:r w:rsidRPr="002F041F">
              <w:rPr>
                <w:i w:val="0"/>
              </w:rPr>
              <w:t>"Artikel 73</w:t>
            </w:r>
          </w:p>
        </w:tc>
        <w:tc>
          <w:tcPr>
            <w:tcW w:w="4876" w:type="dxa"/>
          </w:tcPr>
          <w:p w:rsidR="009E2F79" w:rsidRPr="002F041F" w:rsidRDefault="002F041F">
            <w:pPr>
              <w:pStyle w:val="ColumnHeading"/>
              <w:keepNext/>
              <w:rPr>
                <w:i w:val="0"/>
              </w:rPr>
            </w:pPr>
            <w:r w:rsidRPr="002F041F">
              <w:rPr>
                <w:i w:val="0"/>
              </w:rPr>
              <w:t>"Artikel 73</w:t>
            </w:r>
          </w:p>
        </w:tc>
      </w:tr>
      <w:tr w:rsidR="007233AC" w:rsidRPr="002F041F" w:rsidTr="00C6436A">
        <w:trPr>
          <w:jc w:val="center"/>
        </w:trPr>
        <w:tc>
          <w:tcPr>
            <w:tcW w:w="4876" w:type="dxa"/>
          </w:tcPr>
          <w:p w:rsidR="009E2F79" w:rsidRPr="002F041F" w:rsidRDefault="002F041F">
            <w:pPr>
              <w:pStyle w:val="ColumnHeading"/>
              <w:keepNext/>
              <w:rPr>
                <w:i w:val="0"/>
              </w:rPr>
            </w:pPr>
            <w:r w:rsidRPr="002F041F">
              <w:rPr>
                <w:i w:val="0"/>
              </w:rPr>
              <w:t>Anvendelsesområde</w:t>
            </w:r>
          </w:p>
        </w:tc>
        <w:tc>
          <w:tcPr>
            <w:tcW w:w="4876" w:type="dxa"/>
          </w:tcPr>
          <w:p w:rsidR="009E2F79" w:rsidRPr="002F041F" w:rsidRDefault="002F041F">
            <w:pPr>
              <w:pStyle w:val="ColumnHeading"/>
              <w:keepNext/>
              <w:rPr>
                <w:i w:val="0"/>
              </w:rPr>
            </w:pPr>
            <w:r w:rsidRPr="002F041F">
              <w:rPr>
                <w:i w:val="0"/>
              </w:rPr>
              <w:t>Anvendelsesområde</w:t>
            </w:r>
          </w:p>
        </w:tc>
      </w:tr>
      <w:tr w:rsidR="007233AC" w:rsidRPr="002F041F" w:rsidTr="00C6436A">
        <w:trPr>
          <w:jc w:val="center"/>
        </w:trPr>
        <w:tc>
          <w:tcPr>
            <w:tcW w:w="4876" w:type="dxa"/>
            <w:hideMark/>
          </w:tcPr>
          <w:p w:rsidR="00C6436A" w:rsidRPr="002F041F" w:rsidRDefault="002F041F">
            <w:pPr>
              <w:pStyle w:val="Normal6"/>
            </w:pPr>
            <w:r w:rsidRPr="002F041F">
              <w:t xml:space="preserve">Denne afdeling finder anvendelse på alt fiskeri efter små pelagiske arter (ansjos og sardin) i </w:t>
            </w:r>
            <w:r w:rsidRPr="002F041F">
              <w:t>geografisk underområde 17 og 18 som fastsat i bilag I."</w:t>
            </w:r>
          </w:p>
        </w:tc>
        <w:tc>
          <w:tcPr>
            <w:tcW w:w="4876" w:type="dxa"/>
            <w:hideMark/>
          </w:tcPr>
          <w:p w:rsidR="00C6436A" w:rsidRPr="002F041F" w:rsidRDefault="002F041F">
            <w:pPr>
              <w:pStyle w:val="Normal6"/>
              <w:rPr>
                <w:szCs w:val="24"/>
              </w:rPr>
            </w:pPr>
            <w:r w:rsidRPr="002F041F">
              <w:t xml:space="preserve">Denne afdeling finder anvendelse på alt fiskeri efter små pelagiske arter (ansjos og sardin) i geografisk underområde 17 og 18 som fastsat i bilag I </w:t>
            </w:r>
            <w:r w:rsidRPr="002F041F">
              <w:rPr>
                <w:b/>
                <w:bCs/>
                <w:i/>
                <w:iCs/>
              </w:rPr>
              <w:t>ved hjælp af notfartøjer og flydetrawlere</w:t>
            </w:r>
            <w:r w:rsidRPr="002F041F">
              <w: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lastRenderedPageBreak/>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Forslagets artikel 1, stk. 35, som erstatter artikel 73 i forordning (EU) 2023/2124, skal bringes i overensstemmelse med stk. 1 i GFCM-henstilling GFCM/44/2021/20 med henblik på konsekvent genn</w:t>
      </w:r>
      <w:r w:rsidRPr="002F041F">
        <w:rPr>
          <w:noProof w:val="0"/>
        </w:rPr>
        <w:t>emførelse ved i slutningen af punktummet at præcisere den specifikke flåde, som bestemmelsen finder anvendelse på, og dermed forhindre, at den anvendes på andre former for fiskeri, ved at tilføje teksten: "ved hjælp af notfartøjer og flydetrawlere."</w:t>
      </w:r>
    </w:p>
    <w:p w:rsidR="00C6436A" w:rsidRPr="002F041F" w:rsidRDefault="002F041F" w:rsidP="00C6436A">
      <w:r w:rsidRPr="002F041F">
        <w:rPr>
          <w:rStyle w:val="HideTWBExt"/>
          <w:noProof w:val="0"/>
        </w:rPr>
        <w:t>&lt;/Amen</w:t>
      </w:r>
      <w:r w:rsidRPr="002F041F">
        <w:rPr>
          <w:rStyle w:val="HideTWBExt"/>
          <w:noProof w:val="0"/>
        </w:rPr>
        <w:t>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35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74 – stk. 5</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 xml:space="preserve">Kommissionens </w:t>
            </w:r>
            <w:r w:rsidRPr="002F041F">
              <w:t>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9E2F79">
            <w:pPr>
              <w:pStyle w:val="Normal6"/>
              <w:rPr>
                <w:szCs w:val="24"/>
              </w:rPr>
            </w:pPr>
            <w:r w:rsidRPr="002F041F">
              <w:rPr>
                <w:b/>
                <w:i/>
              </w:rPr>
              <w:t>35a)</w:t>
            </w:r>
            <w:r w:rsidRPr="002F041F">
              <w:rPr>
                <w:b/>
                <w:i/>
              </w:rPr>
              <w:tab/>
              <w:t>Artikel 74, stk. 5, udgår.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C6436A"/>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 xml:space="preserve">In the case of managing small pelagic fish in the Adriatic Sea, a new GFCM Recommendation GFCM/44/2021/20 on a multi-annual </w:t>
      </w:r>
      <w:r w:rsidRPr="002F041F">
        <w:rPr>
          <w:noProof w:val="0"/>
        </w:rPr>
        <w:t>management plan for the sustainable exploitation of small pelagic fish stocks in the Adriatic Sea (GSA areas 17 and 18) was adopted at the GFCM annual assembly in November 2021. With the adoption of the new multi-annual management plan, the multi-annual ma</w:t>
      </w:r>
      <w:r w:rsidRPr="002F041F">
        <w:rPr>
          <w:noProof w:val="0"/>
        </w:rPr>
        <w:t xml:space="preserve">nagement plan adopted in 2013 by GFCM Recommendation GFCM/37/2013/1 becomes obsolete. Article 74, paragraph 5 of the current Regulation (EU) 2023/2124 includes a measure for managing fishing effort by limiting the number of fishing days (20 days per month </w:t>
      </w:r>
      <w:r w:rsidRPr="002F041F">
        <w:rPr>
          <w:noProof w:val="0"/>
        </w:rPr>
        <w:t xml:space="preserve">and 180 days per year), which was derived from the 2013 multi-annual management plan (GFCM/37/2013/1). Retaining the provision of Article 74, paragraph 5 of Regulation (EU) 2023/2124 would exceed the scope of GFCM Recommendation GFCM/44/2021/20 and impose </w:t>
      </w:r>
      <w:r w:rsidRPr="002F041F">
        <w:rPr>
          <w:noProof w:val="0"/>
        </w:rPr>
        <w:t>additional restrictions on Member States, which will not apply to other GFCM contracting parties (e.g. Albania and Montenegro). Therefore, Article 74, paragraph 5 of Regulation 2023/2124 must be deleted.</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w:t>
      </w:r>
      <w:r w:rsidRPr="002F041F">
        <w:rPr>
          <w:rStyle w:val="HideTWBExt"/>
          <w:noProof w:val="0"/>
        </w:rPr>
        <w: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36</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74 a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r>
            <w:r w:rsidRPr="002F041F">
              <w:t xml:space="preserve">Medlemsstaterne sikrer hvert år, at alle videnskabelige data og kommercielle data, som indsamles i et specifikt år, fremsendes til </w:t>
            </w:r>
            <w:r w:rsidRPr="002F041F">
              <w:rPr>
                <w:b/>
                <w:bCs/>
                <w:i/>
                <w:iCs/>
              </w:rPr>
              <w:t>Kommissionen</w:t>
            </w:r>
            <w:r w:rsidRPr="002F041F">
              <w:t xml:space="preserve"> senest den </w:t>
            </w:r>
            <w:r w:rsidRPr="002F041F">
              <w:rPr>
                <w:b/>
                <w:bCs/>
                <w:i/>
                <w:iCs/>
              </w:rPr>
              <w:t>15. marts</w:t>
            </w:r>
            <w:r w:rsidRPr="002F041F">
              <w:t xml:space="preserve"> det følgende år.</w:t>
            </w:r>
          </w:p>
        </w:tc>
        <w:tc>
          <w:tcPr>
            <w:tcW w:w="4876" w:type="dxa"/>
            <w:hideMark/>
          </w:tcPr>
          <w:p w:rsidR="00C6436A" w:rsidRPr="002F041F" w:rsidRDefault="002F041F">
            <w:pPr>
              <w:pStyle w:val="Normal6"/>
              <w:rPr>
                <w:szCs w:val="24"/>
              </w:rPr>
            </w:pPr>
            <w:r w:rsidRPr="002F041F">
              <w:t>1.</w:t>
            </w:r>
            <w:r w:rsidRPr="002F041F">
              <w:tab/>
            </w:r>
            <w:r w:rsidRPr="002F041F">
              <w:t xml:space="preserve">Medlemsstaterne sikrer hvert år, at alle videnskabelige data og kommercielle data, som indsamles i et specifikt år, fremsendes til </w:t>
            </w:r>
            <w:r w:rsidRPr="002F041F">
              <w:rPr>
                <w:b/>
                <w:bCs/>
                <w:i/>
                <w:iCs/>
              </w:rPr>
              <w:t>GFCM's sekretariat</w:t>
            </w:r>
            <w:r w:rsidRPr="002F041F">
              <w:t xml:space="preserve"> senest den </w:t>
            </w:r>
            <w:r w:rsidRPr="002F041F">
              <w:rPr>
                <w:b/>
                <w:bCs/>
                <w:i/>
                <w:iCs/>
              </w:rPr>
              <w:t>1. april</w:t>
            </w:r>
            <w:r w:rsidRPr="002F041F">
              <w:t xml:space="preserve"> det følgende år.</w:t>
            </w:r>
            <w:r w:rsidRPr="002F041F">
              <w:rPr>
                <w:b/>
                <w:i/>
              </w:rPr>
              <w:t xml:space="preserve"> </w:t>
            </w:r>
            <w:r w:rsidRPr="002F041F">
              <w:rPr>
                <w:b/>
                <w:bCs/>
                <w:i/>
                <w:iCs/>
              </w:rPr>
              <w:t>Medlemsstaterne underretter Kommissionen herom.</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GFCM/44/2021/20</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36</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w:t>
      </w:r>
      <w:r w:rsidRPr="002F041F">
        <w:t>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74 a – stk. 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rPr>
                <w:b/>
                <w:i/>
              </w:rPr>
              <w:t>2.</w:t>
            </w:r>
            <w:r w:rsidRPr="002F041F">
              <w:rPr>
                <w:b/>
                <w:i/>
              </w:rPr>
              <w:tab/>
              <w:t>Kommissionen sender de oplysninger, der er omhandlet i stk. 1, til GFCM's sekretariat senest den 1. april hvert år.</w:t>
            </w:r>
          </w:p>
        </w:tc>
        <w:tc>
          <w:tcPr>
            <w:tcW w:w="4876" w:type="dxa"/>
            <w:hideMark/>
          </w:tcPr>
          <w:p w:rsidR="00C6436A" w:rsidRPr="002F041F" w:rsidRDefault="002F041F">
            <w:pPr>
              <w:pStyle w:val="Normal6"/>
              <w:rPr>
                <w:szCs w:val="24"/>
              </w:rPr>
            </w:pPr>
            <w:r w:rsidRPr="002F041F">
              <w:rPr>
                <w:b/>
                <w:i/>
              </w:rPr>
              <w:t>udgår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GFCM/44/2021/20</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36</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74 c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t xml:space="preserve">Medlemsstaterne udpeger </w:t>
            </w:r>
            <w:r w:rsidRPr="002F041F">
              <w:lastRenderedPageBreak/>
              <w:t xml:space="preserve">landingssteder, hvor fartøjer, der fisker aktivt efter </w:t>
            </w:r>
            <w:r w:rsidRPr="002F041F">
              <w:rPr>
                <w:b/>
                <w:bCs/>
                <w:i/>
                <w:iCs/>
              </w:rPr>
              <w:t>ansjos og sardin</w:t>
            </w:r>
            <w:r w:rsidRPr="002F041F">
              <w:t>, skal foretage landing. Medlemsstaterne fastsætter for hvert</w:t>
            </w:r>
            <w:r w:rsidRPr="002F041F">
              <w:t xml:space="preserve"> udpeget landingssted de nærmere tidspunkter og steder, hvor landing og omladning må finde sted.</w:t>
            </w:r>
          </w:p>
        </w:tc>
        <w:tc>
          <w:tcPr>
            <w:tcW w:w="4876" w:type="dxa"/>
            <w:hideMark/>
          </w:tcPr>
          <w:p w:rsidR="00C6436A" w:rsidRPr="002F041F" w:rsidRDefault="002F041F">
            <w:pPr>
              <w:pStyle w:val="Normal6"/>
              <w:rPr>
                <w:szCs w:val="24"/>
              </w:rPr>
            </w:pPr>
            <w:r w:rsidRPr="002F041F">
              <w:lastRenderedPageBreak/>
              <w:t>1.</w:t>
            </w:r>
            <w:r w:rsidRPr="002F041F">
              <w:tab/>
              <w:t xml:space="preserve">Medlemsstaterne udpeger </w:t>
            </w:r>
            <w:r w:rsidRPr="002F041F">
              <w:lastRenderedPageBreak/>
              <w:t xml:space="preserve">landingssteder, hvor fartøjer, der fisker aktivt efter </w:t>
            </w:r>
            <w:r w:rsidRPr="002F041F">
              <w:rPr>
                <w:b/>
                <w:bCs/>
                <w:i/>
                <w:iCs/>
              </w:rPr>
              <w:t>vigtige små pelagiske bestande i Adriaterhavet</w:t>
            </w:r>
            <w:r w:rsidRPr="002F041F">
              <w:t>, skal foretage landing. Medlem</w:t>
            </w:r>
            <w:r w:rsidRPr="002F041F">
              <w:t>sstaterne fastsætter for hvert udpeget landingssted de nærmere tidspunkter og steder, hvor landing og omladning må finde sted.</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36</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74 c – stk. 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2.</w:t>
            </w:r>
            <w:r w:rsidRPr="002F041F">
              <w:tab/>
              <w:t xml:space="preserve">Det er forbudt at lande eller omlade fangster, uanset mængde, af </w:t>
            </w:r>
            <w:r w:rsidRPr="002F041F">
              <w:rPr>
                <w:b/>
                <w:bCs/>
                <w:i/>
                <w:iCs/>
              </w:rPr>
              <w:t>ansjos og sardin</w:t>
            </w:r>
            <w:r w:rsidRPr="002F041F">
              <w:t xml:space="preserve"> taget i Adriaterhavet med not </w:t>
            </w:r>
            <w:r w:rsidRPr="002F041F">
              <w:rPr>
                <w:b/>
                <w:bCs/>
                <w:i/>
                <w:iCs/>
              </w:rPr>
              <w:t>og</w:t>
            </w:r>
            <w:r w:rsidRPr="002F041F">
              <w:t xml:space="preserve"> pelagisk trawl andre steder end i på landingssteder, som medlemsstaterne har udpeget.</w:t>
            </w:r>
          </w:p>
        </w:tc>
        <w:tc>
          <w:tcPr>
            <w:tcW w:w="4876" w:type="dxa"/>
            <w:hideMark/>
          </w:tcPr>
          <w:p w:rsidR="00C6436A" w:rsidRPr="002F041F" w:rsidRDefault="002F041F">
            <w:pPr>
              <w:pStyle w:val="Normal6"/>
              <w:rPr>
                <w:szCs w:val="24"/>
              </w:rPr>
            </w:pPr>
            <w:r w:rsidRPr="002F041F">
              <w:t>2.</w:t>
            </w:r>
            <w:r w:rsidRPr="002F041F">
              <w:tab/>
              <w:t xml:space="preserve">Det er forbudt at lande eller omlade fangster, uanset mængde, af </w:t>
            </w:r>
            <w:r w:rsidRPr="002F041F">
              <w:rPr>
                <w:b/>
                <w:bCs/>
                <w:i/>
                <w:iCs/>
              </w:rPr>
              <w:t>vigtige små pelagiske bestande</w:t>
            </w:r>
            <w:r w:rsidRPr="002F041F">
              <w:t xml:space="preserve"> taget i Adriaterhavet</w:t>
            </w:r>
            <w:r w:rsidRPr="002F041F">
              <w:t xml:space="preserve"> med not </w:t>
            </w:r>
            <w:r w:rsidRPr="002F041F">
              <w:rPr>
                <w:b/>
                <w:bCs/>
                <w:i/>
                <w:iCs/>
              </w:rPr>
              <w:t>eller</w:t>
            </w:r>
            <w:r w:rsidRPr="002F041F">
              <w:t xml:space="preserve"> pelagisk trawl andre steder end i på landingssteder, som medlemsstaterne har udpeget.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w:t>
      </w:r>
      <w:r w:rsidRPr="002F041F">
        <w:t xml:space="preserve"> – nr. 36</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74 c – stk. 3</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3.</w:t>
            </w:r>
            <w:r w:rsidRPr="002F041F">
              <w:tab/>
            </w:r>
            <w:r w:rsidRPr="002F041F">
              <w:t xml:space="preserve">Senest den 15. november hvert år meddeler medlemsstaterne Kommissionen eventuelle ændringer af listen over udpegede landingssteder, hvor landinger af </w:t>
            </w:r>
            <w:r w:rsidRPr="002F041F">
              <w:rPr>
                <w:b/>
                <w:bCs/>
                <w:i/>
                <w:iCs/>
              </w:rPr>
              <w:t>ansjos og sardin</w:t>
            </w:r>
            <w:r w:rsidRPr="002F041F">
              <w:t xml:space="preserve"> kan finde sted. Kommissionen videresender disse oplysninger senest den 30. november hvert</w:t>
            </w:r>
            <w:r w:rsidRPr="002F041F">
              <w:t xml:space="preserve"> år.</w:t>
            </w:r>
          </w:p>
        </w:tc>
        <w:tc>
          <w:tcPr>
            <w:tcW w:w="4876" w:type="dxa"/>
            <w:hideMark/>
          </w:tcPr>
          <w:p w:rsidR="00C6436A" w:rsidRPr="002F041F" w:rsidRDefault="002F041F">
            <w:pPr>
              <w:pStyle w:val="Normal6"/>
              <w:rPr>
                <w:szCs w:val="24"/>
              </w:rPr>
            </w:pPr>
            <w:r w:rsidRPr="002F041F">
              <w:t>3.</w:t>
            </w:r>
            <w:r w:rsidRPr="002F041F">
              <w:tab/>
              <w:t xml:space="preserve">Senest den 15. november hvert år meddeler medlemsstaterne Kommissionen eventuelle ændringer af listen over udpegede landingssteder, hvor landinger af </w:t>
            </w:r>
            <w:r w:rsidRPr="002F041F">
              <w:rPr>
                <w:b/>
                <w:bCs/>
                <w:i/>
                <w:iCs/>
              </w:rPr>
              <w:t>vigtige små pelagiske bestande</w:t>
            </w:r>
            <w:r w:rsidRPr="002F041F">
              <w:t xml:space="preserve"> </w:t>
            </w:r>
            <w:r w:rsidRPr="002F041F">
              <w:rPr>
                <w:b/>
                <w:bCs/>
                <w:i/>
                <w:iCs/>
              </w:rPr>
              <w:t>fanget i Adriaterhavet</w:t>
            </w:r>
            <w:r w:rsidRPr="002F041F">
              <w:rPr>
                <w:b/>
                <w:bCs/>
              </w:rPr>
              <w:t xml:space="preserve"> </w:t>
            </w:r>
            <w:r w:rsidRPr="002F041F">
              <w:t>kan finde sted. Kommissionen videresender di</w:t>
            </w:r>
            <w:r w:rsidRPr="002F041F">
              <w:t>sse oplysninger senest den 30. november hvert år.</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For bedre at tilpasse teksten til henstilling GFCM/44/2021/20</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 xml:space="preserve">Forslag til </w:t>
      </w:r>
      <w:r w:rsidRPr="002F041F">
        <w:t>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36</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74 d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t xml:space="preserve">Medlemsstaterne vedtager </w:t>
            </w:r>
            <w:r w:rsidRPr="002F041F">
              <w:t>fiskeriforvaltningsforanstaltninger eller nationale forvaltningsplaner inden for anvendelsesområdet for denne afdeling for at sikre</w:t>
            </w:r>
            <w:r w:rsidRPr="002F041F">
              <w:rPr>
                <w:b/>
                <w:bCs/>
                <w:i/>
                <w:iCs/>
              </w:rPr>
              <w:t>,</w:t>
            </w:r>
            <w:r w:rsidRPr="002F041F">
              <w:t xml:space="preserve"> </w:t>
            </w:r>
            <w:r w:rsidRPr="002F041F">
              <w:rPr>
                <w:b/>
                <w:bCs/>
                <w:i/>
                <w:iCs/>
              </w:rPr>
              <w:t>at udnyttelsesniveauet for ansjos og sardin når maksimalt bæredygtigt udbytte og holdes på dette niveau</w:t>
            </w:r>
            <w:r w:rsidRPr="002F041F">
              <w:t>.</w:t>
            </w:r>
          </w:p>
        </w:tc>
        <w:tc>
          <w:tcPr>
            <w:tcW w:w="4876" w:type="dxa"/>
            <w:hideMark/>
          </w:tcPr>
          <w:p w:rsidR="00C6436A" w:rsidRPr="002F041F" w:rsidRDefault="002F041F">
            <w:pPr>
              <w:pStyle w:val="Normal6"/>
              <w:rPr>
                <w:szCs w:val="24"/>
              </w:rPr>
            </w:pPr>
            <w:r w:rsidRPr="002F041F">
              <w:t>1.</w:t>
            </w:r>
            <w:r w:rsidRPr="002F041F">
              <w:tab/>
              <w:t>Medlemsstaterne</w:t>
            </w:r>
            <w:r w:rsidRPr="002F041F">
              <w:t xml:space="preserve"> vedtager fiskeriforvaltningsforanstaltninger eller nationale forvaltningsplaner inden for anvendelsesområdet for denne afdeling for at sikre </w:t>
            </w:r>
            <w:r w:rsidRPr="002F041F">
              <w:rPr>
                <w:b/>
                <w:bCs/>
                <w:i/>
                <w:iCs/>
              </w:rPr>
              <w:t>tilstrækkelig bevarelse af små pelagiske bestande</w:t>
            </w:r>
            <w:r w:rsidRPr="002F041F">
              <w: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For bedre at tilpasse teksten til henstilling GFCM/44/2021/20</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36</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 xml:space="preserve">Forordning (EU) nr. </w:t>
      </w:r>
      <w:r w:rsidRPr="002F041F">
        <w:t>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74 d – stk. 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2.</w:t>
            </w:r>
            <w:r w:rsidRPr="002F041F">
              <w:tab/>
              <w:t xml:space="preserve">Medlemsstaterne underretter Kommissionen om vedtagne forvaltningsforanstaltninger eller nationale forvaltningsplaner </w:t>
            </w:r>
            <w:r w:rsidRPr="002F041F">
              <w:rPr>
                <w:b/>
                <w:bCs/>
                <w:i/>
                <w:iCs/>
              </w:rPr>
              <w:t>og meddeler eventuelle ændring</w:t>
            </w:r>
            <w:r w:rsidRPr="002F041F">
              <w:rPr>
                <w:b/>
                <w:bCs/>
                <w:i/>
                <w:iCs/>
              </w:rPr>
              <w:t>er af disse foranstaltninger eller planer</w:t>
            </w:r>
            <w:r w:rsidRPr="002F041F">
              <w:t xml:space="preserve"> senest den 15. april hvert år. Kommissionen sender disse foranstaltninger og planer til GFCM's sekretariat senest den 30. april hvert år.</w:t>
            </w:r>
          </w:p>
        </w:tc>
        <w:tc>
          <w:tcPr>
            <w:tcW w:w="4876" w:type="dxa"/>
            <w:hideMark/>
          </w:tcPr>
          <w:p w:rsidR="00C6436A" w:rsidRPr="002F041F" w:rsidRDefault="002F041F">
            <w:pPr>
              <w:pStyle w:val="Normal6"/>
              <w:rPr>
                <w:szCs w:val="24"/>
              </w:rPr>
            </w:pPr>
            <w:r w:rsidRPr="002F041F">
              <w:t>2.</w:t>
            </w:r>
            <w:r w:rsidRPr="002F041F">
              <w:tab/>
              <w:t>Medlemsstaterne underretter Kommissionen om alle forvaltningsforanstaltni</w:t>
            </w:r>
            <w:r w:rsidRPr="002F041F">
              <w:t>nger eller nationale forvaltningsplaner</w:t>
            </w:r>
            <w:r w:rsidRPr="002F041F">
              <w:rPr>
                <w:b/>
                <w:bCs/>
                <w:i/>
                <w:iCs/>
              </w:rPr>
              <w:t>, der er vedtaget på nationalt plan,</w:t>
            </w:r>
            <w:r w:rsidRPr="002F041F">
              <w:t xml:space="preserve"> senest den 15. april hvert år. Kommissionen sender disse foranstaltninger og planer til GFCM's sekretariat senest den 30. april hvert år.</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49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36</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74 f – stk. 3</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w:t>
            </w:r>
            <w:r w:rsidRPr="002F041F">
              <w:t>ringsforslag</w:t>
            </w:r>
          </w:p>
        </w:tc>
      </w:tr>
      <w:tr w:rsidR="007233AC" w:rsidRPr="002F041F" w:rsidTr="00C6436A">
        <w:trPr>
          <w:jc w:val="center"/>
        </w:trPr>
        <w:tc>
          <w:tcPr>
            <w:tcW w:w="4876" w:type="dxa"/>
            <w:hideMark/>
          </w:tcPr>
          <w:p w:rsidR="00C6436A" w:rsidRPr="002F041F" w:rsidRDefault="002F041F">
            <w:pPr>
              <w:pStyle w:val="Normal6"/>
            </w:pPr>
            <w:r w:rsidRPr="002F041F">
              <w:t>3.</w:t>
            </w:r>
            <w:r w:rsidRPr="002F041F">
              <w:tab/>
              <w:t>I løbet af overgangsperioden anvender medlemsstaterne områdelukninger på fartøjer med en længde overalt på over 12 m i mindst 9 måneder. Sådanne lukninger omfatter 30 % af de territoriale eller indre</w:t>
            </w:r>
            <w:r w:rsidRPr="002F041F">
              <w:t xml:space="preserve"> farvande, der er udpeget som vigtige for beskyttelsen af yngre klasser af fisk.</w:t>
            </w:r>
          </w:p>
        </w:tc>
        <w:tc>
          <w:tcPr>
            <w:tcW w:w="4876" w:type="dxa"/>
            <w:hideMark/>
          </w:tcPr>
          <w:p w:rsidR="00C6436A" w:rsidRPr="002F041F" w:rsidRDefault="002F041F" w:rsidP="002F041F">
            <w:pPr>
              <w:pStyle w:val="Normal6"/>
              <w:rPr>
                <w:szCs w:val="24"/>
              </w:rPr>
            </w:pPr>
            <w:r w:rsidRPr="002F041F">
              <w:rPr>
                <w:i/>
                <w:iCs/>
              </w:rPr>
              <w:t>(Vedrører ikke den danske tekst)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50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 xml:space="preserve">Forslag til </w:t>
      </w:r>
      <w:r w:rsidRPr="002F041F">
        <w:t>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36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75 a (ny)</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CE014B">
            <w:pPr>
              <w:pStyle w:val="Normal6"/>
              <w:rPr>
                <w:szCs w:val="24"/>
              </w:rPr>
            </w:pPr>
            <w:r w:rsidRPr="002F041F">
              <w:rPr>
                <w:b/>
                <w:i/>
              </w:rPr>
              <w:t>36a)</w:t>
            </w:r>
            <w:r w:rsidRPr="002F041F">
              <w:rPr>
                <w:b/>
                <w:i/>
              </w:rPr>
              <w:tab/>
              <w:t>Følgende artikel indsættes: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CE014B">
            <w:pPr>
              <w:pStyle w:val="Normal6"/>
              <w:rPr>
                <w:szCs w:val="24"/>
              </w:rPr>
            </w:pPr>
            <w:r w:rsidRPr="002F041F">
              <w:rPr>
                <w:b/>
                <w:i/>
              </w:rPr>
              <w:t xml:space="preserve">"Artikel </w:t>
            </w:r>
            <w:r w:rsidRPr="002F041F">
              <w:rPr>
                <w:b/>
                <w:i/>
              </w:rPr>
              <w:t>75a</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International ordning for fælles inspektion og overvågning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t>Medlemsstaterne kan udføre inspektions- og overvågningsaktiviteter inden for rammerne af en international ordning for fælles inspektion og overvågning ("ordningen"), der omfatter farvand</w:t>
            </w:r>
            <w:r w:rsidRPr="002F041F">
              <w:rPr>
                <w:b/>
                <w:i/>
              </w:rPr>
              <w:t>ene uden for national jurisdiktion i GFCM's geografiske underområder 17 og 18 (Adriaterhavet), som defineret i bilag I ("inspektions- og overvågningsområdet").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t xml:space="preserve">Medlemsstaterne kan under ordningen udpege kontrollører og afsætte inspektionsmidler og </w:t>
            </w:r>
            <w:r w:rsidRPr="002F041F">
              <w:rPr>
                <w:b/>
                <w:i/>
              </w:rPr>
              <w:t>gennemføre inspektioner. Kommissionen eller et organ udpeget af denne kan også udpege EU-kontrollører til ordningen.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Kommissionen eller et organ udpeget af denne samordner overvågnings- og inspektionsaktiviteterne for Unionen og kan i samarbejde med d</w:t>
            </w:r>
            <w:r w:rsidRPr="002F041F">
              <w:rPr>
                <w:b/>
                <w:i/>
              </w:rPr>
              <w:t xml:space="preserve">e berørte medlemsstater udarbejde en fælles plan for ressourceanvendelse med henblik på at sætte Unionen i stand til at deltage i ordningen. Medlemsstater træffer de nødvendige foranstaltninger til at befordre gennemførelse af planerne, navnlig hvad angår </w:t>
            </w:r>
            <w:r w:rsidRPr="002F041F">
              <w:rPr>
                <w:b/>
                <w:i/>
              </w:rPr>
              <w:t>de menneskelige og materielle ressourcer, der er nødvendige, og de perioder og geografiske områder, hvor de pågældende ressourcer skal anvendes.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Senest den 15. november hvert år fremsender hver medlemsstat Kommissionen eller det af denne udpegede orga</w:t>
            </w:r>
            <w:r w:rsidRPr="002F041F">
              <w:rPr>
                <w:b/>
                <w:i/>
              </w:rPr>
              <w:t xml:space="preserve">n listen med navnene på kontrollører, der er bemyndiget til at udføre inspektion og overvågning i det i stk. 1 omhandlede område, samt navnene på de fartøjer og fly, der anvendes til inspektion og overvågning, som de har til hensigt at tilknytte ordningen </w:t>
            </w:r>
            <w:r w:rsidRPr="002F041F">
              <w:rPr>
                <w:b/>
                <w:i/>
              </w:rPr>
              <w:t>i det følgende år. Kommissionen eller det af denne udpegede organ sender disse oplysninger til GFCM's sekretariat senest den 1. december hvert år, eller hurtigst muligt inden inspektionsaktiviteterne påbegyndes.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Kontrollører, der er tilknyttet ordning</w:t>
            </w:r>
            <w:r w:rsidRPr="002F041F">
              <w:rPr>
                <w:b/>
                <w:i/>
              </w:rPr>
              <w:t>en, skal bære et GFCM-kontrollørkort, der er udstedt af de kompetente myndigheder og udformet som angivet i bilag IV.</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6.</w:t>
            </w:r>
            <w:r w:rsidRPr="002F041F">
              <w:rPr>
                <w:b/>
                <w:i/>
              </w:rPr>
              <w:tab/>
              <w:t>Fartøjer, der udfører bording- og inspektionsopgaver i overensstemmelse med ordningen, skal føre et særligt flag eller en særlig vimp</w:t>
            </w:r>
            <w:r w:rsidRPr="002F041F">
              <w:rPr>
                <w:b/>
                <w:i/>
              </w:rPr>
              <w:t>el som beskrevet i bilag V.</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7.</w:t>
            </w:r>
            <w:r w:rsidRPr="002F041F">
              <w:rPr>
                <w:b/>
                <w:i/>
              </w:rPr>
              <w:tab/>
              <w:t>Den enkelte medlemsstat sikrer, at enhver inspektionsplatform, der har ret til at føre medlemsstatens flag, og som opererer i det i stk. 1 omhandlede område, opretholder sikker kontakt, om muligt dagligt, med alle andre ins</w:t>
            </w:r>
            <w:r w:rsidRPr="002F041F">
              <w:rPr>
                <w:b/>
                <w:i/>
              </w:rPr>
              <w:t>pektionsplatforme, der opererer i GFCM-området, med henblik på at udveksle de nødvendige oplysninger og koordinere aktiviteterne.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8.</w:t>
            </w:r>
            <w:r w:rsidRPr="002F041F">
              <w:rPr>
                <w:b/>
                <w:i/>
              </w:rPr>
              <w:tab/>
              <w:t>Den enkelte medlemsstat med inspektions- eller overvågningstilstedeværelse i det i stk. 1 omhandlede område forsyner hver</w:t>
            </w:r>
            <w:r w:rsidRPr="002F041F">
              <w:rPr>
                <w:b/>
                <w:i/>
              </w:rPr>
              <w:t xml:space="preserve"> inspektionsplatform, så snart denne er kommet ind i området, med en liste opstillet i overensstemmelse med bilag VII over observationer, bordinger og inspektioner, som medlemsstaten har udført i de foregående 10 dage, herunder datoer, positioner og eventu</w:t>
            </w:r>
            <w:r w:rsidRPr="002F041F">
              <w:rPr>
                <w:b/>
                <w:i/>
              </w:rPr>
              <w:t>elle øvrige relevante oplysninger."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GFCM/46/2023/18</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51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w:t>
      </w:r>
      <w:r w:rsidRPr="002F041F">
        <w:t xml:space="preserve"> nr. 36 b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75 a a (ny)</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36b)</w:t>
            </w:r>
            <w:r w:rsidRPr="002F041F">
              <w:rPr>
                <w:b/>
                <w:i/>
              </w:rPr>
              <w:tab/>
              <w:t>Følgende artikel indsættes mellem artikel 75 og 76:</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"Artikel -75aa</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 xml:space="preserve">Gennemførelse af </w:t>
            </w:r>
            <w:r w:rsidRPr="002F041F">
              <w:rPr>
                <w:b/>
                <w:i/>
              </w:rPr>
              <w:t>inspektioner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t>De til ordningen tilknyttede kontrollører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w:t>
            </w:r>
            <w:r w:rsidRPr="002F041F">
              <w:rPr>
                <w:b/>
                <w:i/>
              </w:rPr>
              <w:tab/>
              <w:t xml:space="preserve">giver sig forud for bording til kende over for fiskerfartøjet med </w:t>
            </w:r>
            <w:r w:rsidRPr="002F041F">
              <w:rPr>
                <w:b/>
                <w:i/>
              </w:rPr>
              <w:lastRenderedPageBreak/>
              <w:t>angivelse af inspektionsfartøjets navn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b)</w:t>
            </w:r>
            <w:r w:rsidRPr="002F041F">
              <w:rPr>
                <w:b/>
                <w:i/>
              </w:rPr>
              <w:tab/>
              <w:t>fører på inspektionsfartøjet og bordingsfartøjet den vimpel, der er beskrevet i b</w:t>
            </w:r>
            <w:r w:rsidRPr="002F041F">
              <w:rPr>
                <w:b/>
                <w:i/>
              </w:rPr>
              <w:t>ilag V</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c)</w:t>
            </w:r>
            <w:r w:rsidRPr="002F041F">
              <w:rPr>
                <w:b/>
                <w:i/>
              </w:rPr>
              <w:tab/>
              <w:t>begrænser inspektionsholdet til højst tre kontrollører.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t>Efter bording fremviser kontrollørerne det ID-kort, der er beskrevet i bilag IV, for føreren af fiskerfartøjet. Inspektionen udføres på et af GFCM's officielle sprog og, om muligt, på</w:t>
            </w:r>
            <w:r w:rsidRPr="002F041F">
              <w:rPr>
                <w:b/>
                <w:i/>
              </w:rPr>
              <w:t xml:space="preserve"> det sprog, som tales af føreren af fiskerfartøjet.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Kontrollørerne udarbejder en rapport om inspektionen i det format, der er angivet i bilag VI.</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Kontrollørerne underskriver rapporten i nærværelse af fartøjsføreren, som har ret til at tilføje eve</w:t>
            </w:r>
            <w:r w:rsidRPr="002F041F">
              <w:rPr>
                <w:b/>
                <w:i/>
              </w:rPr>
              <w:t>ntuelle bemærkninger, som vedkommende finder passende, og som også skal underskrive rapporten.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 xml:space="preserve">Der udleveres en kopi af rapporten til fartøjsføreren og til inspektionsholdets myndigheder, som sender en kopi til myndighederne i det inspicerede fartøjs </w:t>
            </w:r>
            <w:r w:rsidRPr="002F041F">
              <w:rPr>
                <w:b/>
                <w:i/>
              </w:rPr>
              <w:t>flagstat og til Kommissionen og/eller et af denne udpegede organ. Kommissionen videresender sin kopi til GFCM's sekretariat.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6.</w:t>
            </w:r>
            <w:r w:rsidRPr="002F041F">
              <w:rPr>
                <w:b/>
                <w:i/>
              </w:rPr>
              <w:tab/>
              <w:t>Inspektionsfartøjets befalingshavende bestemmer størrelsen af inspektionsholdet og inspektionens varighed under hensyntagen ti</w:t>
            </w:r>
            <w:r w:rsidRPr="002F041F">
              <w:rPr>
                <w:b/>
                <w:i/>
              </w:rPr>
              <w:t xml:space="preserve">l de relevante omstændigheder."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GFCM/46/2023/18</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52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 xml:space="preserve">Artikel 1 – stk. 1 – </w:t>
      </w:r>
      <w:r w:rsidRPr="002F041F">
        <w:t>nr. 36 c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75 a b (ny)</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36c)</w:t>
            </w:r>
            <w:r w:rsidRPr="002F041F">
              <w:rPr>
                <w:b/>
                <w:i/>
              </w:rPr>
              <w:tab/>
              <w:t>Følgende artikel indsættes mellem artikel 75 og 76:</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"Artikel -75ab</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Overtrædelser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r>
            <w:r w:rsidRPr="002F041F">
              <w:rPr>
                <w:b/>
                <w:i/>
              </w:rPr>
              <w:t>I denne artikel forstås ved overtrædelser følgende aktiviteter: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w:t>
            </w:r>
            <w:r w:rsidRPr="002F041F">
              <w:rPr>
                <w:b/>
                <w:i/>
              </w:rPr>
              <w:tab/>
              <w:t>de aktiviteter, der er omhandlet i artikel 3, stk. 1, litra a), b), c), e), f), g) og h), i forordning (EF) nr. 1005/2008</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b)</w:t>
            </w:r>
            <w:r w:rsidRPr="002F041F">
              <w:rPr>
                <w:b/>
                <w:i/>
              </w:rPr>
              <w:tab/>
              <w:t>indgriben i satellitovervågningssystemet og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c)</w:t>
            </w:r>
            <w:r w:rsidRPr="002F041F">
              <w:rPr>
                <w:b/>
                <w:i/>
              </w:rPr>
              <w:tab/>
              <w:t>fiskeri ude</w:t>
            </w:r>
            <w:r w:rsidRPr="002F041F">
              <w:rPr>
                <w:b/>
                <w:i/>
              </w:rPr>
              <w:t>n FOS.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t>Observerer kontrollørerne ved bording og inspektion af et fiskerfartøj en overtrædelse, underretter myndighederne i inspektionsfartøjets flagmedlemsstat omgående Kommissionen eller et organ, denne har udpeget, som underretter det inspicerede fi</w:t>
            </w:r>
            <w:r w:rsidRPr="002F041F">
              <w:rPr>
                <w:b/>
                <w:i/>
              </w:rPr>
              <w:t>skerfartøjs flagstat både direkte og gennem GFCM's sekretariat. De underretter også ethvert inspektionsskib fra fiskerfartøjets flagstat, som vides at være i nærheden.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 xml:space="preserve">Fiskerfartøjets flagmedlemsstat drager omsorg for, at det pågældende fiskerfartøj </w:t>
            </w:r>
            <w:r w:rsidRPr="002F041F">
              <w:rPr>
                <w:b/>
                <w:i/>
              </w:rPr>
              <w:t>efter en inspektion, hvorunder en overtrædelse er blevet afsløret, indstiller alt fiskeri. Flagmedlemsstaten beordrer fiskerfartøjet til inden for 72 timer at sejle til en havn, som den har udpeget, hvor der indledes en undersøgelse.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Hvis der ved insp</w:t>
            </w:r>
            <w:r w:rsidRPr="002F041F">
              <w:rPr>
                <w:b/>
                <w:i/>
              </w:rPr>
              <w:t xml:space="preserve">ektion konstateres en overtrædelse, meddeles de foranstaltninger og opfølgende skridt, som flagmedlemsstaten foretager, til Kommissionen eller et af denne udpeget </w:t>
            </w:r>
            <w:r w:rsidRPr="002F041F">
              <w:rPr>
                <w:b/>
                <w:i/>
              </w:rPr>
              <w:lastRenderedPageBreak/>
              <w:t>organ. Kommissionen eller et af denne udpeget organ fremsender besked om foranstaltningerne o</w:t>
            </w:r>
            <w:r w:rsidRPr="002F041F">
              <w:rPr>
                <w:b/>
                <w:i/>
              </w:rPr>
              <w:t>g opfølgningen til GFCM's sekretariat.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Medlemsstaternes myndigheder følger op på inspektionsrapporter som omhandlet i artikel 30, stk. 3, oplysningsark for observation som omhandlet i bilag VII og erklæringer fra dokumentbaserede inspektioner, som kon</w:t>
            </w:r>
            <w:r w:rsidRPr="002F041F">
              <w:rPr>
                <w:b/>
                <w:i/>
              </w:rPr>
              <w:t>trollørerne har foretaget, på samme måde, hvorpå de følger op på rapporter og erklæringer fra nationale kontrollører."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GFCM/46/2023/18</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53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39</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78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t xml:space="preserve">Medlemsstaterne </w:t>
            </w:r>
            <w:r w:rsidRPr="002F041F">
              <w:t>sikrer, at den samlede flådekapacitet, hvad angår bruttotonnage (BT) </w:t>
            </w:r>
            <w:r w:rsidRPr="002F041F">
              <w:rPr>
                <w:b/>
                <w:bCs/>
                <w:i/>
                <w:iCs/>
              </w:rPr>
              <w:t>og/eller bruttoregistertonnage (BRT)</w:t>
            </w:r>
            <w:r w:rsidRPr="002F041F">
              <w:t>, maskineffekt (kW) og antal fartøjer som registreret i både nationale registre og GFCM-registre, ikke overstiger den gennemsnitlige flådekapacitet for</w:t>
            </w:r>
            <w:r w:rsidRPr="002F041F">
              <w:t xml:space="preserve"> fiskeriet i årene 2018-2021.</w:t>
            </w:r>
          </w:p>
        </w:tc>
        <w:tc>
          <w:tcPr>
            <w:tcW w:w="4876" w:type="dxa"/>
            <w:hideMark/>
          </w:tcPr>
          <w:p w:rsidR="00C6436A" w:rsidRPr="002F041F" w:rsidRDefault="002F041F">
            <w:pPr>
              <w:pStyle w:val="Normal6"/>
              <w:rPr>
                <w:szCs w:val="24"/>
              </w:rPr>
            </w:pPr>
            <w:r w:rsidRPr="002F041F">
              <w:t>1.</w:t>
            </w:r>
            <w:r w:rsidRPr="002F041F">
              <w:tab/>
              <w:t>Medlemsstaterne sikrer, at den samlede flådekapacitet, hvad angår bruttotonnage (BT), maskineffekt (kW) og antal fartøjer som registreret i både nationale registre og GFCM-registre, ikke overstiger den gennemsnitlige flådek</w:t>
            </w:r>
            <w:r w:rsidRPr="002F041F">
              <w:t>apacitet for fiskeriet i årene 2018-2021.</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GFCM/45/2022/3</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54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39</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78 – stk. 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2.</w:t>
            </w:r>
            <w:r w:rsidRPr="002F041F">
              <w:tab/>
              <w:t xml:space="preserve">Medlemsstaterne tilpasser den samlede flådekapacitet af de flåder, der fisker efter spidstandet blankesten </w:t>
            </w:r>
            <w:r w:rsidRPr="002F041F">
              <w:t>med håndliner, faststående langliner og blandede langliner, hvad angår bruttotonnage (BT) </w:t>
            </w:r>
            <w:r w:rsidRPr="002F041F">
              <w:rPr>
                <w:b/>
                <w:bCs/>
                <w:i/>
                <w:iCs/>
              </w:rPr>
              <w:t>og/eller bruttoregistertonnage (BRT)</w:t>
            </w:r>
            <w:r w:rsidRPr="002F041F">
              <w:t>, maskineffekt (kW) og antal fartøjer som registreret i både nationale registre og GFCM-registre.</w:t>
            </w:r>
          </w:p>
        </w:tc>
        <w:tc>
          <w:tcPr>
            <w:tcW w:w="4876" w:type="dxa"/>
            <w:hideMark/>
          </w:tcPr>
          <w:p w:rsidR="00C6436A" w:rsidRPr="002F041F" w:rsidRDefault="002F041F">
            <w:pPr>
              <w:pStyle w:val="Normal6"/>
              <w:rPr>
                <w:szCs w:val="24"/>
              </w:rPr>
            </w:pPr>
            <w:r w:rsidRPr="002F041F">
              <w:t>2.</w:t>
            </w:r>
            <w:r w:rsidRPr="002F041F">
              <w:tab/>
              <w:t>Medlemsstaterne tilpasser den</w:t>
            </w:r>
            <w:r w:rsidRPr="002F041F">
              <w:t xml:space="preserve"> samlede flådekapacitet af de flåder, der fisker efter spidstandet blankesten med håndliner, faststående langliner og blandede langliner, hvad angår bruttotonnage (BT), maskineffekt (kW) og antal fartøjer som registreret i både nationale registre og GFCM-r</w:t>
            </w:r>
            <w:r w:rsidRPr="002F041F">
              <w:t>egistre.</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GFCM/45/2022/3</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55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40</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 xml:space="preserve">Forordning </w:t>
      </w:r>
      <w:r w:rsidRPr="002F041F">
        <w:t>(EU)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79 – stk. 4</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4.</w:t>
            </w:r>
            <w:r w:rsidRPr="002F041F">
              <w:tab/>
              <w:t xml:space="preserve">De oplysninger, der er fastsat i </w:t>
            </w:r>
            <w:r w:rsidRPr="002F041F">
              <w:rPr>
                <w:b/>
                <w:bCs/>
                <w:i/>
                <w:iCs/>
              </w:rPr>
              <w:t>stk. 4</w:t>
            </w:r>
            <w:r w:rsidRPr="002F041F">
              <w:t xml:space="preserve">, kan indsendes af fiskerne eller deres repræsentanter op til en time før det forventede </w:t>
            </w:r>
            <w:r w:rsidRPr="002F041F">
              <w:t>ankomsttidspunkt, hvis fiskepladserne ligger mindre end fire timers sejlads fra ankomsthavnen.</w:t>
            </w:r>
          </w:p>
        </w:tc>
        <w:tc>
          <w:tcPr>
            <w:tcW w:w="4876" w:type="dxa"/>
            <w:hideMark/>
          </w:tcPr>
          <w:p w:rsidR="00C6436A" w:rsidRPr="002F041F" w:rsidRDefault="002F041F">
            <w:pPr>
              <w:pStyle w:val="Normal6"/>
              <w:rPr>
                <w:szCs w:val="24"/>
              </w:rPr>
            </w:pPr>
            <w:r w:rsidRPr="002F041F">
              <w:t>4.</w:t>
            </w:r>
            <w:r w:rsidRPr="002F041F">
              <w:tab/>
              <w:t xml:space="preserve">De oplysninger, der er fastsat i </w:t>
            </w:r>
            <w:r w:rsidRPr="002F041F">
              <w:rPr>
                <w:b/>
                <w:bCs/>
                <w:i/>
                <w:iCs/>
              </w:rPr>
              <w:t>stk. 3</w:t>
            </w:r>
            <w:r w:rsidRPr="002F041F">
              <w:t>, kan indsendes af fiskerne eller deres repræsentanter op til en time før det forventede ankomsttidspunkt, hvis fiskepl</w:t>
            </w:r>
            <w:r w:rsidRPr="002F041F">
              <w:t>adserne ligger mindre end fire timers sejlads fra ankomsthavnen.</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56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40</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79 – stk. 5</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rPr>
                <w:b/>
                <w:i/>
              </w:rPr>
              <w:t>5.</w:t>
            </w:r>
            <w:r w:rsidRPr="002F041F">
              <w:rPr>
                <w:b/>
                <w:i/>
              </w:rPr>
              <w:tab/>
              <w:t xml:space="preserve">Uden at det berører artikel 14 i forordning (EF) nr. 1224/2009, skal fiskere eller førere af fiskerfartøjer med tilladelse, der </w:t>
            </w:r>
            <w:r w:rsidRPr="002F041F">
              <w:rPr>
                <w:b/>
                <w:i/>
              </w:rPr>
              <w:t>fisker aktivt inden for anvendelsesområdet for denne afdeling, rapportere alle daglige fangster, uanset fangstens levende vægt, og registrere eller anslå fangsterne af nævnte art.</w:t>
            </w:r>
          </w:p>
        </w:tc>
        <w:tc>
          <w:tcPr>
            <w:tcW w:w="4876" w:type="dxa"/>
            <w:hideMark/>
          </w:tcPr>
          <w:p w:rsidR="00C6436A" w:rsidRPr="002F041F" w:rsidRDefault="002F041F">
            <w:pPr>
              <w:pStyle w:val="Normal6"/>
              <w:rPr>
                <w:szCs w:val="24"/>
              </w:rPr>
            </w:pPr>
            <w:r w:rsidRPr="002F041F">
              <w:rPr>
                <w:b/>
                <w:i/>
              </w:rPr>
              <w:t>udgår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Fo</w:t>
      </w:r>
      <w:r w:rsidRPr="002F041F">
        <w:rPr>
          <w:noProof w:val="0"/>
        </w:rPr>
        <w:t>rordning (EF) nr. 1224/2009 gælder for alle EU-fiskere eller førere af fiskerfartøjer med tilladelse, så der er ikke behov for et yderligere stykke.</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57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40</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79 – stk. 6</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6.</w:t>
            </w:r>
            <w:r w:rsidRPr="002F041F">
              <w:tab/>
              <w:t>Det er forbudt at lande eller omlade enhver mængde af spidstandet blankesten, de</w:t>
            </w:r>
            <w:r w:rsidRPr="002F041F">
              <w:t xml:space="preserve">r er fanget i Alboránhavet, andre steder end </w:t>
            </w:r>
            <w:r w:rsidRPr="002F041F">
              <w:rPr>
                <w:b/>
                <w:bCs/>
                <w:i/>
                <w:iCs/>
              </w:rPr>
              <w:t>i havnene på</w:t>
            </w:r>
            <w:r w:rsidRPr="002F041F">
              <w:t xml:space="preserve"> de landingssteder, der er udpeget af medlemsstaterne.</w:t>
            </w:r>
          </w:p>
        </w:tc>
        <w:tc>
          <w:tcPr>
            <w:tcW w:w="4876" w:type="dxa"/>
            <w:hideMark/>
          </w:tcPr>
          <w:p w:rsidR="00C6436A" w:rsidRPr="002F041F" w:rsidRDefault="002F041F">
            <w:pPr>
              <w:pStyle w:val="Normal6"/>
              <w:rPr>
                <w:szCs w:val="24"/>
              </w:rPr>
            </w:pPr>
            <w:r w:rsidRPr="002F041F">
              <w:t>6.</w:t>
            </w:r>
            <w:r w:rsidRPr="002F041F">
              <w:tab/>
              <w:t>Det er forbudt at lande eller omlade enhver mængde af spidstandet blankesten, der er fanget i Alboránhavet, andre steder end de landingsstede</w:t>
            </w:r>
            <w:r w:rsidRPr="002F041F">
              <w:t>r, der er udpeget af medlemsstaterne.</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58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40</w:t>
      </w:r>
      <w:r w:rsidRPr="002F041F">
        <w:rPr>
          <w:rStyle w:val="HideTWBExt"/>
          <w:noProof w:val="0"/>
        </w:rPr>
        <w:t>&lt;/Article&gt;</w:t>
      </w:r>
    </w:p>
    <w:p w:rsidR="00C6436A" w:rsidRPr="002F041F" w:rsidRDefault="002F041F" w:rsidP="00C6436A">
      <w:pPr>
        <w:keepNext/>
      </w:pPr>
      <w:r w:rsidRPr="002F041F">
        <w:rPr>
          <w:rStyle w:val="HideTWBExt"/>
          <w:noProof w:val="0"/>
        </w:rPr>
        <w:lastRenderedPageBreak/>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79 – stk. 10</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10.</w:t>
            </w:r>
            <w:r w:rsidRPr="002F041F">
              <w:tab/>
              <w:t>Uanset artikel 9 i forordning (EF) nr. 1224/2009 skal alle fartøjer med tilladelse med en længde overalt på over 10 m i henhold til dette kapitel senest den</w:t>
            </w:r>
            <w:r w:rsidRPr="002F041F">
              <w:t xml:space="preserve"> </w:t>
            </w:r>
            <w:r w:rsidRPr="002F041F">
              <w:rPr>
                <w:b/>
                <w:bCs/>
                <w:i/>
                <w:iCs/>
              </w:rPr>
              <w:t>1. januar 2024</w:t>
            </w:r>
            <w:r w:rsidRPr="002F041F">
              <w:t xml:space="preserve"> være udstyret med et fartøjsovervågningssystem (FOS) eller et hvilket som helst andet geolokaliseringssystem, der giver kontrolmyndighederne mulighed for til enhver tid at spore deres aktiviteter under fangstrejserne."</w:t>
            </w:r>
            <w:r w:rsidR="0065437A" w:rsidRPr="002F041F">
              <w:t xml:space="preserve"> </w:t>
            </w:r>
          </w:p>
        </w:tc>
        <w:tc>
          <w:tcPr>
            <w:tcW w:w="4876" w:type="dxa"/>
            <w:hideMark/>
          </w:tcPr>
          <w:p w:rsidR="00C6436A" w:rsidRPr="002F041F" w:rsidRDefault="002F041F" w:rsidP="00A079CA">
            <w:pPr>
              <w:pStyle w:val="Normal6"/>
              <w:rPr>
                <w:szCs w:val="24"/>
              </w:rPr>
            </w:pPr>
            <w:r w:rsidRPr="002F041F">
              <w:t>10.</w:t>
            </w:r>
            <w:r w:rsidRPr="002F041F">
              <w:tab/>
            </w:r>
            <w:r w:rsidRPr="002F041F">
              <w:t xml:space="preserve">Uanset artikel 9 i forordning (EF) nr. 1224/2009 skal alle fartøjer med tilladelse med en længde overalt på over 10 m i henhold til dette kapitel senest den i </w:t>
            </w:r>
            <w:r w:rsidRPr="002F041F">
              <w:rPr>
                <w:b/>
                <w:bCs/>
                <w:i/>
                <w:iCs/>
              </w:rPr>
              <w:t>...[ikrafttrædelsesdatoen]</w:t>
            </w:r>
            <w:r w:rsidRPr="002F041F">
              <w:t xml:space="preserve"> være udstyret med et fartøjsovervågningssystem (FOS) eller et hvilket </w:t>
            </w:r>
            <w:r w:rsidRPr="002F041F">
              <w:t>som helst andet geolokaliseringssystem, der giver kontrolmyndighederne mulighed for til enhver tid at spore deres aktiviteter under fangstrejserne."</w:t>
            </w:r>
            <w:r w:rsidR="0065437A" w:rsidRPr="002F041F">
              <w:t xml:space="preserve">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59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w:t>
      </w:r>
      <w:r w:rsidRPr="002F041F">
        <w:t xml:space="preserve">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42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81</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Gældende ordlyd</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A079CA">
            <w:pPr>
              <w:pStyle w:val="Normal6"/>
              <w:rPr>
                <w:szCs w:val="24"/>
              </w:rPr>
            </w:pPr>
            <w:r w:rsidRPr="002F041F">
              <w:rPr>
                <w:b/>
                <w:i/>
              </w:rPr>
              <w:t>42a)</w:t>
            </w:r>
            <w:r w:rsidRPr="002F041F">
              <w:rPr>
                <w:b/>
                <w:i/>
              </w:rPr>
              <w:tab/>
              <w:t>Artikel 81 affattes således:</w:t>
            </w:r>
          </w:p>
        </w:tc>
      </w:tr>
      <w:tr w:rsidR="007233AC" w:rsidRPr="002F041F" w:rsidTr="00C6436A">
        <w:trPr>
          <w:jc w:val="center"/>
        </w:trPr>
        <w:tc>
          <w:tcPr>
            <w:tcW w:w="4876" w:type="dxa"/>
          </w:tcPr>
          <w:p w:rsidR="00CE014B" w:rsidRPr="002F041F" w:rsidRDefault="002F041F">
            <w:pPr>
              <w:pStyle w:val="Normal6"/>
            </w:pPr>
            <w:r w:rsidRPr="002F041F">
              <w:t>Artikel 81</w:t>
            </w:r>
          </w:p>
        </w:tc>
        <w:tc>
          <w:tcPr>
            <w:tcW w:w="4876" w:type="dxa"/>
          </w:tcPr>
          <w:p w:rsidR="00CE014B" w:rsidRPr="002F041F" w:rsidRDefault="002F041F" w:rsidP="00A079CA">
            <w:pPr>
              <w:pStyle w:val="Normal6"/>
            </w:pPr>
            <w:r w:rsidRPr="002F041F">
              <w:t>"Artikel 81</w:t>
            </w:r>
          </w:p>
        </w:tc>
      </w:tr>
      <w:tr w:rsidR="007233AC" w:rsidRPr="002F041F" w:rsidTr="00C6436A">
        <w:trPr>
          <w:jc w:val="center"/>
        </w:trPr>
        <w:tc>
          <w:tcPr>
            <w:tcW w:w="4876" w:type="dxa"/>
          </w:tcPr>
          <w:p w:rsidR="00CE014B" w:rsidRPr="002F041F" w:rsidRDefault="002F041F">
            <w:pPr>
              <w:pStyle w:val="Normal6"/>
            </w:pPr>
            <w:r w:rsidRPr="002F041F">
              <w:t>Anvendelsesområde</w:t>
            </w:r>
          </w:p>
        </w:tc>
        <w:tc>
          <w:tcPr>
            <w:tcW w:w="4876" w:type="dxa"/>
          </w:tcPr>
          <w:p w:rsidR="00CE014B" w:rsidRPr="002F041F" w:rsidRDefault="002F041F" w:rsidP="00A079CA">
            <w:pPr>
              <w:pStyle w:val="Normal6"/>
            </w:pPr>
            <w:r w:rsidRPr="002F041F">
              <w:t>Anvendelsesområde</w:t>
            </w:r>
          </w:p>
        </w:tc>
      </w:tr>
      <w:tr w:rsidR="007233AC" w:rsidRPr="002F041F" w:rsidTr="00C6436A">
        <w:trPr>
          <w:jc w:val="center"/>
        </w:trPr>
        <w:tc>
          <w:tcPr>
            <w:tcW w:w="4876" w:type="dxa"/>
            <w:hideMark/>
          </w:tcPr>
          <w:p w:rsidR="00C6436A" w:rsidRPr="002F041F" w:rsidRDefault="002F041F">
            <w:pPr>
              <w:pStyle w:val="Normal6"/>
            </w:pPr>
            <w:r w:rsidRPr="002F041F">
              <w:t xml:space="preserve">Dette kapitel finder anvendelse på </w:t>
            </w:r>
            <w:r w:rsidRPr="002F041F">
              <w:rPr>
                <w:b/>
                <w:bCs/>
                <w:i/>
                <w:iCs/>
              </w:rPr>
              <w:t>alt kommercielt</w:t>
            </w:r>
            <w:r w:rsidRPr="002F041F">
              <w:t xml:space="preserve"> fiskeri efter guldmakrel (Coryphaena hippurus) ved hjælp af </w:t>
            </w:r>
            <w:r w:rsidRPr="002F041F">
              <w:rPr>
                <w:b/>
                <w:bCs/>
                <w:i/>
                <w:iCs/>
              </w:rPr>
              <w:t>anordninger til tiltrækning af fisk (</w:t>
            </w:r>
            <w:r w:rsidRPr="002F041F">
              <w:t>FAD'er</w:t>
            </w:r>
            <w:r w:rsidRPr="002F041F">
              <w:rPr>
                <w:b/>
                <w:bCs/>
                <w:i/>
                <w:iCs/>
              </w:rPr>
              <w:t>) i hele Middelhavet (geografiske underområder 1-27)</w:t>
            </w:r>
            <w:r w:rsidRPr="002F041F">
              <w:t>.</w:t>
            </w:r>
          </w:p>
        </w:tc>
        <w:tc>
          <w:tcPr>
            <w:tcW w:w="4876" w:type="dxa"/>
            <w:hideMark/>
          </w:tcPr>
          <w:p w:rsidR="00C6436A" w:rsidRPr="002F041F" w:rsidRDefault="002F041F">
            <w:pPr>
              <w:pStyle w:val="Normal6"/>
              <w:rPr>
                <w:szCs w:val="24"/>
              </w:rPr>
            </w:pPr>
            <w:r w:rsidRPr="002F041F">
              <w:t xml:space="preserve">Dette kapitel finder anvendelse på </w:t>
            </w:r>
            <w:r w:rsidRPr="002F041F">
              <w:rPr>
                <w:b/>
                <w:bCs/>
                <w:i/>
                <w:iCs/>
              </w:rPr>
              <w:t>pelagisk</w:t>
            </w:r>
            <w:r w:rsidRPr="002F041F">
              <w:t xml:space="preserve"> fiskeri </w:t>
            </w:r>
            <w:r w:rsidRPr="002F041F">
              <w:rPr>
                <w:b/>
                <w:bCs/>
                <w:i/>
                <w:iCs/>
              </w:rPr>
              <w:t>i Middelhavet (geografiske underområder 1-27)</w:t>
            </w:r>
            <w:r w:rsidRPr="002F041F">
              <w:t xml:space="preserve"> efter guldmakrel (Coryphaena hippurus) ved hjælp af FAD'er </w:t>
            </w:r>
            <w:r w:rsidRPr="002F041F">
              <w:rPr>
                <w:b/>
                <w:bCs/>
                <w:i/>
                <w:iCs/>
              </w:rPr>
              <w:t>og på rekreativt fiskeri."</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4B7199" w:rsidRPr="002F041F" w:rsidRDefault="002F041F" w:rsidP="00C6436A">
      <w:pPr>
        <w:pStyle w:val="JustificationTitle"/>
        <w:rPr>
          <w:noProof w:val="0"/>
        </w:rPr>
      </w:pPr>
      <w:r w:rsidRPr="002F041F">
        <w:rPr>
          <w:noProof w:val="0"/>
        </w:rPr>
        <w:t>(https://eur-lex.europa.eu/legal-conten</w:t>
      </w:r>
      <w:r w:rsidRPr="002F041F">
        <w:rPr>
          <w:noProof w:val="0"/>
        </w:rPr>
        <w:t>t/DA/TXT/?uri=CELEX:32023R2124)</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60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42 b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 xml:space="preserve">Forordning </w:t>
      </w:r>
      <w:r w:rsidRPr="002F041F">
        <w:t>(EU)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83</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Gældende ordlyd</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A079CA">
            <w:pPr>
              <w:pStyle w:val="Normal6"/>
              <w:rPr>
                <w:szCs w:val="24"/>
              </w:rPr>
            </w:pPr>
            <w:r w:rsidRPr="002F041F">
              <w:rPr>
                <w:b/>
                <w:i/>
              </w:rPr>
              <w:t>42b)</w:t>
            </w:r>
            <w:r w:rsidRPr="002F041F">
              <w:rPr>
                <w:b/>
                <w:i/>
              </w:rPr>
              <w:tab/>
              <w:t>Artikel 83 affattes således:</w:t>
            </w:r>
          </w:p>
        </w:tc>
      </w:tr>
      <w:tr w:rsidR="007233AC" w:rsidRPr="002F041F" w:rsidTr="00C6436A">
        <w:trPr>
          <w:jc w:val="center"/>
        </w:trPr>
        <w:tc>
          <w:tcPr>
            <w:tcW w:w="4876" w:type="dxa"/>
            <w:hideMark/>
          </w:tcPr>
          <w:p w:rsidR="00C6436A" w:rsidRPr="002F041F" w:rsidRDefault="002F041F">
            <w:pPr>
              <w:pStyle w:val="Normal6"/>
            </w:pPr>
            <w:r w:rsidRPr="002F041F">
              <w:rPr>
                <w:b/>
                <w:bCs/>
                <w:i/>
                <w:iCs/>
              </w:rPr>
              <w:t xml:space="preserve">Medlemsstater, der overvejer at begynde at fiske efter guldmakrel ved hjælp af FAD'er, meddeler Kommissionen deres </w:t>
            </w:r>
            <w:r w:rsidRPr="002F041F">
              <w:rPr>
                <w:b/>
                <w:bCs/>
                <w:i/>
                <w:iCs/>
              </w:rPr>
              <w:t>nationale foranstaltninger, når de er vedtaget, og Kommissionen sender straks disse foranstaltninger til GFCM's sekretariat.</w:t>
            </w:r>
          </w:p>
        </w:tc>
        <w:tc>
          <w:tcPr>
            <w:tcW w:w="4876" w:type="dxa"/>
            <w:hideMark/>
          </w:tcPr>
          <w:p w:rsidR="00C6436A" w:rsidRPr="002F041F" w:rsidRDefault="002F041F">
            <w:pPr>
              <w:pStyle w:val="Normal6"/>
              <w:rPr>
                <w:szCs w:val="24"/>
              </w:rPr>
            </w:pPr>
            <w:r w:rsidRPr="002F041F">
              <w:rPr>
                <w:b/>
                <w:bCs/>
                <w:i/>
                <w:iCs/>
              </w:rPr>
              <w:t>"I overgangsperioden sørger medlemsstaterne for, at der fastsættes en fangstbegrænsning på grundlag af de landinger, der indberette</w:t>
            </w:r>
            <w:r w:rsidRPr="002F041F">
              <w:rPr>
                <w:b/>
                <w:bCs/>
                <w:i/>
                <w:iCs/>
              </w:rPr>
              <w:t>s til GFCM, som følger:</w:t>
            </w:r>
            <w:r w:rsidRPr="002F041F">
              <w:rPr>
                <w:b/>
                <w:i/>
              </w:rPr>
              <w:t xml:space="preserve"> enten i) på grundlag af gennemsnittet af landinger i to på hinanden følgende år inden for perioden 2018-2022 eller ii) på grundlag af landinger i 2022."</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4B7199" w:rsidRPr="002F041F" w:rsidRDefault="002F041F" w:rsidP="00C6436A">
      <w:pPr>
        <w:pStyle w:val="JustificationTitle"/>
        <w:rPr>
          <w:noProof w:val="0"/>
        </w:rPr>
      </w:pPr>
      <w:r w:rsidRPr="002F041F">
        <w:rPr>
          <w:noProof w:val="0"/>
        </w:rPr>
        <w:t>(https://eur-lex.europa.eu/legal-content/DA/TX</w:t>
      </w:r>
      <w:r w:rsidRPr="002F041F">
        <w:rPr>
          <w:noProof w:val="0"/>
        </w:rPr>
        <w:t>T/?uri=CELEX:32023R2124)</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61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42 c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w:t>
      </w:r>
      <w:r w:rsidRPr="002F041F">
        <w:t xml:space="preserve">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84 – stk. 2 a (nyt)</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A079CA">
            <w:pPr>
              <w:pStyle w:val="Normal6"/>
              <w:rPr>
                <w:szCs w:val="24"/>
              </w:rPr>
            </w:pPr>
            <w:r w:rsidRPr="002F041F">
              <w:rPr>
                <w:b/>
                <w:i/>
              </w:rPr>
              <w:t>42c)</w:t>
            </w:r>
            <w:r w:rsidRPr="002F041F">
              <w:rPr>
                <w:b/>
                <w:i/>
              </w:rPr>
              <w:tab/>
              <w:t>I artikel 84 indsættes følgende stykke: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"2a.</w:t>
            </w:r>
            <w:r w:rsidRPr="002F041F">
              <w:rPr>
                <w:b/>
                <w:i/>
              </w:rPr>
              <w:tab/>
              <w:t xml:space="preserve">Medlemsstaterne indsender deres nationale data (som specificeret i bilag XXV) til GFCM's </w:t>
            </w:r>
            <w:r w:rsidRPr="002F041F">
              <w:rPr>
                <w:b/>
                <w:i/>
              </w:rPr>
              <w:t>sekretariat senest den 31. juli i hvert kalenderår."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lastRenderedPageBreak/>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62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 xml:space="preserve">Artikel 1 – </w:t>
      </w:r>
      <w:r w:rsidRPr="002F041F">
        <w:t>stk. 1 – nr. 42 d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85</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Gældende ordlyd</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A079CA">
            <w:pPr>
              <w:pStyle w:val="Normal6"/>
              <w:rPr>
                <w:szCs w:val="24"/>
              </w:rPr>
            </w:pPr>
            <w:r w:rsidRPr="002F041F">
              <w:rPr>
                <w:b/>
                <w:i/>
              </w:rPr>
              <w:t>42d)</w:t>
            </w:r>
            <w:r w:rsidRPr="002F041F">
              <w:rPr>
                <w:b/>
                <w:i/>
              </w:rPr>
              <w:tab/>
              <w:t>Artikel 85 affattes således:</w:t>
            </w:r>
          </w:p>
        </w:tc>
      </w:tr>
      <w:tr w:rsidR="007233AC" w:rsidRPr="002F041F" w:rsidTr="00C6436A">
        <w:trPr>
          <w:jc w:val="center"/>
        </w:trPr>
        <w:tc>
          <w:tcPr>
            <w:tcW w:w="4876" w:type="dxa"/>
            <w:hideMark/>
          </w:tcPr>
          <w:p w:rsidR="00C6436A" w:rsidRPr="002F041F" w:rsidRDefault="002F041F">
            <w:pPr>
              <w:pStyle w:val="Normal6"/>
              <w:rPr>
                <w:b/>
                <w:i/>
              </w:rPr>
            </w:pPr>
            <w:r w:rsidRPr="002F041F">
              <w:rPr>
                <w:b/>
                <w:bCs/>
                <w:i/>
                <w:iCs/>
              </w:rPr>
              <w:t>Medlemsstater, der fisker efter guldmakrel ved hjælp af FAD'er, og</w:t>
            </w:r>
            <w:r w:rsidRPr="002F041F">
              <w:rPr>
                <w:b/>
                <w:bCs/>
                <w:i/>
                <w:iCs/>
              </w:rPr>
              <w:t xml:space="preserve"> som ikke har truffet nationale forvaltningsforanstaltninger, vedtager nationale forvaltningsforanstaltninger, der som minimum omfatter et sæt foranstaltninger indeholdende de elementer, der er angivet i bilag IX.</w:t>
            </w:r>
          </w:p>
        </w:tc>
        <w:tc>
          <w:tcPr>
            <w:tcW w:w="4876" w:type="dxa"/>
            <w:hideMark/>
          </w:tcPr>
          <w:p w:rsidR="00C6436A" w:rsidRPr="002F041F" w:rsidRDefault="002F041F">
            <w:pPr>
              <w:pStyle w:val="Normal6"/>
              <w:rPr>
                <w:szCs w:val="24"/>
              </w:rPr>
            </w:pPr>
            <w:r w:rsidRPr="002F041F">
              <w:rPr>
                <w:b/>
                <w:i/>
              </w:rPr>
              <w:t>"1.</w:t>
            </w:r>
            <w:r w:rsidRPr="002F041F">
              <w:rPr>
                <w:b/>
                <w:i/>
              </w:rPr>
              <w:tab/>
            </w:r>
            <w:r w:rsidRPr="002F041F">
              <w:rPr>
                <w:b/>
                <w:bCs/>
                <w:i/>
                <w:iCs/>
              </w:rPr>
              <w:t>Medlemsstaterne indfører i den hensigt</w:t>
            </w:r>
            <w:r w:rsidRPr="002F041F">
              <w:rPr>
                <w:b/>
                <w:bCs/>
                <w:i/>
                <w:iCs/>
              </w:rPr>
              <w:t xml:space="preserve"> at sikre tilstrækkelig bevaring af guldmakrel fiskeriforvaltningsforanstaltninger eller nationale forvaltningsplaner for geografiske underområder 1-27.</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t xml:space="preserve">Medlemsstaterne underretter GFCM's sekretariat om de forvaltningsforanstaltninger eller </w:t>
            </w:r>
            <w:r w:rsidRPr="002F041F">
              <w:rPr>
                <w:b/>
                <w:i/>
              </w:rPr>
              <w:t>forvaltningsplaner, der indføres på nationalt plan. Hvis disse foranstaltninger ændres, meddeler medlemsstaterne hvis hensigtsmæssigt ændringerne senest den 30. april det følgende år."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4B7199" w:rsidRPr="002F041F" w:rsidRDefault="002F041F" w:rsidP="00C6436A">
      <w:pPr>
        <w:pStyle w:val="JustificationTitle"/>
        <w:rPr>
          <w:noProof w:val="0"/>
        </w:rPr>
      </w:pPr>
      <w:r w:rsidRPr="002F041F">
        <w:rPr>
          <w:noProof w:val="0"/>
        </w:rPr>
        <w:t>(https://eur-lex.europa.eu/legal-content/DA/TXT/?uri=CELEX:32023R2124)</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63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w:t>
      </w:r>
      <w:r w:rsidRPr="002F041F">
        <w:t xml:space="preserve"> – nr. 43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86 – stk. -1 (nyt)</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CE014B">
            <w:pPr>
              <w:pStyle w:val="Normal6"/>
              <w:rPr>
                <w:szCs w:val="24"/>
              </w:rPr>
            </w:pPr>
            <w:r w:rsidRPr="002F041F">
              <w:rPr>
                <w:b/>
                <w:i/>
              </w:rPr>
              <w:t>43a)</w:t>
            </w:r>
            <w:r w:rsidRPr="002F041F">
              <w:rPr>
                <w:b/>
                <w:i/>
              </w:rPr>
              <w:tab/>
              <w:t>I artikel 86 indsættes følgende stykke: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w:t>
            </w:r>
            <w:r w:rsidRPr="002F041F">
              <w:rPr>
                <w:b/>
                <w:bCs/>
                <w:i/>
              </w:rPr>
              <w:t>-</w:t>
            </w:r>
            <w:r w:rsidRPr="002F041F">
              <w:rPr>
                <w:b/>
                <w:i/>
              </w:rPr>
              <w:t>1.</w:t>
            </w:r>
            <w:r w:rsidRPr="002F041F">
              <w:rPr>
                <w:b/>
                <w:i/>
              </w:rPr>
              <w:tab/>
              <w:t xml:space="preserve">Medlemsstaterne sikrer, at den </w:t>
            </w:r>
            <w:r w:rsidRPr="002F041F">
              <w:rPr>
                <w:b/>
                <w:i/>
              </w:rPr>
              <w:t>samlede flådekapacitet for flåder, der opererer med FAD'er og aktivt fisker efter vigtige bestande for så vidt angår bruttotonnage (BT), maskineffekt (kW) og antal fartøjer som registreret i både nationale registre og GFCM-registre, i løbet af henstillinge</w:t>
            </w:r>
            <w:r w:rsidRPr="002F041F">
              <w:rPr>
                <w:b/>
                <w:i/>
              </w:rPr>
              <w:t>ns mandatperiode ikke overstiger flådekapaciteten for fartøjer, der fiskede efter guldmakrel med FAD'er i 2019."</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64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44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88 – stk. 3 a (nyt)</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893113">
            <w:pPr>
              <w:pStyle w:val="Normal6"/>
              <w:rPr>
                <w:szCs w:val="24"/>
              </w:rPr>
            </w:pPr>
            <w:r w:rsidRPr="002F041F">
              <w:rPr>
                <w:b/>
                <w:i/>
              </w:rPr>
              <w:t>44a)</w:t>
            </w:r>
            <w:r w:rsidRPr="002F041F">
              <w:rPr>
                <w:b/>
                <w:i/>
              </w:rPr>
              <w:tab/>
              <w:t>I artikel 88 indsættes følgende stykke: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"3a.</w:t>
            </w:r>
            <w:r w:rsidRPr="002F041F">
              <w:rPr>
                <w:b/>
                <w:i/>
              </w:rPr>
              <w:tab/>
              <w:t>FAD'er bør fra den første dag i sæsonen for FAD-fiskeri i 2027 udelukkende være konstrueret af bionedbrydelige materialer for at sikre, at tabte anordninger ikke bidrager yderligere til plastforurening af hav</w:t>
            </w:r>
            <w:r w:rsidRPr="002F041F">
              <w:rPr>
                <w:b/>
                <w:i/>
              </w:rPr>
              <w:t xml:space="preserve">ene."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65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45</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 xml:space="preserve">Forordning </w:t>
      </w:r>
      <w:r w:rsidRPr="002F041F">
        <w:t>(EU)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88 – stk. 6</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6.</w:t>
            </w:r>
            <w:r w:rsidRPr="002F041F">
              <w:tab/>
            </w:r>
            <w:r w:rsidRPr="002F041F">
              <w:rPr>
                <w:b/>
                <w:bCs/>
                <w:i/>
                <w:iCs/>
              </w:rPr>
              <w:t>Uden at det berører strengere bestemmelser fastsat i artikel 14, stk. 7, og artikel 48 i forordning (EF) nr. 1224/2009</w:t>
            </w:r>
            <w:r w:rsidRPr="002F041F">
              <w:t xml:space="preserve">, registrerer fiskerne eller fiskerfartøjsførerne, </w:t>
            </w:r>
            <w:r w:rsidRPr="002F041F">
              <w:rPr>
                <w:b/>
                <w:bCs/>
                <w:i/>
                <w:iCs/>
              </w:rPr>
              <w:t>såfremt en FAD mistes, eller det er umuligt at hale den ind,</w:t>
            </w:r>
            <w:r w:rsidRPr="002F041F">
              <w:t xml:space="preserve"> den sidste kendte position og datoen herfor. Fiskerfartøjer, der fisker efter guldmakrel, indsamler og rapporterer den sidste registrerede posit</w:t>
            </w:r>
            <w:r w:rsidRPr="002F041F">
              <w:t>ion for den mistede FAD samt datoen herfor, FAD'ens identifikationsnummer og eventuelle andre oplysninger, der gør det muligt at identificere FAD'ens ejer."</w:t>
            </w:r>
          </w:p>
        </w:tc>
        <w:tc>
          <w:tcPr>
            <w:tcW w:w="4876" w:type="dxa"/>
            <w:hideMark/>
          </w:tcPr>
          <w:p w:rsidR="00C6436A" w:rsidRPr="002F041F" w:rsidRDefault="002F041F">
            <w:pPr>
              <w:pStyle w:val="Normal6"/>
              <w:rPr>
                <w:szCs w:val="24"/>
              </w:rPr>
            </w:pPr>
            <w:r w:rsidRPr="002F041F">
              <w:t>6.</w:t>
            </w:r>
            <w:r w:rsidRPr="002F041F">
              <w:tab/>
            </w:r>
            <w:r w:rsidRPr="002F041F">
              <w:rPr>
                <w:b/>
                <w:bCs/>
                <w:i/>
                <w:iCs/>
              </w:rPr>
              <w:t>Såfremt en FAD går tabt eller er umulig at hale ind</w:t>
            </w:r>
            <w:r w:rsidRPr="002F041F">
              <w:t>, registrerer fiskerne eller fiskerfartøjsfør</w:t>
            </w:r>
            <w:r w:rsidRPr="002F041F">
              <w:t xml:space="preserve">erne den sidste kendte position og datoen herfor. Fiskerfartøjer, der fisker efter guldmakrel, indsamler og rapporterer den sidste registrerede position for den mistede FAD samt datoen herfor, FAD'ens identifikationsnummer og eventuelle andre oplysninger, </w:t>
            </w:r>
            <w:r w:rsidRPr="002F041F">
              <w:t>der gør det muligt at identificere FAD'ens ejer."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 xml:space="preserve">FAD'er betragtes ikke som fiskeredskaber i artikel 14, stk. 7, og artikel 48 i forordning (EF) nr. 1224/2009. Disse to artikler vedrører </w:t>
      </w:r>
      <w:r w:rsidRPr="002F041F">
        <w:rPr>
          <w:noProof w:val="0"/>
        </w:rPr>
        <w:t>kun tabte redskaber.</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66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45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89</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893113">
            <w:pPr>
              <w:pStyle w:val="Normal6"/>
              <w:rPr>
                <w:szCs w:val="24"/>
              </w:rPr>
            </w:pPr>
            <w:r w:rsidRPr="002F041F">
              <w:rPr>
                <w:b/>
                <w:i/>
              </w:rPr>
              <w:t>45a)</w:t>
            </w:r>
            <w:r w:rsidRPr="002F041F">
              <w:rPr>
                <w:b/>
                <w:i/>
              </w:rPr>
              <w:tab/>
              <w:t>I artikel 89 indsættes følgende stykker: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Medlemsstaterne sikrer, at alle fiskerfartøjer, der fører deres flag og fisker guldmakrel, registrerer brug af FAD'er til fiskeri.</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Medlemsstaterne sikrer, at</w:t>
            </w:r>
            <w:r w:rsidRPr="002F041F">
              <w:rPr>
                <w:b/>
                <w:i/>
              </w:rPr>
              <w:t xml:space="preserve"> fartøjer der fører deres flag, såfremt anordninger </w:t>
            </w:r>
            <w:r w:rsidRPr="002F041F">
              <w:rPr>
                <w:b/>
                <w:i/>
              </w:rPr>
              <w:lastRenderedPageBreak/>
              <w:t>går tabt, registrerer og indberetter sidst kendte position for den mistede anordning samt datoen herfor, anordningens identifikationsnummer og eventuelle andre oplysninger, der gør det muligt at identific</w:t>
            </w:r>
            <w:r w:rsidRPr="002F041F">
              <w:rPr>
                <w:b/>
                <w:i/>
              </w:rPr>
              <w:t>ere dens ejer.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 xml:space="preserve">GFCM vedtager senest i 2032 gennemførelsesbestemmelser for identifikation og mærkning af FAD'er."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67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45 b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89 a (ny)</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CE014B">
            <w:pPr>
              <w:pStyle w:val="Normal6"/>
              <w:rPr>
                <w:szCs w:val="24"/>
              </w:rPr>
            </w:pPr>
            <w:r w:rsidRPr="002F041F">
              <w:rPr>
                <w:b/>
                <w:i/>
              </w:rPr>
              <w:t>45b)</w:t>
            </w:r>
            <w:r w:rsidRPr="002F041F">
              <w:rPr>
                <w:b/>
                <w:i/>
              </w:rPr>
              <w:tab/>
              <w:t xml:space="preserve">I </w:t>
            </w:r>
            <w:r w:rsidRPr="002F041F">
              <w:rPr>
                <w:b/>
                <w:i/>
              </w:rPr>
              <w:t>Afsnit II, kapitel VII indsættes følgende artikel:</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"Artikel 89a</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Specifikke foranstaltninger mod ulovligt, urapporteret og ureguleret fiskeri</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t>Hver medlemsstat drager omsorg for, at der findes hensigtsmæssige mekanismer til registrering af hvert fis</w:t>
            </w:r>
            <w:r w:rsidRPr="002F041F">
              <w:rPr>
                <w:b/>
                <w:i/>
              </w:rPr>
              <w:t xml:space="preserve">kerfartøj i et nationalt flåderegister, indføring af fartøjets fangster og fiskeriindsats i logbogen og overvågning af fiskerfartøjers aktiviteter og landinger ved hjælp af undersøgelser og stikprøvekontrol af fangster og indsats i overensstemmelse med de </w:t>
            </w:r>
            <w:r w:rsidRPr="002F041F">
              <w:rPr>
                <w:b/>
                <w:i/>
              </w:rPr>
              <w:t>regler, der er fastsat af medlemsstaten.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t>Medlemsstaterne udpeger landingssteder, hvor fartøjer, der fisker aktivt efter vigtige bestande i Middelhavet, skal foretage landing.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 xml:space="preserve">Den pågældende medlemsstat fastsætter for hver udpeget havn de nærmere </w:t>
            </w:r>
            <w:r w:rsidRPr="002F041F">
              <w:rPr>
                <w:b/>
                <w:i/>
              </w:rPr>
              <w:t>tidspunkter og steder, hvor landing og omladning må finde sted.</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Medlemsstaterne foretager inspektioner på grundlag af en risikoanalyse. Det er forbudt at lande eller omlade nogen som helst mængde af guldmakrel, der er fanget i Middelhavet, ved andre s</w:t>
            </w:r>
            <w:r w:rsidRPr="002F041F">
              <w:rPr>
                <w:b/>
                <w:i/>
              </w:rPr>
              <w:t>teder end de landingssteder, der er udpeget af medlemsstaterne.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Medlemsstaterne indberetter til GFCM's sekretariat senest og derefter den 30. november hvert år eventuelle ændringer af listen over udpegede landingssteder, hvor landinger af fangster fra</w:t>
            </w:r>
            <w:r w:rsidRPr="002F041F">
              <w:rPr>
                <w:b/>
                <w:i/>
              </w:rPr>
              <w:t xml:space="preserve"> vigtige bestande fanget i Middelhavet kan finde sted.</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6.</w:t>
            </w:r>
            <w:r w:rsidRPr="002F041F">
              <w:rPr>
                <w:b/>
                <w:i/>
              </w:rPr>
              <w:tab/>
              <w:t>De medlemsstater, der er parter, skal samarbejde om at bekæmpe IUU-fiskeri, navnlig ved at udveksle oplysninger og indsamle efterretninger med henblik på at bekæmpe ulovlige aktiviteter."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w:t>
      </w:r>
      <w:r w:rsidRPr="002F041F">
        <w:rPr>
          <w:rStyle w:val="HideTWBExt"/>
          <w:noProof w:val="0"/>
        </w:rPr>
        <w:t>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68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45 c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w:t>
      </w:r>
      <w:r w:rsidRPr="002F041F">
        <w:t xml:space="preserve">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89 b (ny)</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CE014B">
            <w:pPr>
              <w:pStyle w:val="Normal6"/>
              <w:rPr>
                <w:szCs w:val="24"/>
              </w:rPr>
            </w:pPr>
            <w:r w:rsidRPr="002F041F">
              <w:rPr>
                <w:b/>
                <w:i/>
              </w:rPr>
              <w:t>45c)</w:t>
            </w:r>
            <w:r w:rsidRPr="002F041F">
              <w:rPr>
                <w:b/>
                <w:i/>
              </w:rPr>
              <w:tab/>
              <w:t>I afsnit II, kapitel VII indsættes følgende artikel:</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"Artikel 89b</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International ordning for fælles inspektion og overvågning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r>
            <w:r w:rsidRPr="002F041F">
              <w:rPr>
                <w:b/>
                <w:i/>
              </w:rPr>
              <w:t>Medlemsstaterne kan udføre inspektions- og overvågningsaktiviteter inden for rammerne af en international ordning for fælles inspektion og overvågning ("ordningen"), der omfatter farvandene uden for national jurisdiktion i GFCM's geografiske underområder 1</w:t>
            </w:r>
            <w:r w:rsidRPr="002F041F">
              <w:rPr>
                <w:b/>
                <w:i/>
              </w:rPr>
              <w:t>9, 1 og 27 (Middelhavet), som defineret i bilag I ("inspektions- og overvågningsområdet").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t>Medlemsstaterne kan tilknytte kontrollører og inspektionsmidler og gennemføre inspektioner under ordningen. Kommissionen eller et af denne udpegede organ kan og</w:t>
            </w:r>
            <w:r w:rsidRPr="002F041F">
              <w:rPr>
                <w:b/>
                <w:i/>
              </w:rPr>
              <w:t>så udpege EU-kontrollører til ordningen.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Kommissionen eller et af denne udpegede organ samordner overvågnings- og inspektionsaktiviteterne for Unionen og kan i samarbejde med de berørte medlemsstater udarbejde en fælles plan for ressourceanvendelse me</w:t>
            </w:r>
            <w:r w:rsidRPr="002F041F">
              <w:rPr>
                <w:b/>
                <w:i/>
              </w:rPr>
              <w:t>d henblik på at sætte Unionen i stand til at deltage i ordningen. Medlemsstater træffer de nødvendige foranstaltninger til at befordre gennemførelse af planerne, navnlig hvad angår de menneskelige og materielle ressourcer, der er nødvendige, og de perioder</w:t>
            </w:r>
            <w:r w:rsidRPr="002F041F">
              <w:rPr>
                <w:b/>
                <w:i/>
              </w:rPr>
              <w:t xml:space="preserve"> og geografiske områder, hvor de pågældende ressourcer skal anvendes.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Senest den 15. november hvert år fremsender hver medlemsstat Kommissionen eller det af denne udpegede organ listen med navnene på kontrollører, der er bemyndiget til at udføre inspe</w:t>
            </w:r>
            <w:r w:rsidRPr="002F041F">
              <w:rPr>
                <w:b/>
                <w:i/>
              </w:rPr>
              <w:t>ktion og overvågning i det i stk. 1 omhandlede område, samt navnene på de fartøjer og fly, der anvendes til inspektion og overvågning, som de har til hensigt at tilknytte ordningen i det følgende år. Kommissionen eller det af denne udpegede organ sender di</w:t>
            </w:r>
            <w:r w:rsidRPr="002F041F">
              <w:rPr>
                <w:b/>
                <w:i/>
              </w:rPr>
              <w:t>sse oplysninger til GFCM's sekretariat senest den 1. december hvert år, eller hurtigst muligt inden inspektionsaktiviteterne påbegyndes.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 xml:space="preserve">Kontrollører, der er tilknyttet </w:t>
            </w:r>
            <w:r w:rsidRPr="002F041F">
              <w:rPr>
                <w:b/>
                <w:i/>
              </w:rPr>
              <w:lastRenderedPageBreak/>
              <w:t xml:space="preserve">ordningen, skal bære et GFCM-kontrollørkort, der er udstedt af de kompetente </w:t>
            </w:r>
            <w:r w:rsidRPr="002F041F">
              <w:rPr>
                <w:b/>
                <w:i/>
              </w:rPr>
              <w:t>myndigheder og udformet som angivet i bilag IV.</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6.</w:t>
            </w:r>
            <w:r w:rsidRPr="002F041F">
              <w:rPr>
                <w:b/>
                <w:i/>
              </w:rPr>
              <w:tab/>
              <w:t>Fartøjer, der udfører bording- og inspektionsopgaver i overensstemmelse med ordningen, skal føre et særligt flag eller en særlig vimpel som beskrevet i bilag V.</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7.</w:t>
            </w:r>
            <w:r w:rsidRPr="002F041F">
              <w:rPr>
                <w:b/>
                <w:i/>
              </w:rPr>
              <w:tab/>
              <w:t>Den enkelte medlemsstat sikrer, at en</w:t>
            </w:r>
            <w:r w:rsidRPr="002F041F">
              <w:rPr>
                <w:b/>
                <w:i/>
              </w:rPr>
              <w:t>hver inspektionsplatform, der har ret til at føre medlemsstatens flag, og som opererer i det i stk. 1 omhandlede område, opretholder sikker kontakt, om muligt dagligt, med alle andre inspektionsplatforme, der opererer i GFCM-området, med henblik på at udve</w:t>
            </w:r>
            <w:r w:rsidRPr="002F041F">
              <w:rPr>
                <w:b/>
                <w:i/>
              </w:rPr>
              <w:t>ksle de nødvendige oplysninger og koordinere aktiviteterne.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8.</w:t>
            </w:r>
            <w:r w:rsidRPr="002F041F">
              <w:rPr>
                <w:b/>
                <w:i/>
              </w:rPr>
              <w:tab/>
              <w:t xml:space="preserve">Den enkelte medlemsstat med inspektions- eller overvågningstilstedeværelse i det i stk. 1 omhandlede område forsyner hver inspektionsplatform, så snart denne er kommet ind i området, med en </w:t>
            </w:r>
            <w:r w:rsidRPr="002F041F">
              <w:rPr>
                <w:b/>
                <w:i/>
              </w:rPr>
              <w:t xml:space="preserve">liste opstillet i overensstemmelse med bilag VII over observationer, bordinger og inspektioner, som medlemsstaten har udført i de foregående 10 dage, herunder datoer, positioner og eventuelle øvrige relevante oplysninger."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GFCM/46/2023/17</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69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45 d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w:t>
      </w:r>
      <w:r w:rsidRPr="002F041F">
        <w:rPr>
          <w:rStyle w:val="HideTWBExt"/>
          <w:noProof w:val="0"/>
        </w:rPr>
        <w:t>Article2&gt;</w:t>
      </w:r>
      <w:r w:rsidRPr="002F041F">
        <w:t>Artikel 89 c (ny)</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CE014B">
            <w:pPr>
              <w:pStyle w:val="Normal6"/>
              <w:rPr>
                <w:szCs w:val="24"/>
              </w:rPr>
            </w:pPr>
            <w:r w:rsidRPr="002F041F">
              <w:rPr>
                <w:b/>
                <w:i/>
              </w:rPr>
              <w:t>45d)</w:t>
            </w:r>
            <w:r w:rsidRPr="002F041F">
              <w:rPr>
                <w:b/>
                <w:i/>
              </w:rPr>
              <w:tab/>
              <w:t>I afsnit II, kapitel VII indsættes følgende artikel:</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"Artikel 89c</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Gennemførelse af inspektioner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t xml:space="preserve">De til ordningen tilknyttede kontrollører: a) giver sig forud for </w:t>
            </w:r>
            <w:r w:rsidRPr="002F041F">
              <w:rPr>
                <w:b/>
                <w:i/>
              </w:rPr>
              <w:t>bording til kende over for fiskerfartøjet med angivelse af inspektionsfartøjets navn b) fører på inspektionsfartøjet og bordingsfartøjet den vimpel, der er beskrevet i bilag V c) begrænser inspektionsholdet til højst tre kontrollører.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t>Efter bording fr</w:t>
            </w:r>
            <w:r w:rsidRPr="002F041F">
              <w:rPr>
                <w:b/>
                <w:i/>
              </w:rPr>
              <w:t>emviser kontrollørerne det ID-kort, der er beskrevet i bilag IV, for føreren af fiskerfartøjet. Inspektionen udføres på et af GFCM's officielle sprog og, om muligt, på det sprog, som tales af føreren af fiskerfartøjet.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Kontrollørerne udarbejder en rap</w:t>
            </w:r>
            <w:r w:rsidRPr="002F041F">
              <w:rPr>
                <w:b/>
                <w:i/>
              </w:rPr>
              <w:t>port om inspektionen i det format, der er angivet i bilag VI.</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Kontrollørerne underskriver rapporten i nærværelse af fartøjsføreren, som har ret til at tilføje eventuelle bemærkninger, som vedkommende finder passende, og som også skal underskrive rappo</w:t>
            </w:r>
            <w:r w:rsidRPr="002F041F">
              <w:rPr>
                <w:b/>
                <w:i/>
              </w:rPr>
              <w:t>rten.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Der udleveres en kopi af rapporten til fartøjsføreren og til inspektionsholdets myndigheder, som sender en kopi til myndighederne i det inspicerede fartøjs flagstat og til Kommissionen og/eller et af denne udpegede organ. Kommissionen videresend</w:t>
            </w:r>
            <w:r w:rsidRPr="002F041F">
              <w:rPr>
                <w:b/>
                <w:i/>
              </w:rPr>
              <w:t>er kopien til GFCM's sekretariat.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6.</w:t>
            </w:r>
            <w:r w:rsidRPr="002F041F">
              <w:rPr>
                <w:b/>
                <w:i/>
              </w:rPr>
              <w:tab/>
              <w:t xml:space="preserve">Inspektionsfartøjets befalingshavende bestemmer størrelsen af inspektionsholdet og inspektionens varighed under hensyntagen til de relevante omstændigheder."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lastRenderedPageBreak/>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GFCM/46/2023/17</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70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45 e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89 d (ny)</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893113">
            <w:pPr>
              <w:pStyle w:val="Normal6"/>
              <w:rPr>
                <w:szCs w:val="24"/>
              </w:rPr>
            </w:pPr>
            <w:r w:rsidRPr="002F041F">
              <w:rPr>
                <w:b/>
                <w:i/>
              </w:rPr>
              <w:t>45e)</w:t>
            </w:r>
            <w:r w:rsidRPr="002F041F">
              <w:rPr>
                <w:b/>
                <w:i/>
              </w:rPr>
              <w:tab/>
              <w:t>I afsnit II, kapitel VII indsættes følgende artikel:</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"Artikel 89d</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Overtrædelser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t>I denne artikel forstås ved overtrædelser følgende aktiviteter: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w:t>
            </w:r>
            <w:r w:rsidRPr="002F041F">
              <w:rPr>
                <w:b/>
                <w:i/>
              </w:rPr>
              <w:tab/>
              <w:t xml:space="preserve">de aktiviteter, der er omhandlet i </w:t>
            </w:r>
            <w:r w:rsidRPr="002F041F">
              <w:rPr>
                <w:b/>
                <w:i/>
              </w:rPr>
              <w:t>artikel 3, stk. 1, litra a), b), c), e), f), g) og h), i forordning (EF) nr. 1005/2008</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b)</w:t>
            </w:r>
            <w:r w:rsidRPr="002F041F">
              <w:rPr>
                <w:b/>
                <w:i/>
              </w:rPr>
              <w:tab/>
              <w:t>indgriben i satellitovervågningssystemet og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c)</w:t>
            </w:r>
            <w:r w:rsidRPr="002F041F">
              <w:rPr>
                <w:b/>
                <w:i/>
              </w:rPr>
              <w:tab/>
              <w:t>fiskeri uden FOS.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r>
            <w:r w:rsidRPr="002F041F">
              <w:rPr>
                <w:b/>
                <w:i/>
              </w:rPr>
              <w:t xml:space="preserve">Observerer kontrollørerne ved bording og inspektion af et fiskerfartøj en overtrædelse, underretter myndighederne i inspektionsfartøjets flagmedlemsstat omgående Kommissionen eller et organ, denne har udpeget, som underretter det inspicerede fiskerfartøjs </w:t>
            </w:r>
            <w:r w:rsidRPr="002F041F">
              <w:rPr>
                <w:b/>
                <w:i/>
              </w:rPr>
              <w:t>flagstat både direkte og gennem GFCM's sekretariat.</w:t>
            </w:r>
            <w:r w:rsidR="0065437A" w:rsidRPr="002F041F">
              <w:rPr>
                <w:b/>
                <w:i/>
              </w:rPr>
              <w:t xml:space="preserve"> </w:t>
            </w:r>
            <w:r w:rsidRPr="002F041F">
              <w:rPr>
                <w:b/>
                <w:i/>
              </w:rPr>
              <w:t>De underretter også ethvert inspektionsskib fra fiskerfartøjets flagstat, som vides at være i nærheden.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Fiskerfartøjets flagmedlemsstat drager omsorg for, at det pågældende fiskerfartøj efter en ins</w:t>
            </w:r>
            <w:r w:rsidRPr="002F041F">
              <w:rPr>
                <w:b/>
                <w:i/>
              </w:rPr>
              <w:t>pektion, hvorunder der er konstateret overtrædelse, indstiller alt fiskeri. Flagmedlemsstaten beordrer fiskerfartøjet til inden for 72 timer at sejle til en bestemt havn, hvor der indledes en undersøgelse.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Hvis der ved inspektion konstateres en overtr</w:t>
            </w:r>
            <w:r w:rsidRPr="002F041F">
              <w:rPr>
                <w:b/>
                <w:i/>
              </w:rPr>
              <w:t>ædelse, meddeles de foranstaltninger og opfølgende skridt, som flagmedlemsstaten foretager, til Kommissionen eller et af denne udpeget organ. Kommissionen eller et af denne udpeget organ fremsender besked om foranstaltningerne og opfølgning til GFCM's sekr</w:t>
            </w:r>
            <w:r w:rsidRPr="002F041F">
              <w:rPr>
                <w:b/>
                <w:i/>
              </w:rPr>
              <w:t>etariat.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 xml:space="preserve">Medlemsstaternes myndigheder følger op på inspektionsrapporter som omhandlet i artikel 30, stk. 3, oplysningsark for observation som omhandlet i bilag VII og erklæringer fra dokumentbaserede inspektioner, som kontrollørerne har foretaget, på </w:t>
            </w:r>
            <w:r w:rsidRPr="002F041F">
              <w:rPr>
                <w:b/>
                <w:i/>
              </w:rPr>
              <w:t>samme måde, hvorpå de følger op på rapporter og erklæringer fra nationale kontrollører."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GFCM/46/2023/17</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71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 xml:space="preserve">Forslag </w:t>
      </w:r>
      <w:r w:rsidRPr="002F041F">
        <w:t>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47</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94a</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FD1D3D" w:rsidRPr="002F041F" w:rsidRDefault="002F041F">
            <w:pPr>
              <w:pStyle w:val="ColumnHeading"/>
              <w:keepNext/>
              <w:rPr>
                <w:i w:val="0"/>
              </w:rPr>
            </w:pPr>
            <w:r w:rsidRPr="002F041F">
              <w:rPr>
                <w:i w:val="0"/>
              </w:rPr>
              <w:t>Artikel 94a</w:t>
            </w:r>
          </w:p>
        </w:tc>
        <w:tc>
          <w:tcPr>
            <w:tcW w:w="4876" w:type="dxa"/>
          </w:tcPr>
          <w:p w:rsidR="00FD1D3D" w:rsidRPr="002F041F" w:rsidRDefault="002F041F">
            <w:pPr>
              <w:pStyle w:val="ColumnHeading"/>
              <w:keepNext/>
              <w:rPr>
                <w:i w:val="0"/>
              </w:rPr>
            </w:pPr>
            <w:r w:rsidRPr="002F041F">
              <w:rPr>
                <w:i w:val="0"/>
              </w:rPr>
              <w:t>Artikel 94a</w:t>
            </w:r>
          </w:p>
        </w:tc>
      </w:tr>
      <w:tr w:rsidR="007233AC" w:rsidRPr="002F041F" w:rsidTr="00C6436A">
        <w:trPr>
          <w:jc w:val="center"/>
        </w:trPr>
        <w:tc>
          <w:tcPr>
            <w:tcW w:w="4876" w:type="dxa"/>
          </w:tcPr>
          <w:p w:rsidR="00FD1D3D" w:rsidRPr="002F041F" w:rsidRDefault="002F041F">
            <w:pPr>
              <w:pStyle w:val="ColumnHeading"/>
              <w:keepNext/>
              <w:rPr>
                <w:i w:val="0"/>
              </w:rPr>
            </w:pPr>
            <w:r w:rsidRPr="002F041F">
              <w:rPr>
                <w:i w:val="0"/>
              </w:rPr>
              <w:t>Fangstattest for pighvar</w:t>
            </w:r>
          </w:p>
        </w:tc>
        <w:tc>
          <w:tcPr>
            <w:tcW w:w="4876" w:type="dxa"/>
          </w:tcPr>
          <w:p w:rsidR="00FD1D3D" w:rsidRPr="002F041F" w:rsidRDefault="002F041F">
            <w:pPr>
              <w:pStyle w:val="ColumnHeading"/>
              <w:keepNext/>
              <w:rPr>
                <w:i w:val="0"/>
              </w:rPr>
            </w:pPr>
            <w:r w:rsidRPr="002F041F">
              <w:rPr>
                <w:i w:val="0"/>
              </w:rPr>
              <w:t>Fangstattest for pighvar</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rPr>
                <w:b/>
                <w:i/>
              </w:rPr>
              <w:tab/>
            </w:r>
            <w:r w:rsidRPr="002F041F">
              <w:rPr>
                <w:b/>
                <w:bCs/>
                <w:i/>
                <w:iCs/>
              </w:rPr>
              <w:t>Medlemsstaterne udsteder en GFCM-fangstattest for at identificere oprindelsen af fangster af pighvar i geografisk underområde 29 på alle trin i forsyningskæden.</w:t>
            </w:r>
            <w:r w:rsidRPr="002F041F">
              <w:rPr>
                <w:b/>
                <w:i/>
              </w:rPr>
              <w:t xml:space="preserve"> Attesten anvendes til at bekræfte, at sådanne fangster er taget i </w:t>
            </w:r>
            <w:r w:rsidRPr="002F041F">
              <w:rPr>
                <w:b/>
                <w:i/>
              </w:rPr>
              <w:t>overensstemmelse med de bevarelses- og forvaltningsforanstaltninger, der er fastsat i afsnit II, kapitel VIII.</w:t>
            </w:r>
          </w:p>
        </w:tc>
        <w:tc>
          <w:tcPr>
            <w:tcW w:w="4876" w:type="dxa"/>
            <w:hideMark/>
          </w:tcPr>
          <w:p w:rsidR="00C6436A" w:rsidRPr="002F041F" w:rsidRDefault="002F041F" w:rsidP="00CB0189">
            <w:pPr>
              <w:pStyle w:val="Normal6"/>
              <w:rPr>
                <w:szCs w:val="24"/>
              </w:rPr>
            </w:pPr>
            <w:r w:rsidRPr="002F041F">
              <w:t>1.</w:t>
            </w:r>
            <w:r w:rsidRPr="002F041F">
              <w:rPr>
                <w:b/>
                <w:i/>
              </w:rPr>
              <w:tab/>
            </w:r>
            <w:r w:rsidRPr="002F041F">
              <w:rPr>
                <w:b/>
                <w:bCs/>
                <w:i/>
                <w:iCs/>
              </w:rPr>
              <w:t>Medlemsstaterne gennemfører senest den ... [ikrafttrædelsesdatoen] dokumentationsordningen for pighvar i dens fulde udstrækning i hele forsyni</w:t>
            </w:r>
            <w:r w:rsidRPr="002F041F">
              <w:rPr>
                <w:b/>
                <w:bCs/>
                <w:i/>
                <w:iCs/>
              </w:rPr>
              <w:t>ngskæden for at sikre sporbarheden af pighvar fanget i Sortehavet og bidrage til bekæmpelsen af ulovligt, ureguleret og urapporteret fiskeri.</w:t>
            </w:r>
          </w:p>
        </w:tc>
      </w:tr>
      <w:tr w:rsidR="007233AC" w:rsidRPr="002F041F" w:rsidTr="00C6436A">
        <w:trPr>
          <w:jc w:val="center"/>
        </w:trPr>
        <w:tc>
          <w:tcPr>
            <w:tcW w:w="4876" w:type="dxa"/>
            <w:hideMark/>
          </w:tcPr>
          <w:p w:rsidR="00C6436A" w:rsidRPr="002F041F" w:rsidRDefault="002F041F">
            <w:pPr>
              <w:pStyle w:val="Normal6"/>
            </w:pPr>
            <w:r w:rsidRPr="002F041F">
              <w:t>2.</w:t>
            </w:r>
            <w:r w:rsidRPr="002F041F">
              <w:rPr>
                <w:b/>
                <w:i/>
              </w:rPr>
              <w:tab/>
            </w:r>
            <w:r w:rsidRPr="002F041F">
              <w:rPr>
                <w:b/>
                <w:bCs/>
                <w:i/>
                <w:iCs/>
              </w:rPr>
              <w:t xml:space="preserve">En gyldig GFCM-fangstattest </w:t>
            </w:r>
            <w:r w:rsidRPr="002F041F">
              <w:rPr>
                <w:b/>
                <w:bCs/>
                <w:i/>
                <w:iCs/>
              </w:rPr>
              <w:lastRenderedPageBreak/>
              <w:t xml:space="preserve">udstedt af medlemsstaternes kompetente myndigheder skal ledsage alle landinger og </w:t>
            </w:r>
            <w:r w:rsidRPr="002F041F">
              <w:rPr>
                <w:b/>
                <w:bCs/>
                <w:i/>
                <w:iCs/>
              </w:rPr>
              <w:t>enhver import, eksport og reeksport af pighvar.</w:t>
            </w:r>
          </w:p>
        </w:tc>
        <w:tc>
          <w:tcPr>
            <w:tcW w:w="4876" w:type="dxa"/>
            <w:hideMark/>
          </w:tcPr>
          <w:p w:rsidR="00C6436A" w:rsidRPr="002F041F" w:rsidRDefault="002F041F">
            <w:pPr>
              <w:pStyle w:val="Normal6"/>
              <w:rPr>
                <w:szCs w:val="24"/>
              </w:rPr>
            </w:pPr>
            <w:r w:rsidRPr="002F041F">
              <w:lastRenderedPageBreak/>
              <w:t>2.</w:t>
            </w:r>
            <w:r w:rsidRPr="002F041F">
              <w:rPr>
                <w:b/>
                <w:i/>
              </w:rPr>
              <w:tab/>
            </w:r>
            <w:r w:rsidRPr="002F041F">
              <w:rPr>
                <w:b/>
                <w:bCs/>
                <w:i/>
                <w:iCs/>
              </w:rPr>
              <w:t xml:space="preserve">Den papirbaserede </w:t>
            </w:r>
            <w:r w:rsidRPr="002F041F">
              <w:rPr>
                <w:b/>
                <w:bCs/>
                <w:i/>
                <w:iCs/>
              </w:rPr>
              <w:lastRenderedPageBreak/>
              <w:t>dokumentationsordning for fangst af pighvar, der er fastsat i stk. 1, berører ikke andre gældende nationale sporbarhedssystemer, der sikrer samme grad af kontrol fra medlemsstaternes side</w:t>
            </w:r>
            <w:r w:rsidRPr="002F041F">
              <w:rPr>
                <w:b/>
                <w:bCs/>
                <w:i/>
                <w:iCs/>
              </w:rPr>
              <w:t xml:space="preserve"> af sporbarheden ved pighvar, og skal omfatte de informationer, der er omhandlet i bilag XXIV.</w:t>
            </w:r>
          </w:p>
        </w:tc>
      </w:tr>
      <w:tr w:rsidR="007233AC" w:rsidRPr="002F041F" w:rsidTr="00C6436A">
        <w:trPr>
          <w:jc w:val="center"/>
        </w:trPr>
        <w:tc>
          <w:tcPr>
            <w:tcW w:w="4876" w:type="dxa"/>
            <w:hideMark/>
          </w:tcPr>
          <w:p w:rsidR="00C6436A" w:rsidRPr="002F041F" w:rsidRDefault="002F041F">
            <w:pPr>
              <w:pStyle w:val="Normal6"/>
            </w:pPr>
            <w:r w:rsidRPr="002F041F">
              <w:lastRenderedPageBreak/>
              <w:t>3.</w:t>
            </w:r>
            <w:r w:rsidRPr="002F041F">
              <w:rPr>
                <w:b/>
                <w:i/>
              </w:rPr>
              <w:tab/>
            </w:r>
            <w:r w:rsidRPr="002F041F">
              <w:t>Hver attest skal have et unikt dokumentidentifikationsnummer.</w:t>
            </w:r>
            <w:r w:rsidRPr="002F041F">
              <w:rPr>
                <w:b/>
                <w:i/>
              </w:rPr>
              <w:t xml:space="preserve"> Nummeret skal være specifikt for flagmedlemsstaten og tildeles hvert fiskerfartøj med tilladels</w:t>
            </w:r>
            <w:r w:rsidRPr="002F041F">
              <w:rPr>
                <w:b/>
                <w:i/>
              </w:rPr>
              <w:t>e til at fiske efter pighvar. Fangstattesten kan ikke overdrages til et andet fiskerfartøj.</w:t>
            </w:r>
          </w:p>
        </w:tc>
        <w:tc>
          <w:tcPr>
            <w:tcW w:w="4876" w:type="dxa"/>
            <w:hideMark/>
          </w:tcPr>
          <w:p w:rsidR="00C6436A" w:rsidRPr="002F041F" w:rsidRDefault="002F041F">
            <w:pPr>
              <w:pStyle w:val="Normal6"/>
              <w:rPr>
                <w:szCs w:val="24"/>
              </w:rPr>
            </w:pPr>
            <w:r w:rsidRPr="002F041F">
              <w:t>3.</w:t>
            </w:r>
            <w:r w:rsidRPr="002F041F">
              <w:rPr>
                <w:b/>
                <w:i/>
              </w:rPr>
              <w:tab/>
              <w:t>Den papirbaserede dokumentationsordning for fangst af pighvar gælder for første landinger, eksportvarer og reeksportvarer. Indenlandsk handel indgår ikke i valid</w:t>
            </w:r>
            <w:r w:rsidRPr="002F041F">
              <w:rPr>
                <w:b/>
                <w:i/>
              </w:rPr>
              <w:t>eringskæden.</w:t>
            </w:r>
          </w:p>
        </w:tc>
      </w:tr>
      <w:tr w:rsidR="007233AC" w:rsidRPr="002F041F" w:rsidTr="00C6436A">
        <w:trPr>
          <w:jc w:val="center"/>
        </w:trPr>
        <w:tc>
          <w:tcPr>
            <w:tcW w:w="4876" w:type="dxa"/>
            <w:hideMark/>
          </w:tcPr>
          <w:p w:rsidR="00C6436A" w:rsidRPr="002F041F" w:rsidRDefault="002F041F">
            <w:pPr>
              <w:pStyle w:val="Normal6"/>
            </w:pPr>
            <w:r w:rsidRPr="002F041F">
              <w:t>4.</w:t>
            </w:r>
            <w:r w:rsidRPr="002F041F">
              <w:rPr>
                <w:b/>
                <w:i/>
              </w:rPr>
              <w:tab/>
            </w:r>
            <w:r w:rsidRPr="002F041F">
              <w:rPr>
                <w:b/>
                <w:bCs/>
                <w:i/>
                <w:iCs/>
              </w:rPr>
              <w:t>Den pågældende flagmedlemsstats kompetente myndigheder validerer først fangstattesterne for pighvar, når det, efter at de kompetente myndigheder har kontrolleret støttedokumenterne og de dertil hørende partier, er fastslået, at alle oplysn</w:t>
            </w:r>
            <w:r w:rsidRPr="002F041F">
              <w:rPr>
                <w:b/>
                <w:bCs/>
                <w:i/>
                <w:iCs/>
              </w:rPr>
              <w:t>ingerne i attesten er korrekte."</w:t>
            </w:r>
          </w:p>
        </w:tc>
        <w:tc>
          <w:tcPr>
            <w:tcW w:w="4876" w:type="dxa"/>
            <w:hideMark/>
          </w:tcPr>
          <w:p w:rsidR="00C6436A" w:rsidRPr="002F041F" w:rsidRDefault="002F041F">
            <w:pPr>
              <w:pStyle w:val="Normal6"/>
              <w:rPr>
                <w:szCs w:val="24"/>
              </w:rPr>
            </w:pPr>
            <w:r w:rsidRPr="002F041F">
              <w:t>4.</w:t>
            </w:r>
            <w:r w:rsidRPr="002F041F">
              <w:rPr>
                <w:b/>
                <w:i/>
              </w:rPr>
              <w:tab/>
            </w:r>
            <w:r w:rsidRPr="002F041F">
              <w:t>Hver attest skal have et unikt dokumentidentifikationsnummer.</w:t>
            </w:r>
            <w:r w:rsidRPr="002F041F">
              <w:rPr>
                <w:b/>
                <w:i/>
              </w:rPr>
              <w:t xml:space="preserve"> Nummeret skal være specifikt for flagstaten og tildeles hvert fiskefartøj. </w:t>
            </w:r>
            <w:r w:rsidRPr="002F041F">
              <w:rPr>
                <w:b/>
                <w:bCs/>
                <w:i/>
                <w:iCs/>
              </w:rPr>
              <w:t>Attesterne kan ikke overdrages til et andet fiskerfartøj.</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 xml:space="preserve">Medlemsstaterne må </w:t>
            </w:r>
            <w:r w:rsidRPr="002F041F">
              <w:rPr>
                <w:b/>
                <w:i/>
              </w:rPr>
              <w:t>først validere attesterne, når det ved kontrol af bilag og de dertil hørende partier er konstateret, at alle de oplysninger, der er specificeret under fangstdokumentationsordningen for pighvar, er nøjagtige.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6.</w:t>
            </w:r>
            <w:r w:rsidRPr="002F041F">
              <w:rPr>
                <w:b/>
                <w:i/>
              </w:rPr>
              <w:tab/>
              <w:t>Medlemsstaterne aflægger rapport til GFCM's</w:t>
            </w:r>
            <w:r w:rsidRPr="002F041F">
              <w:rPr>
                <w:b/>
                <w:i/>
              </w:rPr>
              <w:t xml:space="preserve"> sekretariat om deres fangstdokumentationsordning samt eventuelle mærknings- og identifikations- og sporbarhedskrav for pighvar, som skal være i overensstemmelse med bestemmelserne i denne artikel for effektivt at sikre, at sporbarhedsmålet opfyldes. Sådan</w:t>
            </w:r>
            <w:r w:rsidRPr="002F041F">
              <w:rPr>
                <w:b/>
                <w:i/>
              </w:rPr>
              <w:t>ne rapporter meddeles GFCM's sekretariat.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7.</w:t>
            </w:r>
            <w:r w:rsidRPr="002F041F">
              <w:rPr>
                <w:b/>
                <w:i/>
              </w:rPr>
              <w:tab/>
              <w:t>Medlemsstaterne meddeleler GFCM's sekretariat deres kompetente myndigheder med ansvar for validering, kontrol og verifikation af fangstattester samt kontaktpunkter for fangstdokumentationsordningen, validering</w:t>
            </w:r>
            <w:r w:rsidRPr="002F041F">
              <w:rPr>
                <w:b/>
                <w:i/>
              </w:rPr>
              <w:t>ssegl og andre oplysninger, der er relevante for gennemførelsen af ordningen.</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8.</w:t>
            </w:r>
            <w:r w:rsidRPr="002F041F">
              <w:rPr>
                <w:b/>
                <w:i/>
              </w:rPr>
              <w:tab/>
              <w:t>Medlemsstaterne opbevarer de validerede papirbaserede pighvarfangstattester i en periode på fem år.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9.</w:t>
            </w:r>
            <w:r w:rsidRPr="002F041F">
              <w:rPr>
                <w:b/>
                <w:i/>
              </w:rPr>
              <w:tab/>
              <w:t xml:space="preserve">Medlemsstaterne aflægger hvert år rapport til GFCM's sekretariat om </w:t>
            </w:r>
            <w:r w:rsidRPr="002F041F">
              <w:rPr>
                <w:b/>
                <w:i/>
              </w:rPr>
              <w:t>gennemførelsen af den papirbaserede fangstdokumentationsordning for pighvar med henblik på at underrette tilsynsudvalget, og fremlægger heri udførlige oplysninger og statistiske data om bl.a. årlige validerede mængder, årlige handlede mængder, antal valide</w:t>
            </w:r>
            <w:r w:rsidRPr="002F041F">
              <w:rPr>
                <w:b/>
                <w:i/>
              </w:rPr>
              <w:t xml:space="preserve">rede fangstattester og eventuelle relevante elementer, der anses for oplysende om situationen. Rapporterne tilsendes GFCM's sekretariat senest 30 dage inden tilsynsudvalget træder sammen.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GFCM/46/2023/20</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72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48</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96 a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 xml:space="preserve">Medlemsstaterne fastholder flådekapaciteten eller fiskeriindsatsen på de niveauer, der er </w:t>
            </w:r>
            <w:r w:rsidRPr="002F041F">
              <w:rPr>
                <w:b/>
                <w:bCs/>
                <w:i/>
                <w:iCs/>
              </w:rPr>
              <w:t>fastsat</w:t>
            </w:r>
            <w:r w:rsidRPr="002F041F">
              <w:t xml:space="preserve"> for årene 2015-2021, for udnyttelse af pighaj i Sortehavet.</w:t>
            </w:r>
          </w:p>
        </w:tc>
        <w:tc>
          <w:tcPr>
            <w:tcW w:w="4876" w:type="dxa"/>
            <w:hideMark/>
          </w:tcPr>
          <w:p w:rsidR="00C6436A" w:rsidRPr="002F041F" w:rsidRDefault="002F041F">
            <w:pPr>
              <w:pStyle w:val="Normal6"/>
              <w:rPr>
                <w:szCs w:val="24"/>
              </w:rPr>
            </w:pPr>
            <w:r w:rsidRPr="002F041F">
              <w:t xml:space="preserve">Medlemsstaterne fastholder flådekapaciteten eller fiskeriindsatsen på de niveauer, der er </w:t>
            </w:r>
            <w:r w:rsidRPr="002F041F">
              <w:rPr>
                <w:b/>
                <w:bCs/>
                <w:i/>
                <w:iCs/>
              </w:rPr>
              <w:t>tilladt og gennemført</w:t>
            </w:r>
            <w:r w:rsidRPr="002F041F">
              <w:t xml:space="preserve"> for årene 2015-2021, for udnyttelse af pighaj i Sortehavet.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 xml:space="preserve">Henstilling </w:t>
      </w:r>
      <w:r w:rsidRPr="002F041F">
        <w:rPr>
          <w:noProof w:val="0"/>
        </w:rPr>
        <w:t>GFCM/44/2021/10 og GFCM/47/2024/10</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73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48</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96 b – s</w:t>
      </w:r>
      <w:r w:rsidRPr="002F041F">
        <w:t>tk. 3</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3.</w:t>
            </w:r>
            <w:r w:rsidRPr="002F041F">
              <w:tab/>
              <w:t xml:space="preserve">Medlemsstaterne sikrer, at der træffes alle yderligere foranstaltninger for at forbedre dataindsamlingen med henblik på den videnskabelige overvågning af </w:t>
            </w:r>
            <w:r w:rsidRPr="002F041F">
              <w:rPr>
                <w:b/>
                <w:bCs/>
                <w:i/>
                <w:iCs/>
              </w:rPr>
              <w:t>arter af</w:t>
            </w:r>
            <w:r w:rsidRPr="002F041F">
              <w:t xml:space="preserve"> almindelige pighaj.</w:t>
            </w:r>
          </w:p>
        </w:tc>
        <w:tc>
          <w:tcPr>
            <w:tcW w:w="4876" w:type="dxa"/>
            <w:hideMark/>
          </w:tcPr>
          <w:p w:rsidR="00C6436A" w:rsidRPr="002F041F" w:rsidRDefault="002F041F">
            <w:pPr>
              <w:pStyle w:val="Normal6"/>
              <w:rPr>
                <w:szCs w:val="24"/>
              </w:rPr>
            </w:pPr>
            <w:r w:rsidRPr="002F041F">
              <w:t>3.</w:t>
            </w:r>
            <w:r w:rsidRPr="002F041F">
              <w:tab/>
            </w:r>
            <w:r w:rsidRPr="002F041F">
              <w:t>Medlemsstaterne sikrer, at der træffes alle yderligere foranstaltninger for at forbedre dataindsamlingen med henblik på den videnskabelige overvågning af almindelige pighaj.</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74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49 – litra a</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98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r>
            <w:r w:rsidRPr="002F041F">
              <w:t xml:space="preserve">Medlemsstaterne </w:t>
            </w:r>
            <w:r w:rsidRPr="002F041F">
              <w:rPr>
                <w:b/>
                <w:bCs/>
                <w:i/>
                <w:iCs/>
              </w:rPr>
              <w:t xml:space="preserve">sikrer en høj grad af beskyttelse mod fiskeri </w:t>
            </w:r>
            <w:r w:rsidRPr="002F041F">
              <w:t xml:space="preserve">for de haj- og rokkearter, der er opført i bilag II </w:t>
            </w:r>
            <w:r w:rsidRPr="002F041F">
              <w:rPr>
                <w:b/>
                <w:bCs/>
                <w:i/>
                <w:iCs/>
              </w:rPr>
              <w:t>og III til</w:t>
            </w:r>
            <w:r w:rsidRPr="002F041F">
              <w:t xml:space="preserve"> protokollen om særligt beskyttede områder og den biologiske mangfoldighed i Middelhavet."</w:t>
            </w:r>
          </w:p>
        </w:tc>
        <w:tc>
          <w:tcPr>
            <w:tcW w:w="4876" w:type="dxa"/>
            <w:hideMark/>
          </w:tcPr>
          <w:p w:rsidR="00C6436A" w:rsidRPr="002F041F" w:rsidRDefault="002F041F">
            <w:pPr>
              <w:pStyle w:val="Normal6"/>
              <w:rPr>
                <w:szCs w:val="24"/>
              </w:rPr>
            </w:pPr>
            <w:r w:rsidRPr="002F041F">
              <w:t>"1.</w:t>
            </w:r>
            <w:r w:rsidRPr="002F041F">
              <w:tab/>
              <w:t xml:space="preserve">Medlemsstaterne </w:t>
            </w:r>
            <w:r w:rsidRPr="002F041F">
              <w:rPr>
                <w:b/>
                <w:bCs/>
                <w:i/>
                <w:iCs/>
              </w:rPr>
              <w:t>tilskynder til yderli</w:t>
            </w:r>
            <w:r w:rsidRPr="002F041F">
              <w:rPr>
                <w:b/>
                <w:bCs/>
                <w:i/>
                <w:iCs/>
              </w:rPr>
              <w:t>gere foranstaltninger til forbedring af bevaringsstatus</w:t>
            </w:r>
            <w:r w:rsidRPr="002F041F">
              <w:t xml:space="preserve"> for </w:t>
            </w:r>
            <w:r w:rsidRPr="002F041F">
              <w:rPr>
                <w:b/>
                <w:bCs/>
                <w:i/>
                <w:iCs/>
              </w:rPr>
              <w:t>de haj- og rokkearter, der er opført i bilag II</w:t>
            </w:r>
            <w:r w:rsidRPr="002F041F">
              <w:t xml:space="preserve"> til protokollen</w:t>
            </w:r>
            <w:r w:rsidRPr="002F041F">
              <w:rPr>
                <w:b/>
                <w:bCs/>
                <w:i/>
                <w:iCs/>
              </w:rPr>
              <w:t>, og til at afbøde eller i muligt omfang fjerne risikoen for utilsigtet fangst under fiskeriet og/eller den dermed forbundne dødeligh</w:t>
            </w:r>
            <w:r w:rsidRPr="002F041F">
              <w:rPr>
                <w:b/>
                <w:bCs/>
                <w:i/>
                <w:iCs/>
              </w:rPr>
              <w:t>ed i</w:t>
            </w:r>
            <w:r w:rsidRPr="002F041F">
              <w:t xml:space="preserve"> særligt beskyttede områder og den biologiske mangfoldighed i Middelhavet."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GFCM/44/2021/16</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75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49 – litra b</w:t>
      </w:r>
      <w:r w:rsidRPr="002F041F">
        <w:rPr>
          <w:rStyle w:val="HideTWBExt"/>
          <w:noProof w:val="0"/>
        </w:rPr>
        <w:t>&lt;/Article&gt;</w:t>
      </w:r>
    </w:p>
    <w:p w:rsidR="00C6436A" w:rsidRPr="002F041F" w:rsidRDefault="002F041F" w:rsidP="00C6436A">
      <w:pPr>
        <w:keepNext/>
      </w:pPr>
      <w:r w:rsidRPr="002F041F">
        <w:rPr>
          <w:rStyle w:val="HideTWBExt"/>
          <w:noProof w:val="0"/>
        </w:rPr>
        <w:lastRenderedPageBreak/>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98 – stk. 4</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"4.</w:t>
            </w:r>
            <w:r w:rsidRPr="002F041F">
              <w:tab/>
              <w:t>Medlemsstaterne underretter senest den 15. april</w:t>
            </w:r>
            <w:r w:rsidRPr="002F041F">
              <w:t xml:space="preserve"> 2026 Kommissionen om mindst én aktivitet pr. art/køn, der er opført i bilag XVII og findes i </w:t>
            </w:r>
            <w:r w:rsidRPr="002F041F">
              <w:rPr>
                <w:b/>
                <w:bCs/>
                <w:i/>
                <w:iCs/>
              </w:rPr>
              <w:t>det</w:t>
            </w:r>
            <w:r w:rsidRPr="002F041F">
              <w:t xml:space="preserve"> geografiske</w:t>
            </w:r>
            <w:r w:rsidRPr="002F041F">
              <w:rPr>
                <w:b/>
                <w:bCs/>
                <w:i/>
                <w:iCs/>
              </w:rPr>
              <w:t xml:space="preserve"> underområde</w:t>
            </w:r>
            <w:r w:rsidRPr="002F041F">
              <w:t xml:space="preserve">, hvor fiskeriet finder sted, eller om mindst fem artsspecifikke tiltag i alt for at forbedre bevarelsesstatus for haj- og rokkearter, </w:t>
            </w:r>
            <w:r w:rsidRPr="002F041F">
              <w:t>afbøde og, hvor det er muligt, eliminere risikoen for utilsigtet fangst af haj- og rokkearter i fiskeri og den dermed forbundne dødelighed. Kommissionen sender disse oplysninger til GFCM's sekretariat senest den 30. april 2026.</w:t>
            </w:r>
          </w:p>
        </w:tc>
        <w:tc>
          <w:tcPr>
            <w:tcW w:w="4876" w:type="dxa"/>
            <w:hideMark/>
          </w:tcPr>
          <w:p w:rsidR="00C6436A" w:rsidRPr="002F041F" w:rsidRDefault="002F041F">
            <w:pPr>
              <w:pStyle w:val="Normal6"/>
              <w:rPr>
                <w:szCs w:val="24"/>
              </w:rPr>
            </w:pPr>
            <w:r w:rsidRPr="002F041F">
              <w:t>4.</w:t>
            </w:r>
            <w:r w:rsidRPr="002F041F">
              <w:tab/>
              <w:t>Medlemsstaterne underrett</w:t>
            </w:r>
            <w:r w:rsidRPr="002F041F">
              <w:t xml:space="preserve">er senest den 15. april 2026 Kommissionen om mindst én aktivitet pr. art/køn, der er opført i bilag XVII og findes i </w:t>
            </w:r>
            <w:r w:rsidRPr="002F041F">
              <w:rPr>
                <w:b/>
                <w:bCs/>
                <w:i/>
                <w:iCs/>
              </w:rPr>
              <w:t>de</w:t>
            </w:r>
            <w:r w:rsidRPr="002F041F">
              <w:t xml:space="preserve"> geografiske </w:t>
            </w:r>
            <w:r w:rsidRPr="002F041F">
              <w:rPr>
                <w:b/>
                <w:bCs/>
                <w:i/>
                <w:iCs/>
              </w:rPr>
              <w:t>underområder 1-27</w:t>
            </w:r>
            <w:r w:rsidRPr="002F041F">
              <w:t>, hvor fiskeriet finder sted, eller om mindst fem artsspecifikke tiltag i alt for at forbedre bevarelsessta</w:t>
            </w:r>
            <w:r w:rsidRPr="002F041F">
              <w:t>tus for haj- og rokkearter, afbøde og, hvor det er muligt, eliminere risikoen for utilsigtet fangst af haj- og rokkearter i fiskeri og den dermed forbundne dødelighed. Kommissionen sender disse oplysninger til GFCM's sekretariat senest den 30. april 2026.</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76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49 – litra b</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 xml:space="preserve">Artikel </w:t>
      </w:r>
      <w:r w:rsidRPr="002F041F">
        <w:t>98 – stk. 5</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5.</w:t>
            </w:r>
            <w:r w:rsidRPr="002F041F">
              <w:tab/>
              <w:t xml:space="preserve">Medlemsstaterne kræver, at fiskerfartøjerne, som fanger hajarter som bifangst eller utilsigtet bifangst, </w:t>
            </w:r>
            <w:r w:rsidRPr="002F041F">
              <w:rPr>
                <w:b/>
                <w:bCs/>
                <w:i/>
                <w:iCs/>
              </w:rPr>
              <w:t>skal</w:t>
            </w:r>
            <w:r w:rsidRPr="002F041F">
              <w:t xml:space="preserve"> </w:t>
            </w:r>
            <w:r w:rsidRPr="002F041F">
              <w:rPr>
                <w:b/>
                <w:bCs/>
                <w:i/>
                <w:iCs/>
              </w:rPr>
              <w:t>begrænse</w:t>
            </w:r>
            <w:r w:rsidRPr="002F041F">
              <w:t xml:space="preserve"> bifangsterne af hajer opført i bilag III til protokollen om særligt beskyttede områder og den biologiske mangfoldighed i Middelhavet til en maksimal procentdel af den samlede fangst målt i vægt pr. fangstrejse eller til højst tre eksemplarer."</w:t>
            </w:r>
          </w:p>
        </w:tc>
        <w:tc>
          <w:tcPr>
            <w:tcW w:w="4876" w:type="dxa"/>
            <w:hideMark/>
          </w:tcPr>
          <w:p w:rsidR="00C6436A" w:rsidRPr="002F041F" w:rsidRDefault="002F041F">
            <w:pPr>
              <w:pStyle w:val="Normal6"/>
              <w:rPr>
                <w:szCs w:val="24"/>
              </w:rPr>
            </w:pPr>
            <w:r w:rsidRPr="002F041F">
              <w:t>5.</w:t>
            </w:r>
            <w:r w:rsidRPr="002F041F">
              <w:tab/>
              <w:t>Medlemss</w:t>
            </w:r>
            <w:r w:rsidRPr="002F041F">
              <w:t xml:space="preserve">taterne kræver, at fiskerfartøjerne, som fanger hajarter </w:t>
            </w:r>
            <w:r w:rsidRPr="002F041F">
              <w:rPr>
                <w:b/>
                <w:bCs/>
                <w:i/>
                <w:iCs/>
              </w:rPr>
              <w:t xml:space="preserve">i underområder 1-27 </w:t>
            </w:r>
            <w:r w:rsidRPr="002F041F">
              <w:t xml:space="preserve">som bifangst eller utilsigtet bifangst, </w:t>
            </w:r>
            <w:r w:rsidRPr="002F041F">
              <w:rPr>
                <w:b/>
                <w:bCs/>
                <w:i/>
                <w:iCs/>
              </w:rPr>
              <w:t>begrænser</w:t>
            </w:r>
            <w:r w:rsidRPr="002F041F">
              <w:t xml:space="preserve"> bifangsterne af hajer opført i bilag III til protokollen om særligt beskyttede områder og den biologiske mangfoldighed i Middelha</w:t>
            </w:r>
            <w:r w:rsidRPr="002F041F">
              <w:t>vet til en maksimal procentdel af den samlede fangst målt i vægt pr. fangstrejse eller til højst tre eksemplarer."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Sproglig ændring.</w:t>
      </w:r>
    </w:p>
    <w:p w:rsidR="00C6436A" w:rsidRPr="002F041F" w:rsidRDefault="002F041F" w:rsidP="00C6436A">
      <w:r w:rsidRPr="002F041F">
        <w:rPr>
          <w:rStyle w:val="HideTWBExt"/>
          <w:noProof w:val="0"/>
        </w:rPr>
        <w:lastRenderedPageBreak/>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77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50</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102 – stk. 3</w:t>
      </w:r>
      <w:r w:rsidRPr="002F041F">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510CEC">
        <w:trPr>
          <w:jc w:val="center"/>
        </w:trPr>
        <w:tc>
          <w:tcPr>
            <w:tcW w:w="9752" w:type="dxa"/>
            <w:gridSpan w:val="2"/>
          </w:tcPr>
          <w:p w:rsidR="00C6436A" w:rsidRPr="002F041F" w:rsidRDefault="00C6436A">
            <w:pPr>
              <w:keepNext/>
            </w:pPr>
          </w:p>
        </w:tc>
      </w:tr>
      <w:tr w:rsidR="007233AC" w:rsidRPr="002F041F" w:rsidTr="00510CEC">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510CEC">
        <w:trPr>
          <w:jc w:val="center"/>
        </w:trPr>
        <w:tc>
          <w:tcPr>
            <w:tcW w:w="4876" w:type="dxa"/>
            <w:hideMark/>
          </w:tcPr>
          <w:p w:rsidR="00C6436A" w:rsidRPr="002F041F" w:rsidRDefault="002F041F">
            <w:pPr>
              <w:pStyle w:val="Normal6"/>
            </w:pPr>
            <w:r w:rsidRPr="002F041F">
              <w:rPr>
                <w:b/>
                <w:i/>
              </w:rPr>
              <w:t>50)</w:t>
            </w:r>
            <w:r w:rsidRPr="002F041F">
              <w:rPr>
                <w:b/>
                <w:i/>
              </w:rPr>
              <w:tab/>
              <w:t xml:space="preserve">I artikel 102 tilføjes </w:t>
            </w:r>
            <w:r w:rsidRPr="002F041F">
              <w:rPr>
                <w:b/>
                <w:i/>
              </w:rPr>
              <w:t>følgende stykke:</w:t>
            </w:r>
          </w:p>
        </w:tc>
        <w:tc>
          <w:tcPr>
            <w:tcW w:w="4876" w:type="dxa"/>
            <w:hideMark/>
          </w:tcPr>
          <w:p w:rsidR="00C6436A" w:rsidRPr="002F041F" w:rsidRDefault="002F041F">
            <w:pPr>
              <w:pStyle w:val="Normal6"/>
              <w:rPr>
                <w:szCs w:val="24"/>
              </w:rPr>
            </w:pPr>
            <w:r w:rsidRPr="002F041F">
              <w:rPr>
                <w:b/>
                <w:i/>
              </w:rPr>
              <w:t>udgår</w:t>
            </w:r>
          </w:p>
        </w:tc>
      </w:tr>
      <w:tr w:rsidR="007233AC" w:rsidRPr="002F041F" w:rsidTr="00510CEC">
        <w:trPr>
          <w:jc w:val="center"/>
        </w:trPr>
        <w:tc>
          <w:tcPr>
            <w:tcW w:w="4876" w:type="dxa"/>
            <w:hideMark/>
          </w:tcPr>
          <w:p w:rsidR="00C6436A" w:rsidRPr="002F041F" w:rsidRDefault="002F041F">
            <w:pPr>
              <w:pStyle w:val="Normal6"/>
            </w:pPr>
            <w:r w:rsidRPr="002F041F">
              <w:rPr>
                <w:b/>
                <w:i/>
              </w:rPr>
              <w:t>3.</w:t>
            </w:r>
            <w:r w:rsidRPr="002F041F">
              <w:rPr>
                <w:b/>
                <w:i/>
              </w:rPr>
              <w:tab/>
              <w:t>I de geografiske områder i Middelhavet (geografisk underområde 1-27), hvor der i henhold til rådgivning fra SAC finder bifangster sted af de arter, der er opført i bilag II til protokollen om særligt beskyttede områder og den bio</w:t>
            </w:r>
            <w:r w:rsidRPr="002F041F">
              <w:rPr>
                <w:b/>
                <w:i/>
              </w:rPr>
              <w:t>logiske mangfoldighed til Barcelonakonventionen (primært når havfugle utilsigtet fanges i forbindelse med fiskeri), finder følgende foranstaltninger anvendelse:</w:t>
            </w:r>
          </w:p>
        </w:tc>
        <w:tc>
          <w:tcPr>
            <w:tcW w:w="4876" w:type="dxa"/>
          </w:tcPr>
          <w:p w:rsidR="00C6436A" w:rsidRPr="002F041F" w:rsidRDefault="00C6436A">
            <w:pPr>
              <w:pStyle w:val="Normal6"/>
              <w:rPr>
                <w:szCs w:val="24"/>
              </w:rPr>
            </w:pPr>
          </w:p>
        </w:tc>
      </w:tr>
      <w:tr w:rsidR="007233AC" w:rsidRPr="002F041F" w:rsidTr="00510CEC">
        <w:trPr>
          <w:jc w:val="center"/>
        </w:trPr>
        <w:tc>
          <w:tcPr>
            <w:tcW w:w="4876" w:type="dxa"/>
            <w:hideMark/>
          </w:tcPr>
          <w:p w:rsidR="00C6436A" w:rsidRPr="002F041F" w:rsidRDefault="002F041F">
            <w:pPr>
              <w:pStyle w:val="Normal6"/>
            </w:pPr>
            <w:r w:rsidRPr="002F041F">
              <w:rPr>
                <w:b/>
                <w:i/>
              </w:rPr>
              <w:t>a)</w:t>
            </w:r>
            <w:r w:rsidRPr="002F041F">
              <w:rPr>
                <w:b/>
                <w:i/>
              </w:rPr>
              <w:tab/>
              <w:t>Medlemsstaterne indsamler data for fuldt ud at karakterisere bifangsterne af havfugle i fi</w:t>
            </w:r>
            <w:r w:rsidRPr="002F041F">
              <w:rPr>
                <w:b/>
                <w:i/>
              </w:rPr>
              <w:t xml:space="preserve">skeri, herunder utilsigtede fangster af den kritisk truede balearskråpe. Senest den 15. april hvert år rapporterer medlemsstaterne de i bilag XXII omhandlede oplysninger til Kommissionen. Kommissionen sender disse oplysninger til GFCM's sekretariat senest </w:t>
            </w:r>
            <w:r w:rsidRPr="002F041F">
              <w:rPr>
                <w:b/>
                <w:i/>
              </w:rPr>
              <w:t>den 30. april hvert år</w:t>
            </w:r>
          </w:p>
        </w:tc>
        <w:tc>
          <w:tcPr>
            <w:tcW w:w="4876" w:type="dxa"/>
          </w:tcPr>
          <w:p w:rsidR="00C6436A" w:rsidRPr="002F041F" w:rsidRDefault="00C6436A">
            <w:pPr>
              <w:pStyle w:val="Normal6"/>
              <w:rPr>
                <w:szCs w:val="24"/>
              </w:rPr>
            </w:pPr>
          </w:p>
        </w:tc>
      </w:tr>
      <w:tr w:rsidR="007233AC" w:rsidRPr="002F041F" w:rsidTr="00510CEC">
        <w:trPr>
          <w:jc w:val="center"/>
        </w:trPr>
        <w:tc>
          <w:tcPr>
            <w:tcW w:w="4876" w:type="dxa"/>
            <w:hideMark/>
          </w:tcPr>
          <w:p w:rsidR="00C6436A" w:rsidRPr="002F041F" w:rsidRDefault="002F041F">
            <w:pPr>
              <w:pStyle w:val="Normal6"/>
            </w:pPr>
            <w:r w:rsidRPr="002F041F">
              <w:rPr>
                <w:b/>
                <w:i/>
              </w:rPr>
              <w:t>b)</w:t>
            </w:r>
            <w:r w:rsidRPr="002F041F">
              <w:rPr>
                <w:b/>
                <w:i/>
              </w:rPr>
              <w:tab/>
              <w:t>Medlemsstaterne evaluerer senest i 2024, hvor effektive mindst to af de overgangsafbødningsforanstaltninger, der er opført i bilag XVIII, er til at forbedre bevarelsesstatus for arter af havfugle og til at afbøde og, hvor det er</w:t>
            </w:r>
            <w:r w:rsidRPr="002F041F">
              <w:rPr>
                <w:b/>
                <w:i/>
              </w:rPr>
              <w:t xml:space="preserve"> muligt, eliminere risikoen for utilsigtet fangst af havfugle i fiskeri og den dermed forbundne dødelighed."</w:t>
            </w:r>
          </w:p>
        </w:tc>
        <w:tc>
          <w:tcPr>
            <w:tcW w:w="4876" w:type="dxa"/>
          </w:tcPr>
          <w:p w:rsidR="00C6436A" w:rsidRPr="002F041F" w:rsidRDefault="00C6436A">
            <w:pPr>
              <w:pStyle w:val="Normal6"/>
              <w:rPr>
                <w:szCs w:val="24"/>
              </w:rPr>
            </w:pP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GFCM/44/2021/13 ophævede henstilling GFCM/46/2023/22.</w:t>
      </w:r>
    </w:p>
    <w:p w:rsidR="00C6436A" w:rsidRPr="002F041F" w:rsidRDefault="002F041F" w:rsidP="00C6436A">
      <w:r w:rsidRPr="002F041F">
        <w:rPr>
          <w:rStyle w:val="HideTWBExt"/>
          <w:noProof w:val="0"/>
        </w:rPr>
        <w:lastRenderedPageBreak/>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78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103 a – stk. 3</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3.</w:t>
            </w:r>
            <w:r w:rsidRPr="002F041F">
              <w:tab/>
              <w:t xml:space="preserve">Medlemsstaterne underretter senest </w:t>
            </w:r>
            <w:r w:rsidRPr="002F041F">
              <w:rPr>
                <w:b/>
                <w:bCs/>
                <w:i/>
                <w:iCs/>
              </w:rPr>
              <w:t xml:space="preserve">i </w:t>
            </w:r>
            <w:r w:rsidRPr="002F041F">
              <w:t>2026 Kommissionen om mindst to af de afbødningsforanstaltninger, der er vedtaget i medfør af stk. 1 og 2. I denne forbindelse bør der tages højde for de områder og flåder, som har højere risiko for i</w:t>
            </w:r>
            <w:r w:rsidRPr="002F041F">
              <w:t>nteraktioner.</w:t>
            </w:r>
          </w:p>
        </w:tc>
        <w:tc>
          <w:tcPr>
            <w:tcW w:w="4876" w:type="dxa"/>
            <w:hideMark/>
          </w:tcPr>
          <w:p w:rsidR="00C6436A" w:rsidRPr="002F041F" w:rsidRDefault="002F041F" w:rsidP="00AC7816">
            <w:pPr>
              <w:pStyle w:val="Normal6"/>
              <w:rPr>
                <w:szCs w:val="24"/>
              </w:rPr>
            </w:pPr>
            <w:r w:rsidRPr="002F041F">
              <w:t>3.</w:t>
            </w:r>
            <w:r w:rsidRPr="002F041F">
              <w:tab/>
              <w:t xml:space="preserve">Medlemsstaterne underretter senest </w:t>
            </w:r>
            <w:r w:rsidRPr="002F041F">
              <w:rPr>
                <w:b/>
                <w:bCs/>
                <w:i/>
                <w:iCs/>
              </w:rPr>
              <w:t xml:space="preserve">den 31. december </w:t>
            </w:r>
            <w:r w:rsidRPr="002F041F">
              <w:t xml:space="preserve">2026 Kommissionen om mindst to af de afbødningsforanstaltninger, der er vedtaget i medfør af stk. 1 og 2. I denne forbindelse bør der tages højde for de områder og flåder, som har højere </w:t>
            </w:r>
            <w:r w:rsidRPr="002F041F">
              <w:t>risiko for interaktioner.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79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52</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105 a – stk. 1 – litra d</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d)</w:t>
            </w:r>
            <w:r w:rsidRPr="002F041F">
              <w:tab/>
              <w:t>tærskler for maksimal potentiel bifangst</w:t>
            </w:r>
          </w:p>
        </w:tc>
        <w:tc>
          <w:tcPr>
            <w:tcW w:w="4876" w:type="dxa"/>
            <w:hideMark/>
          </w:tcPr>
          <w:p w:rsidR="00C6436A" w:rsidRPr="002F041F" w:rsidRDefault="002F041F">
            <w:pPr>
              <w:pStyle w:val="Normal6"/>
              <w:rPr>
                <w:szCs w:val="24"/>
              </w:rPr>
            </w:pPr>
            <w:r w:rsidRPr="002F041F">
              <w:t>d)</w:t>
            </w:r>
            <w:r w:rsidRPr="002F041F">
              <w:tab/>
            </w:r>
            <w:r w:rsidRPr="002F041F">
              <w:rPr>
                <w:b/>
                <w:bCs/>
                <w:i/>
                <w:iCs/>
              </w:rPr>
              <w:t>implementering af</w:t>
            </w:r>
            <w:r w:rsidRPr="002F041F">
              <w:t xml:space="preserve"> tærskler for maksimal potentiel bifangst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w:t>
      </w:r>
      <w:r w:rsidRPr="002F041F">
        <w:t>gsforslag</w:t>
      </w:r>
      <w:r w:rsidRPr="002F041F">
        <w:tab/>
      </w:r>
      <w:r w:rsidRPr="002F041F">
        <w:tab/>
      </w:r>
      <w:r w:rsidRPr="002F041F">
        <w:rPr>
          <w:rStyle w:val="HideTWBExt"/>
          <w:noProof w:val="0"/>
        </w:rPr>
        <w:t>&lt;NumAm&gt;</w:t>
      </w:r>
      <w:r w:rsidRPr="002F041F">
        <w:t>80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52</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105 a – stk. 1 – litra e</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e)</w:t>
            </w:r>
            <w:r w:rsidRPr="002F041F">
              <w:tab/>
              <w:t>anvendelse af akustiske alarmer</w:t>
            </w:r>
          </w:p>
        </w:tc>
        <w:tc>
          <w:tcPr>
            <w:tcW w:w="4876" w:type="dxa"/>
            <w:hideMark/>
          </w:tcPr>
          <w:p w:rsidR="00C6436A" w:rsidRPr="002F041F" w:rsidRDefault="002F041F">
            <w:pPr>
              <w:pStyle w:val="Normal6"/>
              <w:rPr>
                <w:szCs w:val="24"/>
              </w:rPr>
            </w:pPr>
            <w:r w:rsidRPr="002F041F">
              <w:t>e)</w:t>
            </w:r>
            <w:r w:rsidRPr="002F041F">
              <w:tab/>
              <w:t xml:space="preserve">anvendelse af akustiske alarmer </w:t>
            </w:r>
            <w:r w:rsidRPr="002F041F">
              <w:rPr>
                <w:b/>
                <w:i/>
              </w:rPr>
              <w:t>og</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81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52</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105 a – stk. 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2.</w:t>
            </w:r>
            <w:r w:rsidRPr="002F041F">
              <w:tab/>
              <w:t xml:space="preserve">Medlemsstaterne </w:t>
            </w:r>
            <w:r w:rsidRPr="002F041F">
              <w:rPr>
                <w:b/>
                <w:bCs/>
                <w:i/>
                <w:iCs/>
              </w:rPr>
              <w:t>opfordres til</w:t>
            </w:r>
            <w:r w:rsidRPr="002F041F">
              <w:t xml:space="preserve"> ved hjælp af passende retningslinjer og uddannelse at lette gennemførelsen foranstaltninger, der skal hindre, at dyr vikles ind i redskaberne, når de æder af fangsten, og mindske dødeligheden efter genudsætning.</w:t>
            </w:r>
          </w:p>
        </w:tc>
        <w:tc>
          <w:tcPr>
            <w:tcW w:w="4876" w:type="dxa"/>
            <w:hideMark/>
          </w:tcPr>
          <w:p w:rsidR="00C6436A" w:rsidRPr="002F041F" w:rsidRDefault="002F041F">
            <w:pPr>
              <w:pStyle w:val="Normal6"/>
              <w:rPr>
                <w:szCs w:val="24"/>
              </w:rPr>
            </w:pPr>
            <w:r w:rsidRPr="002F041F">
              <w:t>2.</w:t>
            </w:r>
            <w:r w:rsidRPr="002F041F">
              <w:tab/>
            </w:r>
            <w:r w:rsidRPr="002F041F">
              <w:rPr>
                <w:b/>
                <w:bCs/>
                <w:i/>
                <w:iCs/>
              </w:rPr>
              <w:t>Det henstilles til</w:t>
            </w:r>
            <w:r w:rsidRPr="002F041F">
              <w:t xml:space="preserve"> medlemsstaterne ved h</w:t>
            </w:r>
            <w:r w:rsidRPr="002F041F">
              <w:t>jælp af passende retningslinjer og uddannelse at lette gennemførelsen foranstaltninger, der skal hindre, at dyr vikles ind i redskaberne, når de æder af fangsten, og mindske dødeligheden efter genudsætning.</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w:t>
      </w:r>
      <w:r w:rsidRPr="002F041F">
        <w:rPr>
          <w:noProof w:val="0"/>
        </w:rPr>
        <w:t>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Tilpasning af teksten til henstilling GFCM/44/2021/15</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82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53 – litra b</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 xml:space="preserve">Forordning (EU) nr. </w:t>
      </w:r>
      <w:r w:rsidRPr="002F041F">
        <w:t>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106 – stk. 1 – litra e</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"e)</w:t>
            </w:r>
            <w:r w:rsidRPr="002F041F">
              <w:tab/>
              <w:t xml:space="preserve">alle tilfælde af utilsigtet fangst, genudsætning og/eller udsmidning af hajer af de arter, der er opført i bilag II eller III til </w:t>
            </w:r>
            <w:r w:rsidRPr="002F041F">
              <w:t>protokollen om særligt beskyttede områder og den biologiske mangfoldighed i Middelhavet."</w:t>
            </w:r>
          </w:p>
        </w:tc>
        <w:tc>
          <w:tcPr>
            <w:tcW w:w="4876" w:type="dxa"/>
            <w:hideMark/>
          </w:tcPr>
          <w:p w:rsidR="00C6436A" w:rsidRPr="002F041F" w:rsidRDefault="002F041F">
            <w:pPr>
              <w:pStyle w:val="Normal6"/>
              <w:rPr>
                <w:szCs w:val="24"/>
              </w:rPr>
            </w:pPr>
            <w:r w:rsidRPr="002F041F">
              <w:t>"e)</w:t>
            </w:r>
            <w:r w:rsidRPr="002F041F">
              <w:tab/>
              <w:t xml:space="preserve">alle tilfælde af utilsigtet fangst, genudsætning og/eller udsmidning </w:t>
            </w:r>
            <w:r w:rsidRPr="002F041F">
              <w:rPr>
                <w:b/>
                <w:bCs/>
                <w:i/>
                <w:iCs/>
              </w:rPr>
              <w:t>i underområder 1-27</w:t>
            </w:r>
            <w:r w:rsidRPr="002F041F">
              <w:t xml:space="preserve"> af hajer af de arter, der er opført i bilag II eller III til protokollen </w:t>
            </w:r>
            <w:r w:rsidRPr="002F041F">
              <w:t>om særligt beskyttede områder og den biologiske mangfoldighed i Middelhavet."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83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53 – litra c</w:t>
      </w:r>
      <w:r w:rsidRPr="002F041F">
        <w:rPr>
          <w:rStyle w:val="HideTWBExt"/>
          <w:noProof w:val="0"/>
        </w:rPr>
        <w:t>&lt;/Ar</w:t>
      </w:r>
      <w:r w:rsidRPr="002F041F">
        <w:rPr>
          <w:rStyle w:val="HideTWBExt"/>
          <w:noProof w:val="0"/>
        </w:rPr>
        <w:t>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106 – stk. 1 – litra f</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"f)</w:t>
            </w:r>
            <w:r w:rsidRPr="002F041F">
              <w:tab/>
              <w:t>ethvert tilfælde af utilsigtede fangster af haj- og rokkearter".</w:t>
            </w:r>
          </w:p>
        </w:tc>
        <w:tc>
          <w:tcPr>
            <w:tcW w:w="4876" w:type="dxa"/>
            <w:hideMark/>
          </w:tcPr>
          <w:p w:rsidR="00C6436A" w:rsidRPr="002F041F" w:rsidRDefault="002F041F">
            <w:pPr>
              <w:pStyle w:val="Normal6"/>
              <w:rPr>
                <w:szCs w:val="24"/>
              </w:rPr>
            </w:pPr>
            <w:r w:rsidRPr="002F041F">
              <w:t>"f)</w:t>
            </w:r>
            <w:r w:rsidRPr="002F041F">
              <w:tab/>
            </w:r>
            <w:r w:rsidRPr="002F041F">
              <w:t xml:space="preserve">ethvert tilfælde af utilsigtede fangster af haj- og rokkearter </w:t>
            </w:r>
            <w:r w:rsidRPr="002F041F">
              <w:rPr>
                <w:b/>
                <w:bCs/>
                <w:i/>
                <w:iCs/>
              </w:rPr>
              <w:t>i underområder 1-27</w:t>
            </w:r>
            <w:r w:rsidRPr="002F041F">
              <w: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84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54</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106 d – stk. 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2.</w:t>
            </w:r>
            <w:r w:rsidRPr="002F041F">
              <w:tab/>
              <w:t xml:space="preserve">Fiskerfartøjer med tilladelse til at fiske i </w:t>
            </w:r>
            <w:r w:rsidRPr="002F041F">
              <w:rPr>
                <w:b/>
                <w:bCs/>
                <w:i/>
                <w:iCs/>
              </w:rPr>
              <w:t>zone B</w:t>
            </w:r>
            <w:r w:rsidRPr="002F041F">
              <w:t xml:space="preserve"> skal være udstyret med elektronisk fjernovervågning,</w:t>
            </w:r>
            <w:r w:rsidRPr="002F041F">
              <w:t xml:space="preserve"> som anvender en øget datatransmissionsfrekvens, og en elektronisk logbog, som fungerer korrekt, eller et tilsvarende dokument, og fiskeredskaberne om bord eller i brug skal være behørigt identificeret, nummereret og mærket, inden fiskeri eller sejlads i o</w:t>
            </w:r>
            <w:r w:rsidRPr="002F041F">
              <w:t>mrådet med fiskeribegrænsninger indledes. I det omfang, det er muligt, er datatransmissionsfrekvensen for fartøjsovervågningssystemer (FOS eller automatiserede identifikationssystemer) mindst én gang hver 30. minut, når et fiskerfartøj sejler ind i en zone</w:t>
            </w:r>
            <w:r w:rsidRPr="002F041F">
              <w:t>, der er en del af et område med fiskeribegrænsninger.</w:t>
            </w:r>
          </w:p>
        </w:tc>
        <w:tc>
          <w:tcPr>
            <w:tcW w:w="4876" w:type="dxa"/>
            <w:hideMark/>
          </w:tcPr>
          <w:p w:rsidR="00C6436A" w:rsidRPr="002F041F" w:rsidRDefault="002F041F">
            <w:pPr>
              <w:pStyle w:val="Normal6"/>
              <w:rPr>
                <w:szCs w:val="24"/>
              </w:rPr>
            </w:pPr>
            <w:r w:rsidRPr="002F041F">
              <w:t>2.</w:t>
            </w:r>
            <w:r w:rsidRPr="002F041F">
              <w:tab/>
              <w:t>Fiskerfartøjer med tilladelse til at fiske i</w:t>
            </w:r>
            <w:r w:rsidRPr="002F041F">
              <w:rPr>
                <w:i/>
                <w:iCs/>
              </w:rPr>
              <w:t xml:space="preserve"> </w:t>
            </w:r>
            <w:r w:rsidRPr="002F041F">
              <w:rPr>
                <w:b/>
                <w:bCs/>
                <w:i/>
                <w:iCs/>
              </w:rPr>
              <w:t>henhold til bilag XI, del D, pkt. 2,</w:t>
            </w:r>
            <w:r w:rsidRPr="002F041F">
              <w:t xml:space="preserve"> skal være udstyret med elektronisk fjernovervågning, som anvender en øget datatransmissionsfrekvens, og en elektroni</w:t>
            </w:r>
            <w:r w:rsidRPr="002F041F">
              <w:t>sk logbog, som fungerer korrekt, eller et tilsvarende dokument, og fiskeredskaberne om bord eller i brug skal være behørigt identificeret, nummereret og mærket, inden fiskeri eller sejlads i området med fiskeribegrænsninger indledes. I det omfang, det er m</w:t>
            </w:r>
            <w:r w:rsidRPr="002F041F">
              <w:t>uligt, er datatransmissionsfrekvensen for fartøjsovervågningssystemer (FOS eller automatiserede identifikationssystemer) mindst én gang hver 30. minut, når et fiskerfartøj sejler ind i en zone, der er en del af et område med fiskeribegrænsninger.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w:t>
      </w:r>
      <w:r w:rsidRPr="002F041F">
        <w:rPr>
          <w:rStyle w:val="HideTWBExt"/>
          <w:noProof w:val="0"/>
        </w:rPr>
        <w:t>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Rettelse af Kommissionens fejl i henvisning.</w:t>
      </w:r>
    </w:p>
    <w:p w:rsidR="00C6436A" w:rsidRPr="002F041F" w:rsidRDefault="002F041F" w:rsidP="00C6436A">
      <w:r w:rsidRPr="002F041F">
        <w:rPr>
          <w:rStyle w:val="HideTWBExt"/>
          <w:noProof w:val="0"/>
        </w:rPr>
        <w:lastRenderedPageBreak/>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85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54</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106 d – stk. 4</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4.</w:t>
            </w:r>
            <w:r w:rsidRPr="002F041F">
              <w:tab/>
              <w:t xml:space="preserve">Senest den 15. maj hvert år sender medlemsstaterne Kommissionen en rapport om de forvaltningsforanstaltninger, der </w:t>
            </w:r>
            <w:r w:rsidRPr="002F041F">
              <w:t xml:space="preserve">er truffet i områderne med fiskerbegrænsninger. Kommissionen tillægges beføjelse til at vedtage delegerede retsakter til supplering af denne forordning i overensstemmelse med denne forordnings artikel 140 </w:t>
            </w:r>
            <w:r w:rsidRPr="002F041F">
              <w:rPr>
                <w:b/>
                <w:bCs/>
                <w:i/>
                <w:iCs/>
              </w:rPr>
              <w:t>og artikel 18, stk. 1-6, i forordning (EU) nr. 1380</w:t>
            </w:r>
            <w:r w:rsidRPr="002F041F">
              <w:rPr>
                <w:b/>
                <w:bCs/>
                <w:i/>
                <w:iCs/>
              </w:rPr>
              <w:t>/2013</w:t>
            </w:r>
            <w:r w:rsidRPr="002F041F">
              <w:t xml:space="preserve"> med henblik på indholdet af rapporten i overensstemmelse med, hvad der aftales på GFCM-plan.</w:t>
            </w:r>
          </w:p>
        </w:tc>
        <w:tc>
          <w:tcPr>
            <w:tcW w:w="4876" w:type="dxa"/>
            <w:hideMark/>
          </w:tcPr>
          <w:p w:rsidR="00C6436A" w:rsidRPr="002F041F" w:rsidRDefault="002F041F">
            <w:pPr>
              <w:pStyle w:val="Normal6"/>
              <w:rPr>
                <w:szCs w:val="24"/>
              </w:rPr>
            </w:pPr>
            <w:r w:rsidRPr="002F041F">
              <w:t>4.</w:t>
            </w:r>
            <w:r w:rsidRPr="002F041F">
              <w:tab/>
              <w:t>Senest den 15. maj hvert år sender medlemsstaterne Kommissionen en rapport om de forvaltningsforanstaltninger, der er truffet i områderne med fiskerbegræn</w:t>
            </w:r>
            <w:r w:rsidRPr="002F041F">
              <w:t>sninger. Kommissionen tillægges beføjelse til at vedtage delegerede retsakter til supplering af denne forordning i overensstemmelse med denne forordnings artikel 140 med henblik på indholdet af rapporten i overensstemmelse med, hvad der aftales på GFCM-pla</w:t>
            </w:r>
            <w:r w:rsidRPr="002F041F">
              <w:t>n.</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Regionalisering</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86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54</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 xml:space="preserve">Forordning (EU) </w:t>
      </w:r>
      <w:r w:rsidRPr="002F041F">
        <w:t>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106 d – stk. 5 – indledning</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5.</w:t>
            </w:r>
            <w:r w:rsidRPr="002F041F">
              <w:tab/>
              <w:t xml:space="preserve">Den i </w:t>
            </w:r>
            <w:r w:rsidRPr="002F041F">
              <w:rPr>
                <w:b/>
                <w:bCs/>
                <w:i/>
                <w:iCs/>
              </w:rPr>
              <w:t>stk. 2</w:t>
            </w:r>
            <w:r w:rsidRPr="002F041F">
              <w:t xml:space="preserve"> omhandlede rapport skal indeholde følgende:</w:t>
            </w:r>
          </w:p>
        </w:tc>
        <w:tc>
          <w:tcPr>
            <w:tcW w:w="4876" w:type="dxa"/>
            <w:hideMark/>
          </w:tcPr>
          <w:p w:rsidR="00C6436A" w:rsidRPr="002F041F" w:rsidRDefault="002F041F">
            <w:pPr>
              <w:pStyle w:val="Normal6"/>
              <w:rPr>
                <w:szCs w:val="24"/>
              </w:rPr>
            </w:pPr>
            <w:r w:rsidRPr="002F041F">
              <w:t>5.</w:t>
            </w:r>
            <w:r w:rsidRPr="002F041F">
              <w:tab/>
              <w:t xml:space="preserve">Den i </w:t>
            </w:r>
            <w:r w:rsidRPr="002F041F">
              <w:rPr>
                <w:b/>
                <w:bCs/>
                <w:i/>
                <w:iCs/>
              </w:rPr>
              <w:t>stk. 4</w:t>
            </w:r>
            <w:r w:rsidRPr="002F041F">
              <w:t xml:space="preserve"> omhandlede rapport skal indeholde følgende:</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87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54</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 xml:space="preserve">Artikel 106 d – stk. 5 </w:t>
      </w:r>
      <w:r w:rsidRPr="002F041F">
        <w:t>– litra c</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c)</w:t>
            </w:r>
            <w:r w:rsidRPr="002F041F">
              <w:tab/>
              <w:t>resultaterne af inspektionsordninger, herunder som minimum antallet af konstaterede overtrædelser, overtrædelsernes type og de anvendte sanktioner</w:t>
            </w:r>
          </w:p>
        </w:tc>
        <w:tc>
          <w:tcPr>
            <w:tcW w:w="4876" w:type="dxa"/>
            <w:hideMark/>
          </w:tcPr>
          <w:p w:rsidR="00C6436A" w:rsidRPr="002F041F" w:rsidRDefault="002F041F">
            <w:pPr>
              <w:pStyle w:val="Normal6"/>
              <w:rPr>
                <w:szCs w:val="24"/>
              </w:rPr>
            </w:pPr>
            <w:r w:rsidRPr="002F041F">
              <w:t>c)</w:t>
            </w:r>
            <w:r w:rsidRPr="002F041F">
              <w:tab/>
              <w:t>resultaterne af inspektionsordninger, her</w:t>
            </w:r>
            <w:r w:rsidRPr="002F041F">
              <w:t xml:space="preserve">under som minimum antallet af konstaterede overtrædelser, </w:t>
            </w:r>
            <w:r w:rsidRPr="002F041F">
              <w:rPr>
                <w:b/>
                <w:bCs/>
                <w:i/>
                <w:iCs/>
              </w:rPr>
              <w:t xml:space="preserve">der er begået uden for områder, hvor medlemsstaterne har højhedsret, </w:t>
            </w:r>
            <w:r w:rsidRPr="002F041F">
              <w:t>overtrædelsernes type og de anvendte sanktioner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88</w:t>
      </w:r>
      <w:r w:rsidRPr="002F041F">
        <w:rPr>
          <w:rStyle w:val="HideTWBExt"/>
          <w:noProof w:val="0"/>
        </w:rPr>
        <w:t>&lt;/NumA</w:t>
      </w:r>
      <w:r w:rsidRPr="002F041F">
        <w:rPr>
          <w:rStyle w:val="HideTWBExt"/>
          <w:noProof w:val="0"/>
        </w:rPr>
        <w:t>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55</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107</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t>Der etableres</w:t>
            </w:r>
            <w:r w:rsidRPr="002F041F">
              <w:rPr>
                <w:b/>
                <w:bCs/>
                <w:i/>
                <w:iCs/>
              </w:rPr>
              <w:t xml:space="preserve"> </w:t>
            </w:r>
            <w:r w:rsidRPr="002F041F">
              <w:t xml:space="preserve">et område med </w:t>
            </w:r>
            <w:r w:rsidRPr="002F041F">
              <w:t>fiskeribegrænsninger</w:t>
            </w:r>
            <w:r w:rsidRPr="002F041F">
              <w:rPr>
                <w:b/>
                <w:bCs/>
                <w:i/>
                <w:iCs/>
              </w:rPr>
              <w:t xml:space="preserve"> </w:t>
            </w:r>
            <w:r w:rsidRPr="002F041F">
              <w:t>i den østlige del af Lionbugten</w:t>
            </w:r>
            <w:r w:rsidRPr="002F041F">
              <w:rPr>
                <w:b/>
                <w:bCs/>
                <w:i/>
                <w:iCs/>
              </w:rPr>
              <w:t xml:space="preserve"> som afgrænset af linjer, der forbinder de geografiske koordinater, der er angivet i bilag XI, del A</w:t>
            </w:r>
            <w:r w:rsidRPr="002F041F">
              <w:t>.</w:t>
            </w:r>
          </w:p>
        </w:tc>
        <w:tc>
          <w:tcPr>
            <w:tcW w:w="4876" w:type="dxa"/>
            <w:hideMark/>
          </w:tcPr>
          <w:p w:rsidR="00C6436A" w:rsidRPr="002F041F" w:rsidRDefault="002F041F">
            <w:pPr>
              <w:pStyle w:val="Normal6"/>
              <w:rPr>
                <w:szCs w:val="24"/>
              </w:rPr>
            </w:pPr>
            <w:r w:rsidRPr="002F041F">
              <w:t>1.</w:t>
            </w:r>
            <w:r w:rsidRPr="002F041F">
              <w:tab/>
              <w:t>Der etableres</w:t>
            </w:r>
            <w:r w:rsidRPr="002F041F">
              <w:rPr>
                <w:b/>
                <w:bCs/>
                <w:i/>
                <w:iCs/>
              </w:rPr>
              <w:t xml:space="preserve"> </w:t>
            </w:r>
            <w:r w:rsidRPr="002F041F">
              <w:t>et område med fiskeribegrænsninger</w:t>
            </w:r>
            <w:r w:rsidRPr="002F041F">
              <w:rPr>
                <w:b/>
                <w:bCs/>
                <w:i/>
                <w:iCs/>
              </w:rPr>
              <w:t xml:space="preserve"> </w:t>
            </w:r>
            <w:r w:rsidRPr="002F041F">
              <w:t xml:space="preserve">i den østlige del af Lionbugten </w:t>
            </w:r>
            <w:r w:rsidRPr="002F041F">
              <w:rPr>
                <w:b/>
                <w:bCs/>
                <w:i/>
                <w:iCs/>
              </w:rPr>
              <w:t>(underområde 7) me</w:t>
            </w:r>
            <w:r w:rsidRPr="002F041F">
              <w:rPr>
                <w:b/>
                <w:bCs/>
                <w:i/>
                <w:iCs/>
              </w:rPr>
              <w:t>d henblik på at styrke beskyttelsen af gydestimer og følsomme dybhavslevesteder</w:t>
            </w:r>
            <w:r w:rsidRPr="002F041F">
              <w:t>.</w:t>
            </w:r>
          </w:p>
        </w:tc>
      </w:tr>
      <w:tr w:rsidR="007233AC" w:rsidRPr="002F041F" w:rsidTr="00C6436A">
        <w:trPr>
          <w:jc w:val="center"/>
        </w:trPr>
        <w:tc>
          <w:tcPr>
            <w:tcW w:w="4876" w:type="dxa"/>
            <w:hideMark/>
          </w:tcPr>
          <w:p w:rsidR="00C6436A" w:rsidRPr="002F041F" w:rsidRDefault="002F041F">
            <w:pPr>
              <w:pStyle w:val="Normal6"/>
            </w:pPr>
            <w:r w:rsidRPr="002F041F">
              <w:t>2.</w:t>
            </w:r>
            <w:r w:rsidRPr="002F041F">
              <w:rPr>
                <w:b/>
                <w:i/>
              </w:rPr>
              <w:tab/>
              <w:t xml:space="preserve">I del A, zone (1), er erhvervsfiskerfartøjer, der fisker efter demersale bestande med trukne net, langliner til bundfiskeri, flydeliner samt bundsatte garn, og rekreativt </w:t>
            </w:r>
            <w:r w:rsidRPr="002F041F">
              <w:rPr>
                <w:b/>
                <w:i/>
              </w:rPr>
              <w:t>fiskeri forbudt.</w:t>
            </w:r>
          </w:p>
        </w:tc>
        <w:tc>
          <w:tcPr>
            <w:tcW w:w="4876" w:type="dxa"/>
            <w:hideMark/>
          </w:tcPr>
          <w:p w:rsidR="00C6436A" w:rsidRPr="002F041F" w:rsidRDefault="002F041F">
            <w:pPr>
              <w:pStyle w:val="Normal6"/>
              <w:rPr>
                <w:szCs w:val="24"/>
              </w:rPr>
            </w:pPr>
            <w:r w:rsidRPr="002F041F">
              <w:t>2.</w:t>
            </w:r>
            <w:r w:rsidRPr="002F041F">
              <w:rPr>
                <w:b/>
                <w:i/>
              </w:rPr>
              <w:tab/>
              <w:t xml:space="preserve">Begrænsningsområdet omhandlet i stk. 1 opdeles i zone A og zone B og afgrænses af linjerne mellem de geografiske koordinater, der er fastsat i bilag XI, del A. </w:t>
            </w:r>
          </w:p>
        </w:tc>
      </w:tr>
      <w:tr w:rsidR="007233AC" w:rsidRPr="002F041F" w:rsidTr="00C6436A">
        <w:trPr>
          <w:jc w:val="center"/>
        </w:trPr>
        <w:tc>
          <w:tcPr>
            <w:tcW w:w="4876" w:type="dxa"/>
            <w:hideMark/>
          </w:tcPr>
          <w:p w:rsidR="00C6436A" w:rsidRPr="002F041F" w:rsidRDefault="002F041F">
            <w:pPr>
              <w:pStyle w:val="Normal6"/>
            </w:pPr>
            <w:r w:rsidRPr="002F041F">
              <w:rPr>
                <w:b/>
                <w:i/>
              </w:rPr>
              <w:t>3.</w:t>
            </w:r>
            <w:r w:rsidRPr="002F041F">
              <w:rPr>
                <w:b/>
                <w:i/>
              </w:rPr>
              <w:tab/>
              <w:t xml:space="preserve">Fiskeri efter demersale bestande med trukne net, langliner til </w:t>
            </w:r>
            <w:r w:rsidRPr="002F041F">
              <w:rPr>
                <w:b/>
                <w:i/>
              </w:rPr>
              <w:t>bundfiskeri, flydeliner samt bundsatte garn er forbudt i del A, zone (2), fra den 1. november til den 30. april hvert år."</w:t>
            </w:r>
          </w:p>
        </w:tc>
        <w:tc>
          <w:tcPr>
            <w:tcW w:w="4876" w:type="dxa"/>
          </w:tcPr>
          <w:p w:rsidR="00C6436A" w:rsidRPr="002F041F" w:rsidRDefault="00C6436A">
            <w:pPr>
              <w:pStyle w:val="Normal6"/>
            </w:pP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lastRenderedPageBreak/>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GFCM/46/2023/1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89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55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107 a (ny)</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543BCF">
            <w:pPr>
              <w:pStyle w:val="Normal6"/>
              <w:rPr>
                <w:szCs w:val="24"/>
              </w:rPr>
            </w:pPr>
            <w:r w:rsidRPr="002F041F">
              <w:rPr>
                <w:b/>
                <w:i/>
              </w:rPr>
              <w:t>55a)</w:t>
            </w:r>
            <w:r w:rsidRPr="002F041F">
              <w:rPr>
                <w:b/>
                <w:i/>
              </w:rPr>
              <w:tab/>
              <w:t>følgende artikel indsættes: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"Artikel 107a</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Forvaltning og overvågning af fiskerikapacitet og fiskeriindsats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t xml:space="preserve">Erhvervsfiskerfartøjer, der fisker efter demersale bestande og anvender trukne redskaber, langliner til bundfiskeri, flydeliner samt </w:t>
            </w:r>
            <w:r w:rsidRPr="002F041F">
              <w:rPr>
                <w:b/>
                <w:i/>
              </w:rPr>
              <w:t>bundsatte garn, er med henblik på at bidrage til beskyttelsen af sårbare marine økosystemer og vigtige fiskelevesteder for demersale bestande såsom europæisk kulmule (Merluccius merluccius) forbudte i zone A.</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t>Rekreativt fiskeri er forbudt i zone A.</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Fiskeri efter demersale bestande med trukne redskaber, langliner til bundfiskeri, flydeliner eller bundsatte garn er forbudt i zone B i en årlig periode fra 1. november til 30. april. 4.</w:t>
            </w:r>
            <w:r w:rsidRPr="002F041F">
              <w:rPr>
                <w:b/>
                <w:i/>
              </w:rPr>
              <w:tab/>
              <w:t xml:space="preserve">Al rekreativt fiskeri er forbudt i zone B."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90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56</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108</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rPr>
                <w:b/>
                <w:i/>
              </w:rPr>
              <w:t>1.</w:t>
            </w:r>
            <w:r w:rsidRPr="002F041F">
              <w:rPr>
                <w:b/>
                <w:i/>
              </w:rPr>
              <w:tab/>
            </w:r>
            <w:r w:rsidRPr="002F041F">
              <w:rPr>
                <w:b/>
                <w:bCs/>
                <w:i/>
                <w:iCs/>
              </w:rPr>
              <w:t>Fiskeriindsatsen</w:t>
            </w:r>
            <w:r w:rsidRPr="002F041F">
              <w:t xml:space="preserve"> (antal havdage) </w:t>
            </w:r>
            <w:r w:rsidRPr="002F041F">
              <w:rPr>
                <w:b/>
                <w:bCs/>
                <w:i/>
                <w:iCs/>
              </w:rPr>
              <w:t>for</w:t>
            </w:r>
            <w:r w:rsidRPr="002F041F">
              <w:t xml:space="preserve"> </w:t>
            </w:r>
            <w:r w:rsidRPr="002F041F">
              <w:rPr>
                <w:b/>
                <w:bCs/>
                <w:i/>
                <w:iCs/>
              </w:rPr>
              <w:t>fartøjer, der fisker efter</w:t>
            </w:r>
            <w:r w:rsidRPr="002F041F">
              <w:t xml:space="preserve"> demersale bestande med trukne redskaber, langliner til bundfiskeri, flydeliner samt bundsatte garn i </w:t>
            </w:r>
            <w:r w:rsidRPr="002F041F">
              <w:rPr>
                <w:b/>
                <w:bCs/>
                <w:i/>
                <w:iCs/>
              </w:rPr>
              <w:t>det område</w:t>
            </w:r>
            <w:r w:rsidRPr="002F041F">
              <w:t xml:space="preserve"> med fiskeribegrænsninger, </w:t>
            </w:r>
            <w:r w:rsidRPr="002F041F">
              <w:rPr>
                <w:b/>
                <w:bCs/>
                <w:i/>
                <w:iCs/>
              </w:rPr>
              <w:t>der er omhandlet i artikel 107,</w:t>
            </w:r>
            <w:r w:rsidRPr="002F041F">
              <w:t xml:space="preserve"> må ikke overstige </w:t>
            </w:r>
            <w:r w:rsidRPr="002F041F">
              <w:rPr>
                <w:b/>
                <w:bCs/>
                <w:i/>
                <w:iCs/>
              </w:rPr>
              <w:t>de enkelte medlemsstaters</w:t>
            </w:r>
            <w:r w:rsidRPr="002F041F">
              <w:t xml:space="preserve"> fiskeriindsats </w:t>
            </w:r>
            <w:r w:rsidRPr="002F041F">
              <w:rPr>
                <w:b/>
                <w:bCs/>
                <w:i/>
                <w:iCs/>
              </w:rPr>
              <w:t>i det pågældende område i 2008</w:t>
            </w:r>
            <w:r w:rsidRPr="002F041F">
              <w:t>.</w:t>
            </w:r>
          </w:p>
        </w:tc>
        <w:tc>
          <w:tcPr>
            <w:tcW w:w="4876" w:type="dxa"/>
            <w:hideMark/>
          </w:tcPr>
          <w:p w:rsidR="00C6436A" w:rsidRPr="002F041F" w:rsidRDefault="002F041F">
            <w:pPr>
              <w:pStyle w:val="Normal6"/>
              <w:rPr>
                <w:szCs w:val="24"/>
              </w:rPr>
            </w:pPr>
            <w:r w:rsidRPr="002F041F">
              <w:rPr>
                <w:b/>
                <w:bCs/>
                <w:i/>
                <w:iCs/>
              </w:rPr>
              <w:t>Den årlige fiskeriindsats</w:t>
            </w:r>
            <w:r w:rsidRPr="002F041F">
              <w:t xml:space="preserve"> (antal havdage) </w:t>
            </w:r>
            <w:r w:rsidRPr="002F041F">
              <w:rPr>
                <w:b/>
                <w:bCs/>
                <w:i/>
                <w:iCs/>
              </w:rPr>
              <w:t xml:space="preserve">vedrørende </w:t>
            </w:r>
            <w:r w:rsidRPr="002F041F">
              <w:t xml:space="preserve">demersale bestande </w:t>
            </w:r>
            <w:r w:rsidRPr="002F041F">
              <w:rPr>
                <w:b/>
                <w:bCs/>
                <w:i/>
                <w:iCs/>
              </w:rPr>
              <w:t>foretaget af fartøjer med tilladel</w:t>
            </w:r>
            <w:r w:rsidRPr="002F041F">
              <w:rPr>
                <w:b/>
                <w:bCs/>
                <w:i/>
                <w:iCs/>
              </w:rPr>
              <w:t>se til at fiske i [WA1]</w:t>
            </w:r>
            <w:r w:rsidRPr="002F041F">
              <w:t xml:space="preserve"> med trukne redskaber, langliner til bundfiskeri, flydeliner samt bundsatte garn i </w:t>
            </w:r>
            <w:r w:rsidRPr="002F041F">
              <w:rPr>
                <w:b/>
                <w:bCs/>
                <w:i/>
                <w:iCs/>
              </w:rPr>
              <w:t>området</w:t>
            </w:r>
            <w:r w:rsidRPr="002F041F">
              <w:t xml:space="preserve"> med fiskeribegrænsninger, må ikke overstige </w:t>
            </w:r>
            <w:r w:rsidRPr="002F041F">
              <w:rPr>
                <w:b/>
                <w:bCs/>
                <w:i/>
                <w:iCs/>
              </w:rPr>
              <w:t>den</w:t>
            </w:r>
            <w:r w:rsidRPr="002F041F">
              <w:t xml:space="preserve"> fiskeriindsats, </w:t>
            </w:r>
            <w:r w:rsidRPr="002F041F">
              <w:rPr>
                <w:b/>
                <w:bCs/>
                <w:i/>
                <w:iCs/>
              </w:rPr>
              <w:t>der er foretaget i referenceperioden (fastsat til årene 2015-2017)</w:t>
            </w:r>
            <w:r w:rsidRPr="002F041F">
              <w:t>.</w:t>
            </w:r>
          </w:p>
        </w:tc>
      </w:tr>
      <w:tr w:rsidR="007233AC" w:rsidRPr="002F041F" w:rsidTr="00C6436A">
        <w:trPr>
          <w:jc w:val="center"/>
        </w:trPr>
        <w:tc>
          <w:tcPr>
            <w:tcW w:w="4876" w:type="dxa"/>
            <w:hideMark/>
          </w:tcPr>
          <w:p w:rsidR="00C6436A" w:rsidRPr="002F041F" w:rsidRDefault="002F041F">
            <w:pPr>
              <w:pStyle w:val="Normal6"/>
            </w:pPr>
            <w:r w:rsidRPr="002F041F">
              <w:rPr>
                <w:b/>
                <w:i/>
              </w:rPr>
              <w:t>2.</w:t>
            </w:r>
            <w:r w:rsidRPr="002F041F">
              <w:rPr>
                <w:b/>
                <w:i/>
              </w:rPr>
              <w:tab/>
              <w:t>Medlem</w:t>
            </w:r>
            <w:r w:rsidRPr="002F041F">
              <w:rPr>
                <w:b/>
                <w:i/>
              </w:rPr>
              <w:t>sstaterne må ikke overføre indsats mellem fartøjer med tilladelse til at fiske i området med fiskeribegrænsninger, og som anvender forskellige fiskeredskaber."</w:t>
            </w:r>
          </w:p>
        </w:tc>
        <w:tc>
          <w:tcPr>
            <w:tcW w:w="4876" w:type="dxa"/>
          </w:tcPr>
          <w:p w:rsidR="00C6436A" w:rsidRPr="002F041F" w:rsidRDefault="00C6436A">
            <w:pPr>
              <w:pStyle w:val="Normal6"/>
              <w:rPr>
                <w:b/>
                <w:i/>
              </w:rPr>
            </w:pP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91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56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 xml:space="preserve">Artikel 110 – stk. 3 </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Gældende ordlyd</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56a)</w:t>
            </w:r>
            <w:r w:rsidRPr="002F041F">
              <w:rPr>
                <w:b/>
                <w:i/>
              </w:rPr>
              <w:tab/>
              <w:t>Artikel 110, stk. 3, affattes således:</w:t>
            </w:r>
          </w:p>
        </w:tc>
      </w:tr>
      <w:tr w:rsidR="007233AC" w:rsidRPr="002F041F" w:rsidTr="00C6436A">
        <w:trPr>
          <w:jc w:val="center"/>
        </w:trPr>
        <w:tc>
          <w:tcPr>
            <w:tcW w:w="4876" w:type="dxa"/>
            <w:hideMark/>
          </w:tcPr>
          <w:p w:rsidR="00C6436A" w:rsidRPr="002F041F" w:rsidRDefault="002F041F">
            <w:pPr>
              <w:pStyle w:val="Normal6"/>
            </w:pPr>
            <w:r w:rsidRPr="002F041F">
              <w:rPr>
                <w:b/>
                <w:i/>
              </w:rPr>
              <w:t>3. Medlemsstaterne meddeler senest den 16. februar 2012 Kommissionen gældende national lovgivning pr. 31. december 2008 om:</w:t>
            </w:r>
          </w:p>
        </w:tc>
        <w:tc>
          <w:tcPr>
            <w:tcW w:w="4876" w:type="dxa"/>
            <w:hideMark/>
          </w:tcPr>
          <w:p w:rsidR="00C6436A" w:rsidRPr="002F041F" w:rsidRDefault="002F041F">
            <w:pPr>
              <w:pStyle w:val="Normal6"/>
              <w:rPr>
                <w:szCs w:val="24"/>
              </w:rPr>
            </w:pPr>
            <w:r w:rsidRPr="002F041F">
              <w:rPr>
                <w:b/>
                <w:i/>
              </w:rPr>
              <w:t>"3. Medlemsstaterne meddeler senest den 16. februar 2012 Kommissionen</w:t>
            </w:r>
            <w:r w:rsidRPr="002F041F">
              <w:rPr>
                <w:b/>
                <w:i/>
              </w:rPr>
              <w:t xml:space="preserve"> gældende national ret pr. 31. december 2008 for så vidt angår:</w:t>
            </w:r>
          </w:p>
        </w:tc>
      </w:tr>
      <w:tr w:rsidR="007233AC" w:rsidRPr="002F041F" w:rsidTr="00C6436A">
        <w:trPr>
          <w:jc w:val="center"/>
        </w:trPr>
        <w:tc>
          <w:tcPr>
            <w:tcW w:w="4876" w:type="dxa"/>
          </w:tcPr>
          <w:p w:rsidR="003322C9" w:rsidRPr="002F041F" w:rsidRDefault="002F041F">
            <w:pPr>
              <w:pStyle w:val="Normal6"/>
              <w:rPr>
                <w:b/>
                <w:i/>
              </w:rPr>
            </w:pPr>
            <w:r w:rsidRPr="002F041F">
              <w:t>a)</w:t>
            </w:r>
            <w:r w:rsidRPr="002F041F">
              <w:tab/>
              <w:t xml:space="preserve">det maksimale </w:t>
            </w:r>
            <w:r w:rsidRPr="002F041F">
              <w:rPr>
                <w:b/>
                <w:bCs/>
                <w:i/>
                <w:iCs/>
              </w:rPr>
              <w:t>antal timer pr. dag, som et fartøj må udøve fiskeri</w:t>
            </w:r>
          </w:p>
        </w:tc>
        <w:tc>
          <w:tcPr>
            <w:tcW w:w="4876" w:type="dxa"/>
          </w:tcPr>
          <w:p w:rsidR="003322C9" w:rsidRPr="002F041F" w:rsidRDefault="002F041F">
            <w:pPr>
              <w:pStyle w:val="Normal6"/>
              <w:rPr>
                <w:b/>
                <w:i/>
              </w:rPr>
            </w:pPr>
            <w:r w:rsidRPr="002F041F">
              <w:t>a)</w:t>
            </w:r>
            <w:r w:rsidRPr="002F041F">
              <w:rPr>
                <w:b/>
                <w:i/>
              </w:rPr>
              <w:tab/>
            </w:r>
            <w:r w:rsidRPr="002F041F">
              <w:t xml:space="preserve">den maksimale </w:t>
            </w:r>
            <w:r w:rsidRPr="002F041F">
              <w:rPr>
                <w:b/>
                <w:bCs/>
                <w:i/>
                <w:iCs/>
              </w:rPr>
              <w:t>varighed af det daglige fiskeri</w:t>
            </w:r>
          </w:p>
        </w:tc>
      </w:tr>
      <w:tr w:rsidR="007233AC" w:rsidRPr="002F041F" w:rsidTr="00C6436A">
        <w:trPr>
          <w:jc w:val="center"/>
        </w:trPr>
        <w:tc>
          <w:tcPr>
            <w:tcW w:w="4876" w:type="dxa"/>
            <w:hideMark/>
          </w:tcPr>
          <w:p w:rsidR="00C6436A" w:rsidRPr="002F041F" w:rsidRDefault="002F041F">
            <w:pPr>
              <w:pStyle w:val="Normal6"/>
            </w:pPr>
            <w:r w:rsidRPr="002F041F">
              <w:lastRenderedPageBreak/>
              <w:t>b)</w:t>
            </w:r>
            <w:r w:rsidRPr="002F041F">
              <w:tab/>
              <w:t xml:space="preserve">det maksimale antal dage </w:t>
            </w:r>
            <w:r w:rsidRPr="002F041F">
              <w:rPr>
                <w:b/>
                <w:bCs/>
                <w:i/>
                <w:iCs/>
              </w:rPr>
              <w:t xml:space="preserve">pr. uge, som et fartøj må befinde sig til </w:t>
            </w:r>
            <w:r w:rsidRPr="002F041F">
              <w:rPr>
                <w:b/>
                <w:bCs/>
                <w:i/>
                <w:iCs/>
              </w:rPr>
              <w:t>havs og være borte fra havn</w:t>
            </w:r>
            <w:r w:rsidRPr="002F041F">
              <w:t>, og</w:t>
            </w:r>
          </w:p>
        </w:tc>
        <w:tc>
          <w:tcPr>
            <w:tcW w:w="4876" w:type="dxa"/>
            <w:hideMark/>
          </w:tcPr>
          <w:p w:rsidR="00C6436A" w:rsidRPr="002F041F" w:rsidRDefault="002F041F">
            <w:pPr>
              <w:pStyle w:val="Normal6"/>
              <w:rPr>
                <w:szCs w:val="24"/>
              </w:rPr>
            </w:pPr>
            <w:r w:rsidRPr="002F041F">
              <w:t>b)</w:t>
            </w:r>
            <w:r w:rsidRPr="002F041F">
              <w:tab/>
              <w:t>det maksimale antal havdage og</w:t>
            </w:r>
          </w:p>
        </w:tc>
      </w:tr>
      <w:tr w:rsidR="007233AC" w:rsidRPr="002F041F" w:rsidTr="00C6436A">
        <w:trPr>
          <w:jc w:val="center"/>
        </w:trPr>
        <w:tc>
          <w:tcPr>
            <w:tcW w:w="4876" w:type="dxa"/>
            <w:hideMark/>
          </w:tcPr>
          <w:p w:rsidR="00C6436A" w:rsidRPr="002F041F" w:rsidRDefault="002F041F">
            <w:pPr>
              <w:pStyle w:val="Normal6"/>
            </w:pPr>
            <w:r w:rsidRPr="002F041F">
              <w:t>c)</w:t>
            </w:r>
            <w:r w:rsidRPr="002F041F">
              <w:tab/>
            </w:r>
            <w:r w:rsidRPr="002F041F">
              <w:rPr>
                <w:b/>
                <w:bCs/>
                <w:i/>
                <w:iCs/>
              </w:rPr>
              <w:t xml:space="preserve">den bindende tidsramme, som fiskerfartøjer har, fra de forlader deres </w:t>
            </w:r>
            <w:r w:rsidRPr="002F041F">
              <w:t>registreringshavn</w:t>
            </w:r>
            <w:r w:rsidRPr="002F041F">
              <w:rPr>
                <w:b/>
                <w:bCs/>
                <w:i/>
                <w:iCs/>
              </w:rPr>
              <w:t>, til at komme tilbage dertil.</w:t>
            </w:r>
          </w:p>
        </w:tc>
        <w:tc>
          <w:tcPr>
            <w:tcW w:w="4876" w:type="dxa"/>
            <w:hideMark/>
          </w:tcPr>
          <w:p w:rsidR="00C6436A" w:rsidRPr="002F041F" w:rsidRDefault="002F041F">
            <w:pPr>
              <w:pStyle w:val="Normal6"/>
              <w:rPr>
                <w:szCs w:val="24"/>
              </w:rPr>
            </w:pPr>
            <w:r w:rsidRPr="002F041F">
              <w:t>c)</w:t>
            </w:r>
            <w:r w:rsidRPr="002F041F">
              <w:tab/>
            </w:r>
            <w:r w:rsidRPr="002F041F">
              <w:rPr>
                <w:b/>
                <w:bCs/>
                <w:i/>
                <w:iCs/>
              </w:rPr>
              <w:t>de retligt bindende tider for udsejling og tilbagevenden til</w:t>
            </w:r>
            <w:r w:rsidRPr="002F041F">
              <w:t xml:space="preserve"> regi</w:t>
            </w:r>
            <w:r w:rsidRPr="002F041F">
              <w:t>streringshavn.</w:t>
            </w:r>
            <w:r w:rsidRPr="002F041F">
              <w:rPr>
                <w:b/>
                <w:bCs/>
                <w:i/>
                <w:iCs/>
              </w:rPr>
              <w: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4B7199" w:rsidRPr="002F041F" w:rsidRDefault="002F041F" w:rsidP="00C6436A">
      <w:pPr>
        <w:pStyle w:val="JustificationTitle"/>
        <w:rPr>
          <w:noProof w:val="0"/>
        </w:rPr>
      </w:pPr>
      <w:r w:rsidRPr="002F041F">
        <w:rPr>
          <w:noProof w:val="0"/>
        </w:rPr>
        <w:t>(https://eur-lex.europa.eu/legal-content/DA/TXT/?uri=CELEX:32023R2124)</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92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56 b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110 – stk. 3 a (nyt)</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8B724D">
            <w:pPr>
              <w:pStyle w:val="Normal6"/>
              <w:rPr>
                <w:szCs w:val="24"/>
              </w:rPr>
            </w:pPr>
            <w:r w:rsidRPr="002F041F">
              <w:rPr>
                <w:b/>
                <w:i/>
              </w:rPr>
              <w:t>56b)</w:t>
            </w:r>
            <w:r w:rsidRPr="002F041F">
              <w:rPr>
                <w:b/>
                <w:i/>
              </w:rPr>
              <w:tab/>
              <w:t>I artikel 110 tilføjes følgende stykke:</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"3a.</w:t>
            </w:r>
            <w:r w:rsidRPr="002F041F">
              <w:rPr>
                <w:b/>
                <w:i/>
              </w:rPr>
              <w:tab/>
              <w:t xml:space="preserve">Medlemsstaterne må ikke overføre indsats mellem fartøjer med tilladelse til at fiske i området med fiskeribegrænsninger, og som anvender forskellige fiskeredskaber."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93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56 c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110 a (ny)</w:t>
      </w:r>
      <w:r w:rsidRPr="002F041F">
        <w:rPr>
          <w:rStyle w:val="HideTWBExt"/>
          <w:noProof w:val="0"/>
        </w:rPr>
        <w:t>&lt;/Article2</w:t>
      </w:r>
      <w:r w:rsidRPr="002F041F">
        <w:rPr>
          <w:rStyle w:val="HideTWBExt"/>
          <w:noProof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ED2CA8">
            <w:pPr>
              <w:pStyle w:val="Normal6"/>
              <w:rPr>
                <w:szCs w:val="24"/>
              </w:rPr>
            </w:pPr>
            <w:r w:rsidRPr="002F041F">
              <w:rPr>
                <w:b/>
                <w:i/>
              </w:rPr>
              <w:t>56c)</w:t>
            </w:r>
            <w:r w:rsidRPr="002F041F">
              <w:rPr>
                <w:b/>
                <w:i/>
              </w:rPr>
              <w:tab/>
              <w:t>Følgende artikel indsættes: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"Artikel 110a</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Videnskabelig overvågning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Medlemsstaterne drager omsorg for, at</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t>der udarbejdes en videnskabelig overvågningsplan for området med fiskeribegrænsning.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r>
            <w:r w:rsidRPr="002F041F">
              <w:rPr>
                <w:b/>
                <w:i/>
              </w:rPr>
              <w:t>Resultaterne af begrænsningsområdets overvågningsplan rapporteres og drøftes regelmæssigt i de relevante underorganer under Den Videnskabelige Rådgivende Komité for Fiskeri (SAC). Overvågningsplanen og dens effektivitet vurderes regelmæssigt af SAC.</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O</w:t>
            </w:r>
            <w:r w:rsidRPr="002F041F">
              <w:rPr>
                <w:b/>
                <w:i/>
              </w:rPr>
              <w:t>plysningerne om de fartøjer, der har tilladelse til at fiske i zone B i begrænsningsområdet, registreres af medlemsstaterne (jf. bilag VIII) og gøres offentligt tilgængelige på GFCM's websted på en måde, der er i overensstemmelse med GFCM's datafortrolighe</w:t>
            </w:r>
            <w:r w:rsidRPr="002F041F">
              <w:rPr>
                <w:b/>
                <w:i/>
              </w:rPr>
              <w:t>dspolitik og -procedurer.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Oplysninger om fiskeri, fangst af vigtige arter, utilsigtede fangster, genudsætning og/eller udsmid af følsomme arter, der er opført i bilag II eller III til protokollen om særligt beskyttede områder og den biologiske mangfol</w:t>
            </w:r>
            <w:r w:rsidRPr="002F041F">
              <w:rPr>
                <w:b/>
                <w:i/>
              </w:rPr>
              <w:t>dighed i Middelhavet (SPA/BD-protokollen) til konventionen om beskyttelse af Middelhavets havmiljø og kystområder, registreres af rederen i den elektroniske logbog eller i et tilsvarende dokument i overensstemmelse med de internationale standarder og datar</w:t>
            </w:r>
            <w:r w:rsidRPr="002F041F">
              <w:rPr>
                <w:b/>
                <w:i/>
              </w:rPr>
              <w:t>apporteringskrav i relevante GFCM-henstillinger.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Sådanne oplysninger indberettes til de nationale myndigheder med henblik på meddelelse til GFCM's sekretariat i overensstemmelse med DCRF-håndbogen om referencerammen for dataindsamling.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6.</w:t>
            </w:r>
            <w:r w:rsidRPr="002F041F">
              <w:rPr>
                <w:b/>
                <w:i/>
              </w:rPr>
              <w:tab/>
              <w:t>Enhver and</w:t>
            </w:r>
            <w:r w:rsidRPr="002F041F">
              <w:rPr>
                <w:b/>
                <w:i/>
              </w:rPr>
              <w:t>en yderligere foranstaltning, f.eks. 5 % dækning af observatører om bord eller elektronisk fjernovervågning for at skabe lige vilkår for alle fartøjer, træffes med henblik på at forbedre dataindsamlingen til gavn for videnskabelig overvågning af vigtige ar</w:t>
            </w:r>
            <w:r w:rsidRPr="002F041F">
              <w:rPr>
                <w:b/>
                <w:i/>
              </w:rPr>
              <w:t>ter."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94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56 d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110 b (ny)</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ED2CA8">
            <w:pPr>
              <w:pStyle w:val="Normal6"/>
              <w:rPr>
                <w:szCs w:val="24"/>
              </w:rPr>
            </w:pPr>
            <w:r w:rsidRPr="002F041F">
              <w:rPr>
                <w:b/>
                <w:i/>
              </w:rPr>
              <w:t>56d)</w:t>
            </w:r>
            <w:r w:rsidRPr="002F041F">
              <w:rPr>
                <w:b/>
                <w:i/>
              </w:rPr>
              <w:tab/>
              <w:t>Følgende artikel indsættes:</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"Artikel 110b</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Kontrol- og håndhævelsesforanstaltninger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t xml:space="preserve">Medlemsstaterne fører et register </w:t>
            </w:r>
            <w:r w:rsidRPr="002F041F">
              <w:rPr>
                <w:b/>
                <w:i/>
              </w:rPr>
              <w:t>over de fartøjer, der har tilladelse til at fiske i området med fiskeribegrænsning.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ED2CA8">
            <w:pPr>
              <w:pStyle w:val="Normal6"/>
              <w:rPr>
                <w:szCs w:val="24"/>
              </w:rPr>
            </w:pPr>
            <w:r w:rsidRPr="002F041F">
              <w:rPr>
                <w:b/>
                <w:i/>
              </w:rPr>
              <w:t>2.</w:t>
            </w:r>
            <w:r w:rsidRPr="002F041F">
              <w:rPr>
                <w:b/>
                <w:i/>
              </w:rPr>
              <w:tab/>
              <w:t xml:space="preserve">Senest den … [ikrafttrædelsesdatoen] indsender medlemsstaterne via GFCM's referenceramme for dataindsamling (DCRF) listen over fartøjer, der fører deres flag, og som </w:t>
            </w:r>
            <w:r w:rsidRPr="002F041F">
              <w:rPr>
                <w:b/>
                <w:i/>
              </w:rPr>
              <w:t>har tilladelse til at fiske i begrænsningsområdet til GFCM's sekretariat. Listen indeholder for hvert opført fartøj de oplysninger, der er omhandlet i bilag VIII.</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 xml:space="preserve">Senest den 31. maj hvert år indsender medlemsstaterne til Kommissionen en rapport om de </w:t>
            </w:r>
            <w:r w:rsidRPr="002F041F">
              <w:rPr>
                <w:b/>
                <w:i/>
              </w:rPr>
              <w:t xml:space="preserve">forvaltningsforanstaltninger, der er truffet i begrænsningsområderne. </w:t>
            </w:r>
            <w:r w:rsidRPr="002F041F">
              <w:rPr>
                <w:b/>
                <w:i/>
              </w:rPr>
              <w:lastRenderedPageBreak/>
              <w:t>Rapporten skal for at fremme en fælles tilgang i hele GFCM-anvendelsesområdet udarbejdes i overensstemmelse med fælles retningslinjer fastlagt af GFCM's sekretariat. Rapporten offentligg</w:t>
            </w:r>
            <w:r w:rsidRPr="002F041F">
              <w:rPr>
                <w:b/>
                <w:i/>
              </w:rPr>
              <w:t>øres på GFCM's websted senest to måneder efter modtagelsen på en måde, der er i overensstemmelse med GFCM's politik og procedurer for datafortrolighed.</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ED2CA8">
            <w:pPr>
              <w:pStyle w:val="Normal6"/>
              <w:rPr>
                <w:szCs w:val="24"/>
              </w:rPr>
            </w:pPr>
            <w:r w:rsidRPr="002F041F">
              <w:rPr>
                <w:b/>
                <w:i/>
              </w:rPr>
              <w:t>4.</w:t>
            </w:r>
            <w:r w:rsidRPr="002F041F">
              <w:rPr>
                <w:b/>
                <w:i/>
              </w:rPr>
              <w:tab/>
              <w:t>Medlemsstaterne meddeler senest den ...[ikrafttrædelsesdatoen] GFCM's sekretariat de retlige beting</w:t>
            </w:r>
            <w:r w:rsidRPr="002F041F">
              <w:rPr>
                <w:b/>
                <w:i/>
              </w:rPr>
              <w:t>elser, der er gældende den 31. december 2023, vedrørende den maksimale varighed af en fangstdag.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Medlemsstaterne sikrer, at fiskerfartøjer, der fisker i begrænsningsområdet, opfylder forpligtelserne i 1 og 2.</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6.</w:t>
            </w:r>
            <w:r w:rsidRPr="002F041F">
              <w:rPr>
                <w:b/>
                <w:i/>
              </w:rPr>
              <w:tab/>
              <w:t xml:space="preserve">Erhvervsfiskerfartøjer på over 12 m, </w:t>
            </w:r>
            <w:r w:rsidRPr="002F041F">
              <w:rPr>
                <w:b/>
                <w:i/>
              </w:rPr>
              <w:t>der passerer gennem begrænsningsområdet, skal være udstyret med en operationel transponder beregnet til fartøjsovervågningssystemer (FOS) og/eller automatiske identifikationssystemer (AIS), der viser øget dataoverførsel, og de skal have alle fiskeredskaber</w:t>
            </w:r>
            <w:r w:rsidRPr="002F041F">
              <w:rPr>
                <w:b/>
                <w:i/>
              </w:rPr>
              <w:t xml:space="preserve"> fastsurret og stuvet under hele transitten. Erhvervsfiskerfartøjer skal i overensstemmelse med GFCM-henstillingen følge en direkte kurs med en konstant hastighed på mindst 6 knob, undtagen i tilfælde af force majeure eller ugunstige forhold. I sådanne til</w:t>
            </w:r>
            <w:r w:rsidRPr="002F041F">
              <w:rPr>
                <w:b/>
                <w:i/>
              </w:rPr>
              <w:t xml:space="preserve">fælde skal fartøjsføreren omgående underrette overvågningscentret i sin flagmedlemsstat, så dette kan underrette medlemsstaternes kompetente myndigheder om force majeure-forholdet."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GFCM/46/2023/1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95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57</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112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rPr>
                <w:b/>
                <w:i/>
              </w:rPr>
              <w:t>57)</w:t>
            </w:r>
            <w:r w:rsidRPr="002F041F">
              <w:rPr>
                <w:b/>
                <w:i/>
              </w:rPr>
              <w:tab/>
              <w:t>Artikel 112 udgår.</w:t>
            </w:r>
          </w:p>
        </w:tc>
        <w:tc>
          <w:tcPr>
            <w:tcW w:w="4876" w:type="dxa"/>
            <w:hideMark/>
          </w:tcPr>
          <w:p w:rsidR="00C6436A" w:rsidRPr="002F041F" w:rsidRDefault="002F041F">
            <w:pPr>
              <w:pStyle w:val="Normal6"/>
              <w:rPr>
                <w:szCs w:val="24"/>
              </w:rPr>
            </w:pPr>
            <w:r w:rsidRPr="002F041F">
              <w:rPr>
                <w:b/>
                <w:i/>
              </w:rPr>
              <w:t>udgår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Henstilling GFCM/44/2021/5 ophævede henstilling GFCM/46/2023/1.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96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60</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120 c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t>Førere af fiskerfartøjer</w:t>
            </w:r>
            <w:r w:rsidRPr="002F041F">
              <w:t xml:space="preserve"> med en længde overalt på over 15 meter, som fører deres flag og er involveret i en omladning, udfylder en GFCM-omladningsopgørelse i overensstemmelse med bilag XX og angiver specifikt alle mængder af hver art, der omlades eller modtages, over 50 kg ækviva</w:t>
            </w:r>
            <w:r w:rsidRPr="002F041F">
              <w:t>lent levende vægt og/eller antallet af individer, når dette er relevant.</w:t>
            </w:r>
          </w:p>
        </w:tc>
        <w:tc>
          <w:tcPr>
            <w:tcW w:w="4876" w:type="dxa"/>
            <w:hideMark/>
          </w:tcPr>
          <w:p w:rsidR="00C6436A" w:rsidRPr="002F041F" w:rsidRDefault="002F041F">
            <w:pPr>
              <w:pStyle w:val="Normal6"/>
              <w:rPr>
                <w:szCs w:val="24"/>
              </w:rPr>
            </w:pPr>
            <w:r w:rsidRPr="002F041F">
              <w:t>1.</w:t>
            </w:r>
            <w:r w:rsidRPr="002F041F">
              <w:tab/>
              <w:t>Førere af fiskerfartøjer med en længde overalt på over 15 meter, som fører deres flag og er involveret i en omladning, udfylder</w:t>
            </w:r>
            <w:r w:rsidRPr="002F041F">
              <w:rPr>
                <w:b/>
                <w:bCs/>
                <w:i/>
                <w:iCs/>
              </w:rPr>
              <w:t>, for så vidt intet andet bestemmes i artikel 21 i fo</w:t>
            </w:r>
            <w:r w:rsidRPr="002F041F">
              <w:rPr>
                <w:b/>
                <w:bCs/>
                <w:i/>
                <w:iCs/>
              </w:rPr>
              <w:t>rordning 1224/2009,</w:t>
            </w:r>
            <w:r w:rsidRPr="002F041F">
              <w:t xml:space="preserve"> en GFCM-omladningsopgørelse i overensstemmelse med bilag XX og angiver specifikt alle mængder af hver art, der omlades eller modtages, over 50 kg ækvivalent levende vægt og/eller antallet af individer, når dette er relevant.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97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60</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120 d – stk. 3</w:t>
      </w:r>
      <w:r w:rsidRPr="002F041F">
        <w:rPr>
          <w:rStyle w:val="HideTWBExt"/>
          <w:noProof w:val="0"/>
        </w:rPr>
        <w:t>&lt;</w:t>
      </w:r>
      <w:r w:rsidRPr="002F041F">
        <w:rPr>
          <w:rStyle w:val="HideTWBExt"/>
          <w:noProof w:val="0"/>
        </w:rPr>
        <w: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3.</w:t>
            </w:r>
            <w:r w:rsidRPr="002F041F">
              <w:tab/>
              <w:t xml:space="preserve">Alle donor- og modtagerfartøjer med tilladelse til at gennemføre omladning skal om bord have og anvende et fungerende fartøjsovervågningssystem i overensstemmelse med </w:t>
            </w:r>
            <w:r w:rsidRPr="002F041F">
              <w:rPr>
                <w:b/>
                <w:bCs/>
                <w:i/>
                <w:iCs/>
              </w:rPr>
              <w:t>minimumsstandarderne i henstilling</w:t>
            </w:r>
            <w:r w:rsidRPr="002F041F">
              <w:rPr>
                <w:b/>
                <w:bCs/>
                <w:i/>
                <w:iCs/>
              </w:rPr>
              <w:t xml:space="preserve"> GFCM/33/2009/7</w:t>
            </w:r>
            <w:r w:rsidRPr="002F041F">
              <w:t>.</w:t>
            </w:r>
          </w:p>
        </w:tc>
        <w:tc>
          <w:tcPr>
            <w:tcW w:w="4876" w:type="dxa"/>
            <w:hideMark/>
          </w:tcPr>
          <w:p w:rsidR="00C6436A" w:rsidRPr="002F041F" w:rsidRDefault="002F041F">
            <w:pPr>
              <w:pStyle w:val="Normal6"/>
              <w:rPr>
                <w:szCs w:val="24"/>
              </w:rPr>
            </w:pPr>
            <w:r w:rsidRPr="002F041F">
              <w:t>3.</w:t>
            </w:r>
            <w:r w:rsidRPr="002F041F">
              <w:tab/>
              <w:t xml:space="preserve">Alle donor- og modtagerfartøjer med tilladelse til at gennemføre omladning skal om bord have og anvende et fungerende fartøjsovervågningssystem i overensstemmelse med </w:t>
            </w:r>
            <w:r w:rsidRPr="002F041F">
              <w:rPr>
                <w:b/>
                <w:bCs/>
                <w:i/>
                <w:iCs/>
              </w:rPr>
              <w:t>de specifikationer, der er beskrevet i artikel 19 i forordning 404/20</w:t>
            </w:r>
            <w:r w:rsidRPr="002F041F">
              <w:rPr>
                <w:b/>
                <w:bCs/>
                <w:i/>
                <w:iCs/>
              </w:rPr>
              <w:t>11</w:t>
            </w:r>
            <w:r w:rsidRPr="002F041F">
              <w: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FOS omfattet af forordning (EF) nr. 1224/2009. Specifikationer for satellitsporingsanordninger som beskrevet i forordning (EF) nr. 404/2011</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98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60</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120 h – stk. 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 xml:space="preserve">Senest den </w:t>
            </w:r>
            <w:r w:rsidRPr="002F041F">
              <w:rPr>
                <w:b/>
                <w:bCs/>
                <w:i/>
                <w:iCs/>
              </w:rPr>
              <w:t xml:space="preserve">1. </w:t>
            </w:r>
            <w:r w:rsidRPr="002F041F">
              <w:rPr>
                <w:b/>
                <w:bCs/>
                <w:i/>
                <w:iCs/>
              </w:rPr>
              <w:t>januar 2025</w:t>
            </w:r>
            <w:r w:rsidRPr="002F041F">
              <w:t xml:space="preserve"> opretter og vedligeholder medlemsstaterne enten en obligatorisk licensordning eller en obligatorisk registerordning, som omfatter alle rekreative fiskere.</w:t>
            </w:r>
          </w:p>
        </w:tc>
        <w:tc>
          <w:tcPr>
            <w:tcW w:w="4876" w:type="dxa"/>
            <w:hideMark/>
          </w:tcPr>
          <w:p w:rsidR="00C6436A" w:rsidRPr="002F041F" w:rsidRDefault="002F041F" w:rsidP="00ED2CA8">
            <w:pPr>
              <w:pStyle w:val="Normal6"/>
              <w:rPr>
                <w:szCs w:val="24"/>
              </w:rPr>
            </w:pPr>
            <w:r w:rsidRPr="002F041F">
              <w:t xml:space="preserve">Senest den </w:t>
            </w:r>
            <w:r w:rsidRPr="002F041F">
              <w:rPr>
                <w:b/>
                <w:bCs/>
                <w:i/>
                <w:iCs/>
              </w:rPr>
              <w:t>… [ikrafttrædelsesdatoen]</w:t>
            </w:r>
            <w:r w:rsidRPr="002F041F">
              <w:t xml:space="preserve"> opretter og vedligeholder medlemsstaterne enten en o</w:t>
            </w:r>
            <w:r w:rsidRPr="002F041F">
              <w:t>bligatorisk licensordning eller en obligatorisk registerordning, som omfatter alle rekreative fiskere.</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99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w:t>
      </w:r>
      <w:r w:rsidRPr="002F041F">
        <w:rPr>
          <w:bCs/>
        </w:rPr>
        <w:t xml:space="preserve"> 1 – nr. 64</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130 a – stk. 4</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4.</w:t>
            </w:r>
            <w:r w:rsidRPr="002F041F">
              <w:tab/>
              <w:t xml:space="preserve">Medlemsstater, der gennemfører bording af et fartøj uden nationalitet, underretter straks </w:t>
            </w:r>
            <w:r w:rsidRPr="002F041F">
              <w:t xml:space="preserve">Kommissionen. </w:t>
            </w:r>
            <w:r w:rsidRPr="002F041F">
              <w:lastRenderedPageBreak/>
              <w:t>Kommissionen underretter straks GFCM's sekretariat herom.</w:t>
            </w:r>
          </w:p>
        </w:tc>
        <w:tc>
          <w:tcPr>
            <w:tcW w:w="4876" w:type="dxa"/>
            <w:hideMark/>
          </w:tcPr>
          <w:p w:rsidR="00C6436A" w:rsidRPr="002F041F" w:rsidRDefault="002F041F">
            <w:pPr>
              <w:pStyle w:val="Normal6"/>
              <w:rPr>
                <w:szCs w:val="24"/>
              </w:rPr>
            </w:pPr>
            <w:r w:rsidRPr="002F041F">
              <w:lastRenderedPageBreak/>
              <w:t>4.</w:t>
            </w:r>
            <w:r w:rsidRPr="002F041F">
              <w:tab/>
            </w:r>
            <w:r w:rsidRPr="002F041F">
              <w:rPr>
                <w:b/>
                <w:i/>
              </w:rPr>
              <w:t xml:space="preserve">Når et fartøj observeres, og der er rimelig grund til mistanke om, at fartøjet er uden nationalitet, må den observerende </w:t>
            </w:r>
            <w:r w:rsidRPr="002F041F">
              <w:rPr>
                <w:b/>
                <w:i/>
              </w:rPr>
              <w:lastRenderedPageBreak/>
              <w:t>medlemsstat borde fartøjet for at bekræfte dets nationalitet</w:t>
            </w:r>
            <w:r w:rsidRPr="002F041F">
              <w:rPr>
                <w:b/>
                <w:i/>
              </w:rPr>
              <w:t>.</w:t>
            </w:r>
            <w:r w:rsidRPr="002F041F">
              <w:t xml:space="preserve"> Medlemsstater, der gennemfører bording af et fartøj uden nationalitet, underretter straks Kommissionen. Kommissionen underretter straks GFCM's sekretariat herom.</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w:t>
      </w:r>
      <w:r w:rsidRPr="002F041F">
        <w:rPr>
          <w:rStyle w:val="HideTWBExt"/>
          <w:noProof w:val="0"/>
        </w:rPr>
        <w:t>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64</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130 a – stk. 7</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rPr>
                <w:b/>
                <w:i/>
              </w:rPr>
              <w:t>7.</w:t>
            </w:r>
            <w:r w:rsidRPr="002F041F">
              <w:rPr>
                <w:b/>
                <w:i/>
              </w:rPr>
              <w:tab/>
              <w:t xml:space="preserve">Kommissionen tillægges </w:t>
            </w:r>
            <w:r w:rsidRPr="002F041F">
              <w:rPr>
                <w:b/>
                <w:i/>
              </w:rPr>
              <w:t>beføjelse til at vedtage delegerede retsakter til supplering af denne forordning i overensstemmelse med denne forordnings artikel 140 og artikel 18, stk. 1-6, i forordning (EU) nr. 1380/2013, for så vidt angår de data, der skal medtages i bilag VII."</w:t>
            </w:r>
          </w:p>
        </w:tc>
        <w:tc>
          <w:tcPr>
            <w:tcW w:w="4876" w:type="dxa"/>
            <w:hideMark/>
          </w:tcPr>
          <w:p w:rsidR="00C6436A" w:rsidRPr="002F041F" w:rsidRDefault="002F041F">
            <w:pPr>
              <w:pStyle w:val="Normal6"/>
              <w:rPr>
                <w:szCs w:val="24"/>
              </w:rPr>
            </w:pPr>
            <w:r w:rsidRPr="002F041F">
              <w:rPr>
                <w:b/>
                <w:i/>
              </w:rPr>
              <w:t>udgår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Beføjelsen skal tilføjes i artikel 139. Artikel 130a, stk. 7, skal derfor udgå.</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65 – indledning</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139</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65)</w:t>
            </w:r>
            <w:r w:rsidRPr="002F041F">
              <w:tab/>
            </w:r>
            <w:r w:rsidRPr="002F041F">
              <w:rPr>
                <w:b/>
                <w:bCs/>
                <w:i/>
                <w:iCs/>
              </w:rPr>
              <w:t>I</w:t>
            </w:r>
            <w:r w:rsidRPr="002F041F">
              <w:t xml:space="preserve"> artikel 139</w:t>
            </w:r>
            <w:r w:rsidRPr="002F041F">
              <w:rPr>
                <w:b/>
                <w:bCs/>
                <w:i/>
                <w:iCs/>
              </w:rPr>
              <w:t>, stk. 1, indsættes følgende numre</w:t>
            </w:r>
            <w:r w:rsidRPr="002F041F">
              <w:t>:</w:t>
            </w:r>
          </w:p>
        </w:tc>
        <w:tc>
          <w:tcPr>
            <w:tcW w:w="4876" w:type="dxa"/>
            <w:hideMark/>
          </w:tcPr>
          <w:p w:rsidR="00C6436A" w:rsidRPr="002F041F" w:rsidRDefault="002F041F">
            <w:pPr>
              <w:pStyle w:val="Normal6"/>
              <w:rPr>
                <w:szCs w:val="24"/>
              </w:rPr>
            </w:pPr>
            <w:r w:rsidRPr="002F041F">
              <w:t>65)</w:t>
            </w:r>
            <w:r w:rsidRPr="002F041F">
              <w:tab/>
              <w:t xml:space="preserve">Artikel 139 </w:t>
            </w:r>
            <w:r w:rsidRPr="002F041F">
              <w:rPr>
                <w:b/>
                <w:bCs/>
                <w:i/>
                <w:iCs/>
              </w:rPr>
              <w:t xml:space="preserve">affattes </w:t>
            </w:r>
            <w:r w:rsidRPr="002F041F">
              <w:rPr>
                <w:b/>
                <w:bCs/>
                <w:i/>
                <w:iCs/>
              </w:rPr>
              <w:t>således</w:t>
            </w:r>
            <w:r w:rsidRPr="002F041F">
              <w:t>:</w:t>
            </w:r>
          </w:p>
        </w:tc>
      </w:tr>
      <w:tr w:rsidR="007233AC" w:rsidRPr="002F041F" w:rsidTr="00C6436A">
        <w:trPr>
          <w:jc w:val="center"/>
        </w:trPr>
        <w:tc>
          <w:tcPr>
            <w:tcW w:w="4876" w:type="dxa"/>
          </w:tcPr>
          <w:p w:rsidR="00ED2CA8" w:rsidRPr="002F041F" w:rsidRDefault="00ED2CA8">
            <w:pPr>
              <w:pStyle w:val="Normal6"/>
            </w:pPr>
          </w:p>
        </w:tc>
        <w:tc>
          <w:tcPr>
            <w:tcW w:w="4876" w:type="dxa"/>
          </w:tcPr>
          <w:p w:rsidR="00ED2CA8" w:rsidRPr="002F041F" w:rsidRDefault="002F041F">
            <w:pPr>
              <w:pStyle w:val="Normal6"/>
            </w:pPr>
            <w:r w:rsidRPr="002F041F">
              <w:t>"Artikel 139</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Delegation af beføjelser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bCs/>
                <w:i/>
                <w:iCs/>
              </w:rPr>
              <w:t xml:space="preserve">Kommissionen tillægges beføjelser til at vedtage delegerede retsakter i overensstemmelse med artikel 140 i det omfang, det er nødvendigt for i EU-retten at indføje ændringer til allerede gennemførte </w:t>
            </w:r>
            <w:r w:rsidRPr="002F041F">
              <w:rPr>
                <w:b/>
                <w:bCs/>
                <w:i/>
                <w:iCs/>
              </w:rPr>
              <w:t>GFCM-foranstaltninger, som er bindende for Unionen, for så vidt angår</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w:t>
            </w:r>
            <w:r w:rsidRPr="002F041F">
              <w:rPr>
                <w:b/>
                <w:i/>
              </w:rPr>
              <w:tab/>
              <w:t>tilsendelse til GFCM's sekretariat af oplysninger i henhold til artikel 120, stk. 4</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2)</w:t>
            </w:r>
            <w:r w:rsidRPr="002F041F">
              <w:rPr>
                <w:b/>
                <w:i/>
              </w:rPr>
              <w:tab/>
              <w:t>ordningerne vedrørende listen over fartøjer med tilladelse, der skal tilsendes GFCM's sekret</w:t>
            </w:r>
            <w:r w:rsidRPr="002F041F">
              <w:rPr>
                <w:b/>
                <w:i/>
              </w:rPr>
              <w:t>ariat i henhold til artikel 9, 10, 15, 24, 34, 47, 61, 70, 74e, 75c, 78, stk. 3, artikel 86, 96c, 106b, 106d, stk. 1, artikel 116 og 122, og de oplysninger, der skal medtages i henhold til bilag VIII, XIX og XXIII</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3)</w:t>
            </w:r>
            <w:r w:rsidRPr="002F041F">
              <w:rPr>
                <w:b/>
                <w:i/>
              </w:rPr>
              <w:tab/>
              <w:t>gennemførelsen af den permanente fang</w:t>
            </w:r>
            <w:r w:rsidRPr="002F041F">
              <w:rPr>
                <w:b/>
                <w:i/>
              </w:rPr>
              <w:t>stdokumentationsordning for ædelkoral i henhold til artikel 55 og bilag X</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4)</w:t>
            </w:r>
            <w:r w:rsidRPr="002F041F">
              <w:rPr>
                <w:b/>
                <w:i/>
              </w:rPr>
              <w:tab/>
              <w:t>havnestatsforanstaltninger som fastsat i artikel 123-127</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5)</w:t>
            </w:r>
            <w:r w:rsidRPr="002F041F">
              <w:rPr>
                <w:b/>
                <w:i/>
              </w:rPr>
              <w:tab/>
              <w:t>tabel, kort og geografiske koordinater for de geografiske underområder fastsat i bilag I</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6)</w:t>
            </w:r>
            <w:r w:rsidRPr="002F041F">
              <w:rPr>
                <w:b/>
                <w:i/>
              </w:rPr>
              <w:tab/>
            </w:r>
            <w:r w:rsidRPr="002F041F">
              <w:rPr>
                <w:b/>
                <w:i/>
              </w:rPr>
              <w:t>havnestatsinspektionsprocedurer for fartøjer fastsat i bilag II</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7)</w:t>
            </w:r>
            <w:r w:rsidRPr="002F041F">
              <w:rPr>
                <w:b/>
                <w:i/>
              </w:rPr>
              <w:tab/>
              <w:t>GFCM's statistiske matrix som opført i bilag III og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8)</w:t>
            </w:r>
            <w:r w:rsidRPr="002F041F">
              <w:rPr>
                <w:b/>
                <w:i/>
              </w:rPr>
              <w:tab/>
              <w:t xml:space="preserve">henvisninger til internationale retsakter som omhandlet i artikel 3, nr. 10, artikel 12a, artikel 120, stk. 2, og artikel 120e, </w:t>
            </w:r>
            <w:r w:rsidRPr="002F041F">
              <w:rPr>
                <w:b/>
                <w:i/>
              </w:rPr>
              <w:t>stk. 3</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9)</w:t>
            </w:r>
            <w:r w:rsidRPr="002F041F">
              <w:rPr>
                <w:b/>
                <w:i/>
              </w:rPr>
              <w:tab/>
              <w:t>oplysninger om fartøjsobservationer som opført i bilag VII</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szCs w:val="24"/>
              </w:rPr>
            </w:pPr>
            <w:r w:rsidRPr="002F041F">
              <w:rPr>
                <w:b/>
                <w:i/>
              </w:rPr>
              <w:t>10)</w:t>
            </w:r>
            <w:r w:rsidRPr="002F041F">
              <w:rPr>
                <w:b/>
                <w:i/>
              </w:rPr>
              <w:tab/>
              <w:t>foranstaltninger vedrørende pighvar som omhandlet i artikel 90-94a."</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JustificationTitle"/>
        <w:rPr>
          <w:noProof w:val="0"/>
        </w:rPr>
      </w:pPr>
      <w:r w:rsidRPr="002F041F">
        <w:rPr>
          <w:rStyle w:val="HideTWBExt"/>
          <w:i w:val="0"/>
          <w:noProof w:val="0"/>
        </w:rPr>
        <w:lastRenderedPageBreak/>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Ved denne forordning tilføjes en række bes</w:t>
      </w:r>
      <w:r w:rsidRPr="002F041F">
        <w:rPr>
          <w:noProof w:val="0"/>
        </w:rPr>
        <w:t>temmelser og bilag vedrørende ordninger for fremsendelse af lister over fartøjer med tilladelse, og disse bør tilføjes i artikel 139. De GFCM-henstillinger, som der henvises til i teksten, ændres måske i fremtiden. Kommissionen bør kunne tilpasse disse hen</w:t>
      </w:r>
      <w:r w:rsidRPr="002F041F">
        <w:rPr>
          <w:noProof w:val="0"/>
        </w:rPr>
        <w:t>visninger til de ajourførte henstillinger.</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65</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w:t>
      </w:r>
      <w:r w:rsidRPr="002F041F">
        <w:t xml:space="preserve"> 139 – stk. 1 – nr. 11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rPr>
                <w:b/>
                <w:i/>
              </w:rPr>
              <w:t>11)</w:t>
            </w:r>
            <w:r w:rsidRPr="002F041F">
              <w:rPr>
                <w:b/>
                <w:i/>
              </w:rPr>
              <w:tab/>
              <w:t>gennemførelsen af en ny skabelon for observationer i henhold til artikel 130a og bilag VII</w:t>
            </w:r>
          </w:p>
        </w:tc>
        <w:tc>
          <w:tcPr>
            <w:tcW w:w="4876" w:type="dxa"/>
            <w:hideMark/>
          </w:tcPr>
          <w:p w:rsidR="00C6436A" w:rsidRPr="002F041F" w:rsidRDefault="002F041F">
            <w:pPr>
              <w:pStyle w:val="Normal6"/>
              <w:rPr>
                <w:szCs w:val="24"/>
              </w:rPr>
            </w:pPr>
            <w:r w:rsidRPr="002F041F">
              <w:rPr>
                <w:b/>
                <w:i/>
              </w:rPr>
              <w:t>udgår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rPr>
          <w:bCs/>
        </w:rPr>
        <w:t>Artikel 1 – stk. 1 – nr. 65</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139 – stk. 1 – nr. 12</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rPr>
                <w:b/>
                <w:i/>
              </w:rPr>
              <w:t>12)</w:t>
            </w:r>
            <w:r w:rsidRPr="002F041F">
              <w:rPr>
                <w:b/>
                <w:i/>
              </w:rPr>
              <w:tab/>
            </w:r>
            <w:r w:rsidRPr="002F041F">
              <w:rPr>
                <w:b/>
                <w:i/>
              </w:rPr>
              <w:t>foranstaltninger vedrørende pighvar i artikel 90-94a."</w:t>
            </w:r>
          </w:p>
        </w:tc>
        <w:tc>
          <w:tcPr>
            <w:tcW w:w="4876" w:type="dxa"/>
            <w:hideMark/>
          </w:tcPr>
          <w:p w:rsidR="00C6436A" w:rsidRPr="002F041F" w:rsidRDefault="002F041F">
            <w:pPr>
              <w:pStyle w:val="Normal6"/>
              <w:rPr>
                <w:szCs w:val="24"/>
              </w:rPr>
            </w:pPr>
            <w:r w:rsidRPr="002F041F">
              <w:rPr>
                <w:b/>
                <w:i/>
              </w:rPr>
              <w:t>udgår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66 a (nyt)</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Artikel 140</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Gældende ordlyd</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rsidP="00ED2CA8">
            <w:pPr>
              <w:pStyle w:val="Normal6"/>
              <w:rPr>
                <w:szCs w:val="24"/>
              </w:rPr>
            </w:pPr>
            <w:r w:rsidRPr="002F041F">
              <w:rPr>
                <w:b/>
                <w:i/>
              </w:rPr>
              <w:t>66a)</w:t>
            </w:r>
            <w:r w:rsidRPr="002F041F">
              <w:rPr>
                <w:b/>
                <w:i/>
              </w:rPr>
              <w:tab/>
              <w:t>Artikel 140 affattes således:</w:t>
            </w:r>
          </w:p>
        </w:tc>
      </w:tr>
      <w:tr w:rsidR="007233AC" w:rsidRPr="002F041F" w:rsidTr="00C6436A">
        <w:trPr>
          <w:jc w:val="center"/>
        </w:trPr>
        <w:tc>
          <w:tcPr>
            <w:tcW w:w="4876" w:type="dxa"/>
          </w:tcPr>
          <w:p w:rsidR="00ED2CA8" w:rsidRPr="002F041F" w:rsidRDefault="002F041F">
            <w:pPr>
              <w:pStyle w:val="Normal6"/>
            </w:pPr>
            <w:r w:rsidRPr="002F041F">
              <w:t>Artikel 140</w:t>
            </w:r>
          </w:p>
        </w:tc>
        <w:tc>
          <w:tcPr>
            <w:tcW w:w="4876" w:type="dxa"/>
          </w:tcPr>
          <w:p w:rsidR="00ED2CA8" w:rsidRPr="002F041F" w:rsidRDefault="002F041F" w:rsidP="00ED2CA8">
            <w:pPr>
              <w:pStyle w:val="Normal6"/>
            </w:pPr>
            <w:r w:rsidRPr="002F041F">
              <w:t>"Artikel 140</w:t>
            </w:r>
          </w:p>
        </w:tc>
      </w:tr>
      <w:tr w:rsidR="007233AC" w:rsidRPr="002F041F" w:rsidTr="00C6436A">
        <w:trPr>
          <w:jc w:val="center"/>
        </w:trPr>
        <w:tc>
          <w:tcPr>
            <w:tcW w:w="4876" w:type="dxa"/>
          </w:tcPr>
          <w:p w:rsidR="00ED2CA8" w:rsidRPr="002F041F" w:rsidRDefault="002F041F">
            <w:pPr>
              <w:pStyle w:val="Normal6"/>
            </w:pPr>
            <w:r w:rsidRPr="002F041F">
              <w:t>Udøvelse af de delegerede beføjelser</w:t>
            </w:r>
          </w:p>
        </w:tc>
        <w:tc>
          <w:tcPr>
            <w:tcW w:w="4876" w:type="dxa"/>
          </w:tcPr>
          <w:p w:rsidR="00ED2CA8" w:rsidRPr="002F041F" w:rsidRDefault="002F041F" w:rsidP="00ED2CA8">
            <w:pPr>
              <w:pStyle w:val="Normal6"/>
            </w:pPr>
            <w:r w:rsidRPr="002F041F">
              <w:t>Udøvelse af de delegerede beføjelser</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r>
            <w:r w:rsidRPr="002F041F">
              <w:t>Beføjelsen til at vedtage delegerede retsakter tillægges Kommissionen på de i denne artikel fastlagte betingelser.</w:t>
            </w:r>
          </w:p>
        </w:tc>
        <w:tc>
          <w:tcPr>
            <w:tcW w:w="4876" w:type="dxa"/>
            <w:hideMark/>
          </w:tcPr>
          <w:p w:rsidR="00C6436A" w:rsidRPr="002F041F" w:rsidRDefault="002F041F">
            <w:pPr>
              <w:pStyle w:val="Normal6"/>
              <w:rPr>
                <w:szCs w:val="24"/>
              </w:rPr>
            </w:pPr>
            <w:r w:rsidRPr="002F041F">
              <w:t>1.</w:t>
            </w:r>
            <w:r w:rsidRPr="002F041F">
              <w:tab/>
              <w:t>Beføjelsen til at vedtage delegerede retsakter tillægges Kommissionen på de i denne artikel fastlagte betingelser.</w:t>
            </w:r>
          </w:p>
        </w:tc>
      </w:tr>
      <w:tr w:rsidR="007233AC" w:rsidRPr="002F041F" w:rsidTr="00C6436A">
        <w:trPr>
          <w:jc w:val="center"/>
        </w:trPr>
        <w:tc>
          <w:tcPr>
            <w:tcW w:w="4876" w:type="dxa"/>
            <w:hideMark/>
          </w:tcPr>
          <w:p w:rsidR="00C6436A" w:rsidRPr="002F041F" w:rsidRDefault="002F041F">
            <w:pPr>
              <w:pStyle w:val="Normal6"/>
            </w:pPr>
            <w:r w:rsidRPr="002F041F">
              <w:t>2.</w:t>
            </w:r>
            <w:r w:rsidRPr="002F041F">
              <w:tab/>
              <w:t xml:space="preserve">Beføjelsen til at </w:t>
            </w:r>
            <w:r w:rsidRPr="002F041F">
              <w:t>vedtage delegerede retsakter, jf. artikel 41, 42 og 139, tillægges Kommissionen for en periode på tre år fra den 1. november 2023. Kommissionen udarbejder en rapport vedrørende delegationen af beføjelser senest ni måneder inden udløbet af femårsperioden. D</w:t>
            </w:r>
            <w:r w:rsidRPr="002F041F">
              <w:t>elegationen af beføjelser forlænges stiltiende for perioder af samme varighed, medmindre Europa-Parlamentet eller Rådet modsætter sig en sådan forlængelse senest tre måneder inden udløbet af hver periode.</w:t>
            </w:r>
          </w:p>
        </w:tc>
        <w:tc>
          <w:tcPr>
            <w:tcW w:w="4876" w:type="dxa"/>
            <w:hideMark/>
          </w:tcPr>
          <w:p w:rsidR="00C6436A" w:rsidRPr="002F041F" w:rsidRDefault="002F041F">
            <w:pPr>
              <w:pStyle w:val="Normal6"/>
              <w:rPr>
                <w:szCs w:val="24"/>
              </w:rPr>
            </w:pPr>
            <w:r w:rsidRPr="002F041F">
              <w:t>2.</w:t>
            </w:r>
            <w:r w:rsidRPr="002F041F">
              <w:tab/>
              <w:t xml:space="preserve">Beføjelsen til at vedtage delegerede retsakter, </w:t>
            </w:r>
            <w:r w:rsidRPr="002F041F">
              <w:t xml:space="preserve">jf. </w:t>
            </w:r>
            <w:r w:rsidRPr="002F041F">
              <w:rPr>
                <w:b/>
                <w:bCs/>
                <w:i/>
                <w:iCs/>
              </w:rPr>
              <w:t>artikel</w:t>
            </w:r>
            <w:r w:rsidRPr="002F041F">
              <w:t> 41, 42</w:t>
            </w:r>
            <w:r w:rsidRPr="002F041F">
              <w:rPr>
                <w:b/>
                <w:bCs/>
                <w:i/>
                <w:iCs/>
              </w:rPr>
              <w:t>, 106d</w:t>
            </w:r>
            <w:r w:rsidRPr="002F041F">
              <w:t xml:space="preserve"> og 139, tillægges Kommissionen for en periode på tre år fra den 1. november 2023. Kommissionen udarbejder en rapport vedrørende delegationen af beføjelser senest ni måneder inden udløbet af femårsperioden. Delegationen af beføjelse</w:t>
            </w:r>
            <w:r w:rsidRPr="002F041F">
              <w:t>r forlænges stiltiende for perioder af samme varighed, medmindre Europa-Parlamentet eller Rådet modsætter sig en sådan forlængelse senest tre måneder inden udløbet af hver periode.</w:t>
            </w:r>
          </w:p>
        </w:tc>
      </w:tr>
      <w:tr w:rsidR="007233AC" w:rsidRPr="002F041F" w:rsidTr="00C6436A">
        <w:trPr>
          <w:jc w:val="center"/>
        </w:trPr>
        <w:tc>
          <w:tcPr>
            <w:tcW w:w="4876" w:type="dxa"/>
            <w:hideMark/>
          </w:tcPr>
          <w:p w:rsidR="00C6436A" w:rsidRPr="002F041F" w:rsidRDefault="002F041F">
            <w:pPr>
              <w:pStyle w:val="Normal6"/>
            </w:pPr>
            <w:r w:rsidRPr="002F041F">
              <w:t>3.</w:t>
            </w:r>
            <w:r w:rsidRPr="002F041F">
              <w:tab/>
              <w:t xml:space="preserve"> Den i artikel 41, 42 og 139 omhandlede delegation af beføjelser kan ti</w:t>
            </w:r>
            <w:r w:rsidRPr="002F041F">
              <w:t>l enhver tid tilbagekaldes af Europa-Parlamentet eller Rådet. En afgørelse om tilbagekaldelse bringer delegationen af de beføjelser, der er angivet i den pågældende afgørelse, til ophør. Den får virkning dagen efter offentliggørelsen af afgørelsen i Den Eu</w:t>
            </w:r>
            <w:r w:rsidRPr="002F041F">
              <w:t>ropæiske Unions Tidende eller på et senere tidspunkt, der angives i afgørelsen. Den berører ikke gyldigheden af de delegerede retsakter, der allerede er i kraft.</w:t>
            </w:r>
          </w:p>
        </w:tc>
        <w:tc>
          <w:tcPr>
            <w:tcW w:w="4876" w:type="dxa"/>
            <w:hideMark/>
          </w:tcPr>
          <w:p w:rsidR="00C6436A" w:rsidRPr="002F041F" w:rsidRDefault="002F041F">
            <w:pPr>
              <w:pStyle w:val="Normal6"/>
              <w:rPr>
                <w:szCs w:val="24"/>
              </w:rPr>
            </w:pPr>
            <w:r w:rsidRPr="002F041F">
              <w:t>3.</w:t>
            </w:r>
            <w:r w:rsidRPr="002F041F">
              <w:tab/>
              <w:t xml:space="preserve">Den i </w:t>
            </w:r>
            <w:r w:rsidRPr="002F041F">
              <w:rPr>
                <w:b/>
                <w:bCs/>
                <w:i/>
                <w:iCs/>
              </w:rPr>
              <w:t>artikel</w:t>
            </w:r>
            <w:r w:rsidRPr="002F041F">
              <w:t> 41, 42</w:t>
            </w:r>
            <w:r w:rsidRPr="002F041F">
              <w:rPr>
                <w:b/>
                <w:bCs/>
                <w:i/>
                <w:iCs/>
              </w:rPr>
              <w:t>, 106d</w:t>
            </w:r>
            <w:r w:rsidRPr="002F041F">
              <w:t xml:space="preserve"> og 139 omhandlede delegation af beføjelser kan til enhver tid ti</w:t>
            </w:r>
            <w:r w:rsidRPr="002F041F">
              <w:t>lbagekaldes af Europa-Parlamentet eller Rådet. En afgørelse om tilbagekaldelse bringer delegationen af de beføjelser, der er angivet i den pågældende afgørelse, til ophør. Den får virkning dagen efter offentliggørelsen af afgørelsen i Den Europæiske Unions</w:t>
            </w:r>
            <w:r w:rsidRPr="002F041F">
              <w:t xml:space="preserve"> Tidende eller på et senere tidspunkt, der angives i afgørelsen. Den berører ikke gyldigheden af de delegerede retsakter, der allerede er i kraft.</w:t>
            </w:r>
          </w:p>
        </w:tc>
      </w:tr>
      <w:tr w:rsidR="007233AC" w:rsidRPr="002F041F" w:rsidTr="00C6436A">
        <w:trPr>
          <w:jc w:val="center"/>
        </w:trPr>
        <w:tc>
          <w:tcPr>
            <w:tcW w:w="4876" w:type="dxa"/>
            <w:hideMark/>
          </w:tcPr>
          <w:p w:rsidR="00C6436A" w:rsidRPr="002F041F" w:rsidRDefault="002F041F">
            <w:pPr>
              <w:pStyle w:val="Normal6"/>
            </w:pPr>
            <w:r w:rsidRPr="002F041F">
              <w:t>4.</w:t>
            </w:r>
            <w:r w:rsidRPr="002F041F">
              <w:tab/>
              <w:t>Inden vedtagelsen af en delegeret retsakt hører Kommissionen eksperter, som er udpeget af hver enkelt med</w:t>
            </w:r>
            <w:r w:rsidRPr="002F041F">
              <w:t>lemsstat, i overensstemmelse med principperne i den interinstitutionelle aftale af 13. april 2016 om bedre lovgivning.</w:t>
            </w:r>
          </w:p>
        </w:tc>
        <w:tc>
          <w:tcPr>
            <w:tcW w:w="4876" w:type="dxa"/>
            <w:hideMark/>
          </w:tcPr>
          <w:p w:rsidR="00C6436A" w:rsidRPr="002F041F" w:rsidRDefault="002F041F">
            <w:pPr>
              <w:pStyle w:val="Normal6"/>
              <w:rPr>
                <w:szCs w:val="24"/>
              </w:rPr>
            </w:pPr>
            <w:r w:rsidRPr="002F041F">
              <w:t>4.</w:t>
            </w:r>
            <w:r w:rsidRPr="002F041F">
              <w:tab/>
              <w:t xml:space="preserve">Inden vedtagelsen af en delegeret retsakt hører Kommissionen eksperter, som er udpeget af hver enkelt medlemsstat, i overensstemmelse </w:t>
            </w:r>
            <w:r w:rsidRPr="002F041F">
              <w:t>med principperne i den interinstitutionelle aftale af 13. april 2016 om bedre lovgivning.</w:t>
            </w:r>
          </w:p>
        </w:tc>
      </w:tr>
      <w:tr w:rsidR="007233AC" w:rsidRPr="002F041F" w:rsidTr="00C6436A">
        <w:trPr>
          <w:jc w:val="center"/>
        </w:trPr>
        <w:tc>
          <w:tcPr>
            <w:tcW w:w="4876" w:type="dxa"/>
            <w:hideMark/>
          </w:tcPr>
          <w:p w:rsidR="00C6436A" w:rsidRPr="002F041F" w:rsidRDefault="002F041F">
            <w:pPr>
              <w:pStyle w:val="Normal6"/>
            </w:pPr>
            <w:r w:rsidRPr="002F041F">
              <w:t>5.</w:t>
            </w:r>
            <w:r w:rsidRPr="002F041F">
              <w:tab/>
              <w:t>Så snart Kommissionen vedtager en delegeret retsakt, giver den samtidigt Europa-Parlamentet og Rådet meddelelse herom.</w:t>
            </w:r>
          </w:p>
        </w:tc>
        <w:tc>
          <w:tcPr>
            <w:tcW w:w="4876" w:type="dxa"/>
            <w:hideMark/>
          </w:tcPr>
          <w:p w:rsidR="00C6436A" w:rsidRPr="002F041F" w:rsidRDefault="002F041F">
            <w:pPr>
              <w:pStyle w:val="Normal6"/>
              <w:rPr>
                <w:szCs w:val="24"/>
              </w:rPr>
            </w:pPr>
            <w:r w:rsidRPr="002F041F">
              <w:t>5.</w:t>
            </w:r>
            <w:r w:rsidRPr="002F041F">
              <w:tab/>
              <w:t>Så snart Kommissionen vedtager en delege</w:t>
            </w:r>
            <w:r w:rsidRPr="002F041F">
              <w:t>ret retsakt, giver den samtidigt Europa-Parlamentet og Rådet meddelelse herom.</w:t>
            </w:r>
          </w:p>
        </w:tc>
      </w:tr>
      <w:tr w:rsidR="007233AC" w:rsidRPr="002F041F" w:rsidTr="00C6436A">
        <w:trPr>
          <w:jc w:val="center"/>
        </w:trPr>
        <w:tc>
          <w:tcPr>
            <w:tcW w:w="4876" w:type="dxa"/>
            <w:hideMark/>
          </w:tcPr>
          <w:p w:rsidR="00C6436A" w:rsidRPr="002F041F" w:rsidRDefault="002F041F">
            <w:pPr>
              <w:pStyle w:val="Normal6"/>
            </w:pPr>
            <w:r w:rsidRPr="002F041F">
              <w:t>6.</w:t>
            </w:r>
            <w:r w:rsidRPr="002F041F">
              <w:tab/>
              <w:t xml:space="preserve">En delegeret retsakt vedtaget i henhold til artikel 41, 42 eller 139 træder </w:t>
            </w:r>
            <w:r w:rsidRPr="002F041F">
              <w:lastRenderedPageBreak/>
              <w:t xml:space="preserve">kun i kraft, hvis hverken Europa-Parlamentet eller Rådet har gjort indsigelse inden for en frist </w:t>
            </w:r>
            <w:r w:rsidRPr="002F041F">
              <w:t>på to måneder fra meddelelsen af den pågældende retsakt til Europa-Parlamentet og Rådet, eller hvis Europa-Parlamentet og Rådet inden udløbet af denne frist begge har informeret Kommissionen om, at de ikke agter at gøre indsigelse. Fristen forlænges med to</w:t>
            </w:r>
            <w:r w:rsidRPr="002F041F">
              <w:t xml:space="preserve"> måneder på Europa-Parlamentets eller Rådets initiativ.</w:t>
            </w:r>
          </w:p>
        </w:tc>
        <w:tc>
          <w:tcPr>
            <w:tcW w:w="4876" w:type="dxa"/>
            <w:hideMark/>
          </w:tcPr>
          <w:p w:rsidR="00C6436A" w:rsidRPr="002F041F" w:rsidRDefault="002F041F" w:rsidP="00ED2CA8">
            <w:pPr>
              <w:pStyle w:val="Normal6"/>
              <w:rPr>
                <w:szCs w:val="24"/>
              </w:rPr>
            </w:pPr>
            <w:r w:rsidRPr="002F041F">
              <w:lastRenderedPageBreak/>
              <w:t>6.</w:t>
            </w:r>
            <w:r w:rsidRPr="002F041F">
              <w:tab/>
              <w:t xml:space="preserve">En delegeret retsakt vedtaget i henhold til </w:t>
            </w:r>
            <w:r w:rsidRPr="002F041F">
              <w:rPr>
                <w:b/>
                <w:bCs/>
                <w:i/>
                <w:iCs/>
              </w:rPr>
              <w:t>artikel</w:t>
            </w:r>
            <w:r w:rsidRPr="002F041F">
              <w:t> 41, 42</w:t>
            </w:r>
            <w:r w:rsidRPr="002F041F">
              <w:rPr>
                <w:b/>
                <w:bCs/>
                <w:i/>
                <w:iCs/>
              </w:rPr>
              <w:t>, 106d</w:t>
            </w:r>
            <w:r w:rsidRPr="002F041F">
              <w:t xml:space="preserve"> eller 139 </w:t>
            </w:r>
            <w:r w:rsidRPr="002F041F">
              <w:lastRenderedPageBreak/>
              <w:t xml:space="preserve">træder kun i kraft, hvis hverken Europa-Parlamentet eller Rådet har gjort indsigelse inden for en frist på to måneder fra </w:t>
            </w:r>
            <w:r w:rsidRPr="002F041F">
              <w:t>meddelelsen af den pågældende retsakt til Europa-Parlamentet og Rådet, eller hvis Europa-Parlamentet og Rådet inden udløbet af denne frist begge har informeret Kommissionen om, at de ikke agter at gøre indsigelse. Fristen forlænges med to måneder på Europa</w:t>
            </w:r>
            <w:r w:rsidRPr="002F041F">
              <w:t>-Parlamentets eller Rådets initiativ."</w:t>
            </w:r>
            <w:r w:rsidRPr="002F041F">
              <w:rPr>
                <w:b/>
                <w:i/>
              </w:rPr>
              <w:t xml:space="preserve"> </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4B7199" w:rsidRPr="002F041F" w:rsidRDefault="002F041F" w:rsidP="00C6436A">
      <w:pPr>
        <w:pStyle w:val="JustificationTitle"/>
        <w:rPr>
          <w:noProof w:val="0"/>
        </w:rPr>
      </w:pPr>
      <w:r w:rsidRPr="002F041F">
        <w:rPr>
          <w:noProof w:val="0"/>
        </w:rPr>
        <w:t>(https://eur-lex.europa.eu/legal-content/DA/TXT/?uri=CELEX:32023R2124)</w:t>
      </w:r>
    </w:p>
    <w:p w:rsidR="00C6436A" w:rsidRPr="002F041F" w:rsidRDefault="002F041F" w:rsidP="00C6436A">
      <w:pPr>
        <w:pStyle w:val="JustificationTitle"/>
        <w:rPr>
          <w:noProof w:val="0"/>
        </w:rPr>
      </w:pPr>
      <w:r w:rsidRPr="002F041F">
        <w:rPr>
          <w:rStyle w:val="HideTWBExt"/>
          <w:i w:val="0"/>
          <w:noProof w:val="0"/>
        </w:rPr>
        <w:t>&lt;TitreJust&gt;</w:t>
      </w:r>
      <w:r w:rsidRPr="002F041F">
        <w:rPr>
          <w:noProof w:val="0"/>
        </w:rPr>
        <w:t>Begrundelse</w:t>
      </w:r>
      <w:r w:rsidRPr="002F041F">
        <w:rPr>
          <w:rStyle w:val="HideTWBExt"/>
          <w:i w:val="0"/>
          <w:noProof w:val="0"/>
        </w:rPr>
        <w:t>&lt;/TitreJust&gt;</w:t>
      </w:r>
    </w:p>
    <w:p w:rsidR="00C6436A" w:rsidRPr="002F041F" w:rsidRDefault="002F041F" w:rsidP="00C6436A">
      <w:pPr>
        <w:pStyle w:val="Normal12Italic"/>
        <w:rPr>
          <w:noProof w:val="0"/>
        </w:rPr>
      </w:pPr>
      <w:r w:rsidRPr="002F041F">
        <w:rPr>
          <w:noProof w:val="0"/>
        </w:rPr>
        <w:t xml:space="preserve">Artikel 106d indfører en ny beføjelse for Kommissionen til at supplere </w:t>
      </w:r>
      <w:r w:rsidRPr="002F041F">
        <w:rPr>
          <w:noProof w:val="0"/>
        </w:rPr>
        <w:t>forordning (EF) nr. 2023/2124. Denne artikel bør medtages i artiklen om udøvelse af de delegerede beføjelser.</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Artikel 1 – stk. 1 – nr. 68</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68)</w:t>
            </w:r>
            <w:r w:rsidRPr="002F041F">
              <w:tab/>
              <w:t xml:space="preserve">Bilag XVII, XVIII, XIX, XX, XXI, XXII </w:t>
            </w:r>
            <w:r w:rsidRPr="002F041F">
              <w:rPr>
                <w:b/>
                <w:bCs/>
                <w:i/>
                <w:iCs/>
              </w:rPr>
              <w:t>og</w:t>
            </w:r>
            <w:r w:rsidRPr="002F041F">
              <w:t xml:space="preserve"> XXIII tilføjes som angivet i punkt 2) i bilaget til denne forordning.</w:t>
            </w:r>
          </w:p>
        </w:tc>
        <w:tc>
          <w:tcPr>
            <w:tcW w:w="4876" w:type="dxa"/>
            <w:hideMark/>
          </w:tcPr>
          <w:p w:rsidR="00C6436A" w:rsidRPr="002F041F" w:rsidRDefault="002F041F">
            <w:pPr>
              <w:pStyle w:val="Normal6"/>
              <w:rPr>
                <w:szCs w:val="24"/>
              </w:rPr>
            </w:pPr>
            <w:r w:rsidRPr="002F041F">
              <w:t>68)</w:t>
            </w:r>
            <w:r w:rsidRPr="002F041F">
              <w:tab/>
            </w:r>
            <w:r w:rsidRPr="002F041F">
              <w:rPr>
                <w:b/>
                <w:bCs/>
                <w:i/>
                <w:iCs/>
              </w:rPr>
              <w:t>Bilag</w:t>
            </w:r>
            <w:r w:rsidRPr="002F041F">
              <w:t xml:space="preserve"> XVII, XVIII, XIX, XX, XXI, XXII</w:t>
            </w:r>
            <w:r w:rsidRPr="002F041F">
              <w:rPr>
                <w:b/>
                <w:bCs/>
                <w:i/>
                <w:iCs/>
              </w:rPr>
              <w:t>,</w:t>
            </w:r>
            <w:r w:rsidRPr="002F041F">
              <w:t xml:space="preserve"> XXIV </w:t>
            </w:r>
            <w:r w:rsidRPr="002F041F">
              <w:rPr>
                <w:b/>
                <w:bCs/>
                <w:i/>
                <w:iCs/>
              </w:rPr>
              <w:t>og XXIV</w:t>
            </w:r>
            <w:r w:rsidRPr="002F041F">
              <w:t xml:space="preserve"> tilføjes som angivet i punkt 2) i bilaget til </w:t>
            </w:r>
            <w:r w:rsidRPr="002F041F">
              <w:t>denne forordning.</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 – indledning</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1)</w:t>
            </w:r>
            <w:r w:rsidRPr="002F041F">
              <w:tab/>
              <w:t xml:space="preserve">Bilag VII, VIII </w:t>
            </w:r>
            <w:r w:rsidRPr="002F041F">
              <w:t>og XI affattes således:</w:t>
            </w:r>
          </w:p>
        </w:tc>
        <w:tc>
          <w:tcPr>
            <w:tcW w:w="4876" w:type="dxa"/>
            <w:hideMark/>
          </w:tcPr>
          <w:p w:rsidR="00C6436A" w:rsidRPr="002F041F" w:rsidRDefault="002F041F">
            <w:pPr>
              <w:pStyle w:val="Normal6"/>
              <w:rPr>
                <w:szCs w:val="24"/>
              </w:rPr>
            </w:pPr>
            <w:r w:rsidRPr="002F041F">
              <w:t>1)</w:t>
            </w:r>
            <w:r w:rsidRPr="002F041F">
              <w:tab/>
            </w:r>
            <w:r w:rsidRPr="002F041F">
              <w:rPr>
                <w:b/>
                <w:bCs/>
                <w:i/>
                <w:iCs/>
              </w:rPr>
              <w:t>Bilag</w:t>
            </w:r>
            <w:r w:rsidRPr="002F041F">
              <w:t xml:space="preserve"> VII, VIII</w:t>
            </w:r>
            <w:r w:rsidRPr="002F041F">
              <w:rPr>
                <w:b/>
                <w:bCs/>
                <w:i/>
                <w:iCs/>
              </w:rPr>
              <w:t>, X</w:t>
            </w:r>
            <w:r w:rsidRPr="002F041F">
              <w:t xml:space="preserve"> og XI affattes således:</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r w:rsidRPr="002F041F">
        <w:rPr>
          <w:rStyle w:val="HideTWBExt"/>
          <w:noProof w:val="0"/>
        </w:rPr>
        <w:lastRenderedPageBreak/>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 xml:space="preserve">Forordning </w:t>
      </w:r>
      <w:r w:rsidRPr="002F041F">
        <w:t>(EU)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 – overskrift</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rPr>
                <w:b/>
                <w:bCs/>
                <w:i/>
                <w:iCs/>
              </w:rPr>
              <w:t>OPLYSNINGSARK FOR OBSERVATION</w:t>
            </w:r>
          </w:p>
        </w:tc>
        <w:tc>
          <w:tcPr>
            <w:tcW w:w="4876" w:type="dxa"/>
            <w:hideMark/>
          </w:tcPr>
          <w:p w:rsidR="00C6436A" w:rsidRPr="002F041F" w:rsidRDefault="002F041F">
            <w:pPr>
              <w:pStyle w:val="Normal6"/>
              <w:rPr>
                <w:szCs w:val="24"/>
              </w:rPr>
            </w:pPr>
            <w:r w:rsidRPr="002F041F">
              <w:rPr>
                <w:b/>
                <w:bCs/>
                <w:i/>
                <w:iCs/>
              </w:rPr>
              <w:t>OBSERVATIONSRAPPORT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rPr>
          <w:szCs w:val="24"/>
        </w:rPr>
      </w:pPr>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 – række 2</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2.</w:t>
            </w:r>
            <w:r w:rsidRPr="002F041F">
              <w:tab/>
              <w:t>Det observerede fartøjs position:</w:t>
            </w:r>
          </w:p>
        </w:tc>
        <w:tc>
          <w:tcPr>
            <w:tcW w:w="4876" w:type="dxa"/>
            <w:hideMark/>
          </w:tcPr>
          <w:p w:rsidR="00C6436A" w:rsidRPr="002F041F" w:rsidRDefault="002F041F">
            <w:pPr>
              <w:pStyle w:val="TableParagraph"/>
              <w:spacing w:before="154" w:line="252" w:lineRule="exact"/>
              <w:ind w:left="110"/>
              <w:rPr>
                <w:szCs w:val="24"/>
              </w:rPr>
            </w:pPr>
            <w:r w:rsidRPr="002F041F">
              <w:t>2.</w:t>
            </w:r>
            <w:r w:rsidRPr="002F041F">
              <w:tab/>
            </w:r>
            <w:r w:rsidRPr="002F041F">
              <w:t>Det observerede fartøjs position:</w:t>
            </w:r>
          </w:p>
        </w:tc>
      </w:tr>
      <w:tr w:rsidR="007233AC" w:rsidRPr="002F041F" w:rsidTr="00C6436A">
        <w:trPr>
          <w:jc w:val="center"/>
        </w:trPr>
        <w:tc>
          <w:tcPr>
            <w:tcW w:w="4876" w:type="dxa"/>
            <w:hideMark/>
          </w:tcPr>
          <w:p w:rsidR="00C6436A" w:rsidRPr="002F041F" w:rsidRDefault="002F041F">
            <w:pPr>
              <w:pStyle w:val="Normal6"/>
            </w:pPr>
            <w:r w:rsidRPr="002F041F">
              <w:t>Breddegrad</w:t>
            </w:r>
            <w:r w:rsidRPr="002F041F">
              <w:tab/>
              <w:t>Længdegrad</w:t>
            </w:r>
          </w:p>
        </w:tc>
        <w:tc>
          <w:tcPr>
            <w:tcW w:w="4876" w:type="dxa"/>
            <w:hideMark/>
          </w:tcPr>
          <w:p w:rsidR="00C6436A" w:rsidRPr="002F041F" w:rsidRDefault="002F041F">
            <w:pPr>
              <w:pStyle w:val="Normal6"/>
              <w:rPr>
                <w:rFonts w:eastAsia="Calibri"/>
              </w:rPr>
            </w:pPr>
            <w:r w:rsidRPr="002F041F">
              <w:t>Breddegrad</w:t>
            </w:r>
            <w:r w:rsidRPr="002F041F">
              <w:tab/>
              <w:t>Længdegrad</w:t>
            </w:r>
          </w:p>
        </w:tc>
      </w:tr>
      <w:tr w:rsidR="007233AC" w:rsidRPr="002F041F" w:rsidTr="00C6436A">
        <w:trPr>
          <w:jc w:val="center"/>
        </w:trPr>
        <w:tc>
          <w:tcPr>
            <w:tcW w:w="4876" w:type="dxa"/>
          </w:tcPr>
          <w:p w:rsidR="00C6436A" w:rsidRPr="002F041F" w:rsidRDefault="00C6436A">
            <w:pPr>
              <w:pStyle w:val="Normal6"/>
            </w:pPr>
          </w:p>
        </w:tc>
        <w:tc>
          <w:tcPr>
            <w:tcW w:w="4876" w:type="dxa"/>
            <w:hideMark/>
          </w:tcPr>
          <w:p w:rsidR="00C6436A" w:rsidRPr="002F041F" w:rsidRDefault="002F041F">
            <w:pPr>
              <w:pStyle w:val="Normal6"/>
              <w:rPr>
                <w:b/>
                <w:i/>
                <w:szCs w:val="24"/>
              </w:rPr>
            </w:pPr>
            <w:r w:rsidRPr="002F041F">
              <w:rPr>
                <w:b/>
                <w:i/>
              </w:rPr>
              <w:t>Fiskeriområde, geografisk underområde, statistikområde:</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C6436A" w:rsidP="00C6436A">
      <w:pPr>
        <w:pStyle w:val="Normal12Italic"/>
        <w:rPr>
          <w:noProof w:val="0"/>
        </w:rPr>
      </w:pPr>
    </w:p>
    <w:p w:rsidR="00C6436A" w:rsidRPr="002F041F" w:rsidRDefault="002F041F" w:rsidP="00C6436A">
      <w:r w:rsidRPr="002F041F">
        <w:rPr>
          <w:rStyle w:val="HideTWBExt"/>
          <w:noProof w:val="0"/>
        </w:rPr>
        <w:t>&lt;/Amend&gt;</w:t>
      </w:r>
    </w:p>
    <w:p w:rsidR="00C6436A" w:rsidRPr="002F041F" w:rsidRDefault="00C6436A" w:rsidP="00C6436A"/>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109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 – række 8</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rPr>
                <w:szCs w:val="24"/>
              </w:rPr>
            </w:pPr>
            <w:r w:rsidRPr="002F041F">
              <w:t>8.</w:t>
            </w:r>
            <w:r w:rsidRPr="002F041F">
              <w:tab/>
              <w:t>Registreringsnummer:</w:t>
            </w:r>
          </w:p>
        </w:tc>
        <w:tc>
          <w:tcPr>
            <w:tcW w:w="4876" w:type="dxa"/>
            <w:hideMark/>
          </w:tcPr>
          <w:p w:rsidR="00C6436A" w:rsidRPr="002F041F" w:rsidRDefault="002F041F">
            <w:pPr>
              <w:pStyle w:val="TableParagraph"/>
              <w:spacing w:before="154" w:line="252" w:lineRule="exact"/>
              <w:ind w:left="110"/>
              <w:rPr>
                <w:sz w:val="24"/>
                <w:szCs w:val="24"/>
              </w:rPr>
            </w:pPr>
            <w:r w:rsidRPr="002F041F">
              <w:rPr>
                <w:sz w:val="24"/>
              </w:rPr>
              <w:t>8.</w:t>
            </w:r>
            <w:r w:rsidRPr="002F041F">
              <w:rPr>
                <w:sz w:val="24"/>
              </w:rPr>
              <w:tab/>
            </w:r>
            <w:r w:rsidRPr="002F041F">
              <w:rPr>
                <w:b/>
                <w:bCs/>
                <w:i/>
                <w:iCs/>
                <w:sz w:val="24"/>
              </w:rPr>
              <w:t>Nationalt</w:t>
            </w:r>
            <w:r w:rsidRPr="002F041F">
              <w:rPr>
                <w:sz w:val="24"/>
              </w:rPr>
              <w:t xml:space="preserve"> registreringsnummer:</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C6436A" w:rsidP="00C6436A">
      <w:pPr>
        <w:pStyle w:val="Normal12Italic"/>
        <w:rPr>
          <w:noProof w:val="0"/>
        </w:rPr>
      </w:pP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110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 – række 9</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rPr>
                <w:szCs w:val="24"/>
              </w:rPr>
            </w:pPr>
            <w:r w:rsidRPr="002F041F">
              <w:t>9.</w:t>
            </w:r>
            <w:r w:rsidRPr="002F041F">
              <w:tab/>
            </w:r>
            <w:r w:rsidRPr="002F041F">
              <w:rPr>
                <w:b/>
                <w:bCs/>
                <w:i/>
                <w:iCs/>
              </w:rPr>
              <w:t>GFCM-flåderegisternummer</w:t>
            </w:r>
            <w:r w:rsidRPr="002F041F">
              <w:t>:</w:t>
            </w:r>
          </w:p>
        </w:tc>
        <w:tc>
          <w:tcPr>
            <w:tcW w:w="4876" w:type="dxa"/>
            <w:hideMark/>
          </w:tcPr>
          <w:p w:rsidR="00C6436A" w:rsidRPr="002F041F" w:rsidRDefault="002F041F">
            <w:pPr>
              <w:pStyle w:val="TableParagraph"/>
              <w:spacing w:before="154" w:line="252" w:lineRule="exact"/>
              <w:ind w:left="110"/>
              <w:rPr>
                <w:sz w:val="24"/>
                <w:szCs w:val="24"/>
              </w:rPr>
            </w:pPr>
            <w:r w:rsidRPr="002F041F">
              <w:rPr>
                <w:sz w:val="24"/>
              </w:rPr>
              <w:t>9.</w:t>
            </w:r>
            <w:r w:rsidRPr="002F041F">
              <w:rPr>
                <w:sz w:val="24"/>
              </w:rPr>
              <w:tab/>
            </w:r>
            <w:r w:rsidRPr="002F041F">
              <w:rPr>
                <w:b/>
                <w:bCs/>
                <w:i/>
                <w:iCs/>
                <w:sz w:val="24"/>
              </w:rPr>
              <w:t>Fartøjets registreringsnummer</w:t>
            </w:r>
            <w:r w:rsidRPr="002F041F">
              <w:rPr>
                <w:sz w:val="24"/>
              </w:rPr>
              <w: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C6436A" w:rsidP="00C6436A">
      <w:pPr>
        <w:pStyle w:val="Normal12Italic"/>
        <w:rPr>
          <w:noProof w:val="0"/>
        </w:rPr>
      </w:pP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111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 – række 11</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rPr>
                <w:szCs w:val="24"/>
              </w:rPr>
            </w:pPr>
            <w:r w:rsidRPr="002F041F">
              <w:t>11.</w:t>
            </w:r>
            <w:r w:rsidRPr="002F041F">
              <w:tab/>
              <w:t>Anslået længde overalt og bruttotonnage:</w:t>
            </w:r>
          </w:p>
        </w:tc>
        <w:tc>
          <w:tcPr>
            <w:tcW w:w="4876" w:type="dxa"/>
            <w:hideMark/>
          </w:tcPr>
          <w:p w:rsidR="00C6436A" w:rsidRPr="002F041F" w:rsidRDefault="002F041F">
            <w:pPr>
              <w:pStyle w:val="TableParagraph"/>
              <w:spacing w:before="154" w:line="252" w:lineRule="exact"/>
              <w:ind w:left="110"/>
              <w:rPr>
                <w:sz w:val="24"/>
                <w:szCs w:val="24"/>
              </w:rPr>
            </w:pPr>
            <w:r w:rsidRPr="002F041F">
              <w:rPr>
                <w:sz w:val="24"/>
              </w:rPr>
              <w:t>11.</w:t>
            </w:r>
            <w:r w:rsidRPr="002F041F">
              <w:rPr>
                <w:sz w:val="24"/>
              </w:rPr>
              <w:tab/>
            </w:r>
            <w:r w:rsidRPr="002F041F">
              <w:rPr>
                <w:b/>
                <w:i/>
                <w:sz w:val="24"/>
              </w:rPr>
              <w:t>Beskrivelse af fartøj</w:t>
            </w:r>
          </w:p>
        </w:tc>
      </w:tr>
      <w:tr w:rsidR="007233AC" w:rsidRPr="002F041F" w:rsidTr="00C6436A">
        <w:trPr>
          <w:jc w:val="center"/>
        </w:trPr>
        <w:tc>
          <w:tcPr>
            <w:tcW w:w="4876" w:type="dxa"/>
          </w:tcPr>
          <w:p w:rsidR="00C6436A" w:rsidRPr="002F041F" w:rsidRDefault="00C6436A">
            <w:pPr>
              <w:pStyle w:val="Normal6"/>
              <w:rPr>
                <w:szCs w:val="24"/>
              </w:rPr>
            </w:pPr>
          </w:p>
        </w:tc>
        <w:tc>
          <w:tcPr>
            <w:tcW w:w="4876" w:type="dxa"/>
            <w:hideMark/>
          </w:tcPr>
          <w:p w:rsidR="00C6436A" w:rsidRPr="002F041F" w:rsidRDefault="002F041F">
            <w:pPr>
              <w:pStyle w:val="TableParagraph"/>
              <w:spacing w:before="154" w:line="252" w:lineRule="exact"/>
              <w:ind w:left="110"/>
              <w:rPr>
                <w:sz w:val="24"/>
                <w:szCs w:val="24"/>
              </w:rPr>
            </w:pPr>
            <w:r w:rsidRPr="002F041F">
              <w:rPr>
                <w:sz w:val="24"/>
              </w:rPr>
              <w:t xml:space="preserve">Anslået længde overalt og </w:t>
            </w:r>
            <w:r w:rsidRPr="002F041F">
              <w:rPr>
                <w:sz w:val="24"/>
              </w:rPr>
              <w:t>bruttotonnage:</w:t>
            </w:r>
          </w:p>
        </w:tc>
      </w:tr>
      <w:tr w:rsidR="007233AC" w:rsidRPr="002F041F" w:rsidTr="00C6436A">
        <w:trPr>
          <w:jc w:val="center"/>
        </w:trPr>
        <w:tc>
          <w:tcPr>
            <w:tcW w:w="4876" w:type="dxa"/>
            <w:hideMark/>
          </w:tcPr>
          <w:p w:rsidR="00C6436A" w:rsidRPr="002F041F" w:rsidRDefault="002F041F">
            <w:pPr>
              <w:pStyle w:val="Normal6"/>
              <w:rPr>
                <w:szCs w:val="24"/>
              </w:rPr>
            </w:pPr>
            <w:r w:rsidRPr="002F041F">
              <w:t>m</w:t>
            </w:r>
          </w:p>
        </w:tc>
        <w:tc>
          <w:tcPr>
            <w:tcW w:w="4876" w:type="dxa"/>
            <w:hideMark/>
          </w:tcPr>
          <w:p w:rsidR="00C6436A" w:rsidRPr="002F041F" w:rsidRDefault="002F041F">
            <w:pPr>
              <w:pStyle w:val="TableParagraph"/>
              <w:spacing w:before="154" w:line="252" w:lineRule="exact"/>
              <w:ind w:left="110"/>
              <w:rPr>
                <w:sz w:val="24"/>
                <w:szCs w:val="24"/>
              </w:rPr>
            </w:pPr>
            <w:r w:rsidRPr="002F041F">
              <w:rPr>
                <w:sz w:val="24"/>
              </w:rPr>
              <w:t>m</w:t>
            </w:r>
          </w:p>
        </w:tc>
      </w:tr>
      <w:tr w:rsidR="007233AC" w:rsidRPr="002F041F" w:rsidTr="00C6436A">
        <w:trPr>
          <w:jc w:val="center"/>
        </w:trPr>
        <w:tc>
          <w:tcPr>
            <w:tcW w:w="4876" w:type="dxa"/>
            <w:hideMark/>
          </w:tcPr>
          <w:p w:rsidR="00C6436A" w:rsidRPr="002F041F" w:rsidRDefault="002F041F">
            <w:pPr>
              <w:pStyle w:val="Normal6"/>
              <w:rPr>
                <w:szCs w:val="24"/>
              </w:rPr>
            </w:pPr>
            <w:r w:rsidRPr="002F041F">
              <w:t>BT</w:t>
            </w:r>
          </w:p>
        </w:tc>
        <w:tc>
          <w:tcPr>
            <w:tcW w:w="4876" w:type="dxa"/>
            <w:hideMark/>
          </w:tcPr>
          <w:p w:rsidR="00C6436A" w:rsidRPr="002F041F" w:rsidRDefault="002F041F">
            <w:pPr>
              <w:pStyle w:val="TableParagraph"/>
              <w:spacing w:before="154" w:line="252" w:lineRule="exact"/>
              <w:ind w:left="110"/>
              <w:rPr>
                <w:sz w:val="24"/>
                <w:szCs w:val="24"/>
              </w:rPr>
            </w:pPr>
            <w:r w:rsidRPr="002F041F">
              <w:rPr>
                <w:sz w:val="24"/>
              </w:rPr>
              <w:t>BT</w:t>
            </w:r>
          </w:p>
        </w:tc>
      </w:tr>
      <w:tr w:rsidR="007233AC" w:rsidRPr="002F041F" w:rsidTr="00C6436A">
        <w:trPr>
          <w:jc w:val="center"/>
        </w:trPr>
        <w:tc>
          <w:tcPr>
            <w:tcW w:w="4876" w:type="dxa"/>
          </w:tcPr>
          <w:p w:rsidR="00C6436A" w:rsidRPr="002F041F" w:rsidRDefault="00C6436A">
            <w:pPr>
              <w:pStyle w:val="Normal6"/>
              <w:rPr>
                <w:szCs w:val="24"/>
              </w:rPr>
            </w:pPr>
          </w:p>
        </w:tc>
        <w:tc>
          <w:tcPr>
            <w:tcW w:w="4876" w:type="dxa"/>
            <w:hideMark/>
          </w:tcPr>
          <w:p w:rsidR="00C6436A" w:rsidRPr="002F041F" w:rsidRDefault="002F041F">
            <w:pPr>
              <w:pStyle w:val="TableParagraph"/>
              <w:spacing w:before="154" w:line="252" w:lineRule="exact"/>
              <w:ind w:left="110"/>
              <w:rPr>
                <w:b/>
                <w:i/>
                <w:sz w:val="24"/>
                <w:szCs w:val="24"/>
              </w:rPr>
            </w:pPr>
            <w:r w:rsidRPr="002F041F">
              <w:rPr>
                <w:b/>
                <w:i/>
                <w:sz w:val="24"/>
              </w:rPr>
              <w:t>Anslået bredde:</w:t>
            </w:r>
          </w:p>
        </w:tc>
      </w:tr>
      <w:tr w:rsidR="007233AC" w:rsidRPr="002F041F" w:rsidTr="00C6436A">
        <w:trPr>
          <w:jc w:val="center"/>
        </w:trPr>
        <w:tc>
          <w:tcPr>
            <w:tcW w:w="4876" w:type="dxa"/>
          </w:tcPr>
          <w:p w:rsidR="00C6436A" w:rsidRPr="002F041F" w:rsidRDefault="00C6436A">
            <w:pPr>
              <w:pStyle w:val="Normal6"/>
              <w:rPr>
                <w:szCs w:val="24"/>
              </w:rPr>
            </w:pPr>
          </w:p>
        </w:tc>
        <w:tc>
          <w:tcPr>
            <w:tcW w:w="4876" w:type="dxa"/>
            <w:hideMark/>
          </w:tcPr>
          <w:p w:rsidR="00C6436A" w:rsidRPr="002F041F" w:rsidRDefault="002F041F">
            <w:pPr>
              <w:pStyle w:val="TableParagraph"/>
              <w:spacing w:before="154" w:line="252" w:lineRule="exact"/>
              <w:ind w:left="110"/>
              <w:rPr>
                <w:b/>
                <w:i/>
                <w:sz w:val="24"/>
                <w:szCs w:val="24"/>
              </w:rPr>
            </w:pPr>
            <w:r w:rsidRPr="002F041F">
              <w:rPr>
                <w:b/>
                <w:i/>
                <w:sz w:val="24"/>
              </w:rPr>
              <w:t>Øvrige bemærkninger:</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C6436A" w:rsidP="00C6436A">
      <w:pPr>
        <w:pStyle w:val="Normal12Italic"/>
        <w:rPr>
          <w:noProof w:val="0"/>
        </w:rPr>
      </w:pP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lastRenderedPageBreak/>
        <w:t>&lt;Amend&gt;</w:t>
      </w:r>
      <w:r w:rsidRPr="002F041F">
        <w:t>Ændringsforslag</w:t>
      </w:r>
      <w:r w:rsidRPr="002F041F">
        <w:tab/>
      </w:r>
      <w:r w:rsidRPr="002F041F">
        <w:tab/>
      </w:r>
      <w:r w:rsidRPr="002F041F">
        <w:rPr>
          <w:rStyle w:val="HideTWBExt"/>
          <w:noProof w:val="0"/>
        </w:rPr>
        <w:t>&lt;NumAm&gt;</w:t>
      </w:r>
      <w:r w:rsidRPr="002F041F">
        <w:t>112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 xml:space="preserve">Forordning </w:t>
      </w:r>
      <w:r w:rsidRPr="002F041F">
        <w:t>(EU)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 – række 13</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rPr>
                <w:b/>
                <w:i/>
                <w:szCs w:val="24"/>
              </w:rPr>
            </w:pPr>
            <w:r w:rsidRPr="002F041F">
              <w:rPr>
                <w:b/>
                <w:i/>
              </w:rPr>
              <w:t>13.</w:t>
            </w:r>
            <w:r w:rsidRPr="002F041F">
              <w:rPr>
                <w:b/>
                <w:i/>
              </w:rPr>
              <w:tab/>
              <w:t>Kaptajnens nationalitet:</w:t>
            </w:r>
          </w:p>
        </w:tc>
        <w:tc>
          <w:tcPr>
            <w:tcW w:w="4876" w:type="dxa"/>
            <w:hideMark/>
          </w:tcPr>
          <w:p w:rsidR="00C6436A" w:rsidRPr="002F041F" w:rsidRDefault="002F041F">
            <w:pPr>
              <w:pStyle w:val="TableParagraph"/>
              <w:spacing w:before="154" w:line="252" w:lineRule="exact"/>
              <w:ind w:left="110"/>
              <w:rPr>
                <w:b/>
                <w:i/>
                <w:sz w:val="24"/>
                <w:szCs w:val="24"/>
              </w:rPr>
            </w:pPr>
            <w:r w:rsidRPr="002F041F">
              <w:rPr>
                <w:b/>
                <w:i/>
                <w:sz w:val="24"/>
              </w:rPr>
              <w:t>udgår</w:t>
            </w:r>
          </w:p>
        </w:tc>
      </w:tr>
      <w:tr w:rsidR="007233AC" w:rsidRPr="002F041F" w:rsidTr="00C6436A">
        <w:trPr>
          <w:jc w:val="center"/>
        </w:trPr>
        <w:tc>
          <w:tcPr>
            <w:tcW w:w="4876" w:type="dxa"/>
            <w:hideMark/>
          </w:tcPr>
          <w:p w:rsidR="00C6436A" w:rsidRPr="002F041F" w:rsidRDefault="002F041F">
            <w:pPr>
              <w:pStyle w:val="Normal6"/>
              <w:rPr>
                <w:b/>
                <w:i/>
                <w:szCs w:val="24"/>
              </w:rPr>
            </w:pPr>
            <w:r w:rsidRPr="002F041F">
              <w:rPr>
                <w:b/>
                <w:i/>
              </w:rPr>
              <w:t>Befalingshavendes nationalitet:</w:t>
            </w:r>
          </w:p>
        </w:tc>
        <w:tc>
          <w:tcPr>
            <w:tcW w:w="4876" w:type="dxa"/>
          </w:tcPr>
          <w:p w:rsidR="00C6436A" w:rsidRPr="002F041F" w:rsidRDefault="00C6436A">
            <w:pPr>
              <w:pStyle w:val="TableParagraph"/>
              <w:spacing w:before="154" w:line="252" w:lineRule="exact"/>
              <w:ind w:left="110"/>
              <w:rPr>
                <w:sz w:val="24"/>
                <w:szCs w:val="24"/>
              </w:rPr>
            </w:pPr>
          </w:p>
        </w:tc>
      </w:tr>
      <w:tr w:rsidR="007233AC" w:rsidRPr="002F041F" w:rsidTr="00C6436A">
        <w:trPr>
          <w:jc w:val="center"/>
        </w:trPr>
        <w:tc>
          <w:tcPr>
            <w:tcW w:w="4876" w:type="dxa"/>
            <w:hideMark/>
          </w:tcPr>
          <w:p w:rsidR="00C6436A" w:rsidRPr="002F041F" w:rsidRDefault="002F041F">
            <w:pPr>
              <w:pStyle w:val="Normal6"/>
              <w:rPr>
                <w:b/>
                <w:i/>
                <w:szCs w:val="24"/>
              </w:rPr>
            </w:pPr>
            <w:r w:rsidRPr="002F041F">
              <w:rPr>
                <w:b/>
                <w:i/>
              </w:rPr>
              <w:t>Besætnings nationalitet:</w:t>
            </w:r>
          </w:p>
        </w:tc>
        <w:tc>
          <w:tcPr>
            <w:tcW w:w="4876" w:type="dxa"/>
          </w:tcPr>
          <w:p w:rsidR="00C6436A" w:rsidRPr="002F041F" w:rsidRDefault="00C6436A">
            <w:pPr>
              <w:pStyle w:val="TableParagraph"/>
              <w:spacing w:before="154" w:line="252" w:lineRule="exact"/>
              <w:ind w:left="110"/>
              <w:rPr>
                <w:sz w:val="24"/>
                <w:szCs w:val="24"/>
              </w:rPr>
            </w:pP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C6436A" w:rsidP="00C6436A">
      <w:pPr>
        <w:pStyle w:val="Normal12Italic"/>
        <w:rPr>
          <w:noProof w:val="0"/>
        </w:rPr>
      </w:pPr>
    </w:p>
    <w:p w:rsidR="00C6436A" w:rsidRPr="002F041F" w:rsidRDefault="002F041F" w:rsidP="00C6436A">
      <w:r w:rsidRPr="002F041F">
        <w:rPr>
          <w:rStyle w:val="HideTWBExt"/>
          <w:noProof w:val="0"/>
        </w:rPr>
        <w:t>&lt;/Amend&gt;</w:t>
      </w:r>
    </w:p>
    <w:p w:rsidR="00C6436A" w:rsidRPr="002F041F" w:rsidRDefault="00C6436A" w:rsidP="00C6436A"/>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113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 – række 14</w:t>
      </w:r>
      <w:r w:rsidRPr="002F041F">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7233AC" w:rsidRPr="002F041F" w:rsidTr="00567E12">
        <w:trPr>
          <w:jc w:val="center"/>
        </w:trPr>
        <w:tc>
          <w:tcPr>
            <w:tcW w:w="9752" w:type="dxa"/>
            <w:gridSpan w:val="2"/>
          </w:tcPr>
          <w:p w:rsidR="00C6436A" w:rsidRPr="002F041F" w:rsidRDefault="00C6436A">
            <w:pPr>
              <w:keepNext/>
            </w:pPr>
          </w:p>
        </w:tc>
      </w:tr>
      <w:tr w:rsidR="007233AC" w:rsidRPr="002F041F" w:rsidTr="00567E12">
        <w:trPr>
          <w:jc w:val="center"/>
        </w:trPr>
        <w:tc>
          <w:tcPr>
            <w:tcW w:w="5387" w:type="dxa"/>
            <w:hideMark/>
          </w:tcPr>
          <w:p w:rsidR="00C6436A" w:rsidRPr="002F041F" w:rsidRDefault="002F041F">
            <w:pPr>
              <w:pStyle w:val="ColumnHeading"/>
              <w:keepNext/>
            </w:pPr>
            <w:r w:rsidRPr="002F041F">
              <w:t>Kommissionens forslag</w:t>
            </w:r>
          </w:p>
        </w:tc>
        <w:tc>
          <w:tcPr>
            <w:tcW w:w="4365" w:type="dxa"/>
            <w:hideMark/>
          </w:tcPr>
          <w:p w:rsidR="00C6436A" w:rsidRPr="002F041F" w:rsidRDefault="002F041F">
            <w:pPr>
              <w:pStyle w:val="ColumnHeading"/>
              <w:keepNext/>
            </w:pPr>
            <w:r w:rsidRPr="002F041F">
              <w:t>Ændringsforslag</w:t>
            </w:r>
          </w:p>
        </w:tc>
      </w:tr>
      <w:tr w:rsidR="007233AC" w:rsidRPr="002F041F" w:rsidTr="00567E12">
        <w:trPr>
          <w:jc w:val="center"/>
        </w:trPr>
        <w:tc>
          <w:tcPr>
            <w:tcW w:w="5387" w:type="dxa"/>
            <w:hideMark/>
          </w:tcPr>
          <w:p w:rsidR="00C6436A" w:rsidRPr="002F041F" w:rsidRDefault="002F041F">
            <w:pPr>
              <w:pStyle w:val="Normal6"/>
              <w:rPr>
                <w:szCs w:val="24"/>
              </w:rPr>
            </w:pPr>
            <w:r w:rsidRPr="002F041F">
              <w:t>14.</w:t>
            </w:r>
            <w:r w:rsidRPr="002F041F">
              <w:tab/>
              <w:t>Type af aktiviteter, som det observerede fartøj var i færd med at udøve (beskriv venligst):</w:t>
            </w:r>
          </w:p>
        </w:tc>
        <w:tc>
          <w:tcPr>
            <w:tcW w:w="4365" w:type="dxa"/>
            <w:hideMark/>
          </w:tcPr>
          <w:p w:rsidR="00C6436A" w:rsidRPr="002F041F" w:rsidRDefault="002F041F">
            <w:pPr>
              <w:pStyle w:val="TableParagraph"/>
              <w:spacing w:before="154" w:line="252" w:lineRule="exact"/>
              <w:ind w:left="110"/>
              <w:rPr>
                <w:sz w:val="24"/>
                <w:szCs w:val="24"/>
              </w:rPr>
            </w:pPr>
            <w:r w:rsidRPr="002F041F">
              <w:rPr>
                <w:sz w:val="24"/>
              </w:rPr>
              <w:t>14.</w:t>
            </w:r>
            <w:r w:rsidRPr="002F041F">
              <w:rPr>
                <w:sz w:val="24"/>
              </w:rPr>
              <w:tab/>
              <w:t>Type af aktiviteter, som det observerede fartøj var i færd med at udøve (beskriv venligst):</w:t>
            </w:r>
          </w:p>
        </w:tc>
      </w:tr>
      <w:tr w:rsidR="007233AC" w:rsidRPr="002F041F" w:rsidTr="00567E12">
        <w:trPr>
          <w:jc w:val="center"/>
        </w:trPr>
        <w:tc>
          <w:tcPr>
            <w:tcW w:w="5387" w:type="dxa"/>
          </w:tcPr>
          <w:p w:rsidR="00C6436A" w:rsidRPr="002F041F" w:rsidRDefault="00C6436A">
            <w:pPr>
              <w:pStyle w:val="Normal6"/>
              <w:rPr>
                <w:b/>
                <w:i/>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Dato:</w:t>
            </w:r>
          </w:p>
        </w:tc>
      </w:tr>
      <w:tr w:rsidR="007233AC" w:rsidRPr="002F041F" w:rsidTr="00567E12">
        <w:trPr>
          <w:jc w:val="center"/>
        </w:trPr>
        <w:tc>
          <w:tcPr>
            <w:tcW w:w="5387" w:type="dxa"/>
          </w:tcPr>
          <w:p w:rsidR="00C6436A" w:rsidRPr="002F041F" w:rsidRDefault="00C6436A">
            <w:pPr>
              <w:pStyle w:val="Normal6"/>
              <w:rPr>
                <w:b/>
                <w:i/>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Tidspunkt:</w:t>
            </w:r>
          </w:p>
        </w:tc>
      </w:tr>
      <w:tr w:rsidR="007233AC" w:rsidRPr="002F041F" w:rsidTr="00567E12">
        <w:trPr>
          <w:jc w:val="center"/>
        </w:trPr>
        <w:tc>
          <w:tcPr>
            <w:tcW w:w="5387" w:type="dxa"/>
          </w:tcPr>
          <w:p w:rsidR="00C6436A" w:rsidRPr="002F041F" w:rsidRDefault="00C6436A">
            <w:pPr>
              <w:pStyle w:val="Normal6"/>
              <w:rPr>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Aktivitet:</w:t>
            </w:r>
          </w:p>
        </w:tc>
      </w:tr>
      <w:tr w:rsidR="007233AC" w:rsidRPr="002F041F" w:rsidTr="00567E12">
        <w:trPr>
          <w:jc w:val="center"/>
        </w:trPr>
        <w:tc>
          <w:tcPr>
            <w:tcW w:w="5387" w:type="dxa"/>
          </w:tcPr>
          <w:p w:rsidR="00C6436A" w:rsidRPr="002F041F" w:rsidRDefault="00C6436A">
            <w:pPr>
              <w:pStyle w:val="Normal6"/>
              <w:rPr>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Retning:</w:t>
            </w:r>
          </w:p>
        </w:tc>
      </w:tr>
      <w:tr w:rsidR="007233AC" w:rsidRPr="002F041F" w:rsidTr="00567E12">
        <w:trPr>
          <w:jc w:val="center"/>
        </w:trPr>
        <w:tc>
          <w:tcPr>
            <w:tcW w:w="5387" w:type="dxa"/>
          </w:tcPr>
          <w:p w:rsidR="00C6436A" w:rsidRPr="002F041F" w:rsidRDefault="00C6436A">
            <w:pPr>
              <w:pStyle w:val="Normal6"/>
              <w:rPr>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Position:</w:t>
            </w:r>
          </w:p>
        </w:tc>
      </w:tr>
      <w:tr w:rsidR="007233AC" w:rsidRPr="002F041F" w:rsidTr="00567E12">
        <w:trPr>
          <w:jc w:val="center"/>
        </w:trPr>
        <w:tc>
          <w:tcPr>
            <w:tcW w:w="5387" w:type="dxa"/>
          </w:tcPr>
          <w:p w:rsidR="00C6436A" w:rsidRPr="002F041F" w:rsidRDefault="00C6436A">
            <w:pPr>
              <w:pStyle w:val="Normal6"/>
              <w:rPr>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Formodedes fartøjet at høste i farvande under en kyststats nationale jurisdiktion i GFCM-anvendelsesområdet uden tilladelse fra denne stat eller i strid med dens love og forskrifter? [ ] Ja [ ] Nej</w:t>
            </w:r>
          </w:p>
        </w:tc>
      </w:tr>
      <w:tr w:rsidR="007233AC" w:rsidRPr="002F041F" w:rsidTr="00567E12">
        <w:trPr>
          <w:jc w:val="center"/>
        </w:trPr>
        <w:tc>
          <w:tcPr>
            <w:tcW w:w="5387" w:type="dxa"/>
          </w:tcPr>
          <w:p w:rsidR="00C6436A" w:rsidRPr="002F041F" w:rsidRDefault="00C6436A">
            <w:pPr>
              <w:pStyle w:val="Normal6"/>
              <w:rPr>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Formodedes fartøjet at udøve fiskeri i en lukket periode</w:t>
            </w:r>
            <w:r w:rsidRPr="002F041F">
              <w:rPr>
                <w:b/>
                <w:i/>
                <w:sz w:val="24"/>
              </w:rPr>
              <w:t xml:space="preserve"> eller i lukkede områder? [ ] Ja [ ] Nej</w:t>
            </w:r>
          </w:p>
        </w:tc>
      </w:tr>
      <w:tr w:rsidR="007233AC" w:rsidRPr="002F041F" w:rsidTr="00567E12">
        <w:trPr>
          <w:jc w:val="center"/>
        </w:trPr>
        <w:tc>
          <w:tcPr>
            <w:tcW w:w="5387" w:type="dxa"/>
          </w:tcPr>
          <w:p w:rsidR="00C6436A" w:rsidRPr="002F041F" w:rsidRDefault="00C6436A">
            <w:pPr>
              <w:pStyle w:val="Normal6"/>
              <w:rPr>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Formodedes skibet at udføre omladningsaktiviteter til søs? [ ] Ja [ ] Nej</w:t>
            </w:r>
          </w:p>
        </w:tc>
      </w:tr>
      <w:tr w:rsidR="007233AC" w:rsidRPr="002F041F" w:rsidTr="00567E12">
        <w:trPr>
          <w:jc w:val="center"/>
        </w:trPr>
        <w:tc>
          <w:tcPr>
            <w:tcW w:w="5387" w:type="dxa"/>
          </w:tcPr>
          <w:p w:rsidR="00C6436A" w:rsidRPr="002F041F" w:rsidRDefault="00C6436A">
            <w:pPr>
              <w:pStyle w:val="Normal6"/>
              <w:rPr>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Formodedes fartøjet at fiske uden nationalitet? [ ] Ja [ ] Nej</w:t>
            </w:r>
          </w:p>
        </w:tc>
      </w:tr>
      <w:tr w:rsidR="007233AC" w:rsidRPr="002F041F" w:rsidTr="00567E12">
        <w:trPr>
          <w:jc w:val="center"/>
        </w:trPr>
        <w:tc>
          <w:tcPr>
            <w:tcW w:w="5387" w:type="dxa"/>
          </w:tcPr>
          <w:p w:rsidR="00C6436A" w:rsidRPr="002F041F" w:rsidRDefault="00C6436A">
            <w:pPr>
              <w:pStyle w:val="Normal6"/>
              <w:rPr>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Formodedes fartøjet at udøve fiskeri uden fyldestgørende fartøjsidentifi</w:t>
            </w:r>
            <w:r w:rsidRPr="002F041F">
              <w:rPr>
                <w:b/>
                <w:i/>
                <w:sz w:val="24"/>
              </w:rPr>
              <w:t>kationsnummer eller med sine eksterne kendingsbogstaver og -nummer skjult? [ ] Ja [ ] Nej</w:t>
            </w:r>
          </w:p>
        </w:tc>
      </w:tr>
      <w:tr w:rsidR="007233AC" w:rsidRPr="002F041F" w:rsidTr="00567E12">
        <w:trPr>
          <w:jc w:val="center"/>
        </w:trPr>
        <w:tc>
          <w:tcPr>
            <w:tcW w:w="5387" w:type="dxa"/>
          </w:tcPr>
          <w:p w:rsidR="00C6436A" w:rsidRPr="002F041F" w:rsidRDefault="00C6436A">
            <w:pPr>
              <w:pStyle w:val="Normal6"/>
              <w:rPr>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Formodedes fartøjet at udøve fiskeri eller fiskerirelaterede aktiviteter i strid med GFCM's øvrige bevarelses- og forvaltningsforanstaltninger. [ ] Ja [ ] Nej</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C6436A" w:rsidP="00C6436A">
      <w:pPr>
        <w:pStyle w:val="Normal12Italic"/>
        <w:rPr>
          <w:noProof w:val="0"/>
        </w:rPr>
      </w:pP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114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 – række 16</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5387" w:type="dxa"/>
            <w:hideMark/>
          </w:tcPr>
          <w:p w:rsidR="00C6436A" w:rsidRPr="002F041F" w:rsidRDefault="002F041F">
            <w:pPr>
              <w:pStyle w:val="ColumnHeading"/>
              <w:keepNext/>
            </w:pPr>
            <w:r w:rsidRPr="002F041F">
              <w:t>Kommissionens forslag</w:t>
            </w:r>
          </w:p>
        </w:tc>
        <w:tc>
          <w:tcPr>
            <w:tcW w:w="4365"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5387" w:type="dxa"/>
            <w:hideMark/>
          </w:tcPr>
          <w:p w:rsidR="00C6436A" w:rsidRPr="002F041F" w:rsidRDefault="002F041F">
            <w:pPr>
              <w:pStyle w:val="Normal6"/>
              <w:rPr>
                <w:szCs w:val="24"/>
              </w:rPr>
            </w:pPr>
            <w:r w:rsidRPr="002F041F">
              <w:t>16.</w:t>
            </w:r>
            <w:r w:rsidRPr="002F041F">
              <w:tab/>
            </w:r>
            <w:r w:rsidRPr="002F041F">
              <w:rPr>
                <w:b/>
                <w:i/>
              </w:rPr>
              <w:t>Beskrivelse af det identificerede fartøj og de identificerede fiskeredskaber:</w:t>
            </w:r>
          </w:p>
        </w:tc>
        <w:tc>
          <w:tcPr>
            <w:tcW w:w="4365" w:type="dxa"/>
            <w:hideMark/>
          </w:tcPr>
          <w:p w:rsidR="00C6436A" w:rsidRPr="002F041F" w:rsidRDefault="002F041F">
            <w:pPr>
              <w:pStyle w:val="TableParagraph"/>
              <w:spacing w:before="154" w:line="252" w:lineRule="exact"/>
              <w:ind w:left="110"/>
              <w:rPr>
                <w:sz w:val="24"/>
                <w:szCs w:val="24"/>
              </w:rPr>
            </w:pPr>
            <w:r w:rsidRPr="002F041F">
              <w:rPr>
                <w:sz w:val="24"/>
              </w:rPr>
              <w:t>16.</w:t>
            </w:r>
            <w:r w:rsidRPr="002F041F">
              <w:rPr>
                <w:sz w:val="24"/>
              </w:rPr>
              <w:tab/>
            </w:r>
            <w:r w:rsidRPr="002F041F">
              <w:rPr>
                <w:b/>
                <w:i/>
                <w:sz w:val="24"/>
              </w:rPr>
              <w:t>Har der været radiokontakt med fartøjet? [ ] Ja [ ] Nej</w:t>
            </w:r>
          </w:p>
        </w:tc>
      </w:tr>
      <w:tr w:rsidR="007233AC" w:rsidRPr="002F041F" w:rsidTr="00C6436A">
        <w:trPr>
          <w:jc w:val="center"/>
        </w:trPr>
        <w:tc>
          <w:tcPr>
            <w:tcW w:w="5387" w:type="dxa"/>
          </w:tcPr>
          <w:p w:rsidR="00C6436A" w:rsidRPr="002F041F" w:rsidRDefault="00C6436A">
            <w:pPr>
              <w:pStyle w:val="Normal6"/>
              <w:rPr>
                <w:b/>
                <w:i/>
                <w:szCs w:val="24"/>
              </w:rPr>
            </w:pPr>
          </w:p>
        </w:tc>
        <w:tc>
          <w:tcPr>
            <w:tcW w:w="4365" w:type="dxa"/>
            <w:hideMark/>
          </w:tcPr>
          <w:p w:rsidR="00C6436A" w:rsidRPr="002F041F" w:rsidRDefault="002F041F">
            <w:pPr>
              <w:pStyle w:val="TableParagraph"/>
              <w:spacing w:before="154" w:line="252" w:lineRule="exact"/>
              <w:ind w:left="110"/>
              <w:rPr>
                <w:b/>
                <w:i/>
                <w:sz w:val="24"/>
                <w:szCs w:val="24"/>
              </w:rPr>
            </w:pPr>
            <w:r w:rsidRPr="002F041F">
              <w:rPr>
                <w:b/>
                <w:i/>
                <w:sz w:val="24"/>
              </w:rPr>
              <w:t>Sammendrag af samtalen med fartøjet: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C6436A" w:rsidP="00C6436A">
      <w:pPr>
        <w:pStyle w:val="Normal12Italic"/>
        <w:rPr>
          <w:noProof w:val="0"/>
        </w:rPr>
      </w:pP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115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 – række 18</w:t>
      </w:r>
      <w:r w:rsidRPr="002F041F">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7233AC" w:rsidRPr="002F041F" w:rsidTr="00510CEC">
        <w:trPr>
          <w:jc w:val="center"/>
        </w:trPr>
        <w:tc>
          <w:tcPr>
            <w:tcW w:w="9752" w:type="dxa"/>
            <w:gridSpan w:val="2"/>
          </w:tcPr>
          <w:p w:rsidR="00C6436A" w:rsidRPr="002F041F" w:rsidRDefault="00C6436A">
            <w:pPr>
              <w:keepNext/>
            </w:pPr>
          </w:p>
        </w:tc>
      </w:tr>
      <w:tr w:rsidR="007233AC" w:rsidRPr="002F041F" w:rsidTr="00510CEC">
        <w:trPr>
          <w:jc w:val="center"/>
        </w:trPr>
        <w:tc>
          <w:tcPr>
            <w:tcW w:w="5387" w:type="dxa"/>
            <w:hideMark/>
          </w:tcPr>
          <w:p w:rsidR="00C6436A" w:rsidRPr="002F041F" w:rsidRDefault="002F041F">
            <w:pPr>
              <w:pStyle w:val="ColumnHeading"/>
              <w:keepNext/>
            </w:pPr>
            <w:r w:rsidRPr="002F041F">
              <w:t>Kommissionens forslag</w:t>
            </w:r>
          </w:p>
        </w:tc>
        <w:tc>
          <w:tcPr>
            <w:tcW w:w="4365" w:type="dxa"/>
            <w:hideMark/>
          </w:tcPr>
          <w:p w:rsidR="00C6436A" w:rsidRPr="002F041F" w:rsidRDefault="002F041F">
            <w:pPr>
              <w:pStyle w:val="ColumnHeading"/>
              <w:keepNext/>
            </w:pPr>
            <w:r w:rsidRPr="002F041F">
              <w:t>Ændringsforslag</w:t>
            </w:r>
          </w:p>
        </w:tc>
      </w:tr>
      <w:tr w:rsidR="007233AC" w:rsidRPr="002F041F" w:rsidTr="00510CEC">
        <w:trPr>
          <w:jc w:val="center"/>
        </w:trPr>
        <w:tc>
          <w:tcPr>
            <w:tcW w:w="5387" w:type="dxa"/>
            <w:hideMark/>
          </w:tcPr>
          <w:p w:rsidR="00C6436A" w:rsidRPr="002F041F" w:rsidRDefault="002F041F">
            <w:pPr>
              <w:pStyle w:val="Normal6"/>
              <w:rPr>
                <w:szCs w:val="24"/>
              </w:rPr>
            </w:pPr>
            <w:r w:rsidRPr="002F041F">
              <w:t>18.</w:t>
            </w:r>
            <w:r w:rsidRPr="002F041F">
              <w:tab/>
              <w:t>Liste over vedlagte dokumenter (f.eks. fotografier osv.):</w:t>
            </w:r>
          </w:p>
        </w:tc>
        <w:tc>
          <w:tcPr>
            <w:tcW w:w="4365" w:type="dxa"/>
            <w:hideMark/>
          </w:tcPr>
          <w:p w:rsidR="00C6436A" w:rsidRPr="002F041F" w:rsidRDefault="002F041F">
            <w:pPr>
              <w:pStyle w:val="TableParagraph"/>
              <w:spacing w:before="154" w:line="252" w:lineRule="exact"/>
              <w:ind w:left="110"/>
              <w:rPr>
                <w:sz w:val="24"/>
                <w:szCs w:val="24"/>
              </w:rPr>
            </w:pPr>
            <w:r w:rsidRPr="002F041F">
              <w:rPr>
                <w:sz w:val="24"/>
              </w:rPr>
              <w:t>18.</w:t>
            </w:r>
            <w:r w:rsidRPr="002F041F">
              <w:rPr>
                <w:sz w:val="24"/>
              </w:rPr>
              <w:tab/>
              <w:t xml:space="preserve">Liste over vedhæftede dokumenter (f.eks. fotos, </w:t>
            </w:r>
            <w:r w:rsidRPr="002F041F">
              <w:rPr>
                <w:b/>
                <w:bCs/>
                <w:i/>
                <w:iCs/>
                <w:sz w:val="24"/>
              </w:rPr>
              <w:t>relevante rapporter udarbejdet af kompetente myndigheder</w:t>
            </w:r>
            <w:r w:rsidRPr="002F041F">
              <w:rPr>
                <w:sz w:val="24"/>
              </w:rPr>
              <w:t xml:space="preserve"> osv.):</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C6436A" w:rsidP="00C6436A">
      <w:pPr>
        <w:pStyle w:val="Normal12Italic"/>
        <w:rPr>
          <w:noProof w:val="0"/>
        </w:rPr>
      </w:pP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w:t>
      </w:r>
      <w:r w:rsidRPr="002F041F">
        <w:t>slag</w:t>
      </w:r>
      <w:r w:rsidRPr="002F041F">
        <w:tab/>
      </w:r>
      <w:r w:rsidRPr="002F041F">
        <w:tab/>
      </w:r>
      <w:r w:rsidRPr="002F041F">
        <w:rPr>
          <w:rStyle w:val="HideTWBExt"/>
          <w:noProof w:val="0"/>
        </w:rPr>
        <w:t>&lt;NumAm&gt;</w:t>
      </w:r>
      <w:r w:rsidRPr="002F041F">
        <w:t>116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 – række 19</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5387" w:type="dxa"/>
            <w:hideMark/>
          </w:tcPr>
          <w:p w:rsidR="00C6436A" w:rsidRPr="002F041F" w:rsidRDefault="002F041F">
            <w:pPr>
              <w:pStyle w:val="ColumnHeading"/>
              <w:keepNext/>
            </w:pPr>
            <w:r w:rsidRPr="002F041F">
              <w:t>Kommissionens forslag</w:t>
            </w:r>
          </w:p>
        </w:tc>
        <w:tc>
          <w:tcPr>
            <w:tcW w:w="4365"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5387" w:type="dxa"/>
            <w:hideMark/>
          </w:tcPr>
          <w:p w:rsidR="00C6436A" w:rsidRPr="002F041F" w:rsidRDefault="002F041F">
            <w:pPr>
              <w:pStyle w:val="Normal6"/>
              <w:rPr>
                <w:szCs w:val="24"/>
              </w:rPr>
            </w:pPr>
            <w:r w:rsidRPr="002F041F">
              <w:t>19.</w:t>
            </w:r>
            <w:r w:rsidRPr="002F041F">
              <w:tab/>
              <w:t xml:space="preserve">Ovenstående </w:t>
            </w:r>
            <w:r w:rsidRPr="002F041F">
              <w:t>oplysninger er indsamlet af:</w:t>
            </w:r>
          </w:p>
        </w:tc>
        <w:tc>
          <w:tcPr>
            <w:tcW w:w="4365" w:type="dxa"/>
            <w:hideMark/>
          </w:tcPr>
          <w:p w:rsidR="00C6436A" w:rsidRPr="002F041F" w:rsidRDefault="002F041F">
            <w:pPr>
              <w:pStyle w:val="TableParagraph"/>
              <w:spacing w:before="154" w:line="252" w:lineRule="exact"/>
              <w:ind w:left="110"/>
              <w:rPr>
                <w:sz w:val="24"/>
                <w:szCs w:val="24"/>
              </w:rPr>
            </w:pPr>
            <w:r w:rsidRPr="002F041F">
              <w:rPr>
                <w:sz w:val="24"/>
              </w:rPr>
              <w:t>19.</w:t>
            </w:r>
            <w:r w:rsidRPr="002F041F">
              <w:rPr>
                <w:sz w:val="24"/>
              </w:rPr>
              <w:tab/>
              <w:t>Ovenstående oplysninger er indsamlet af:</w:t>
            </w:r>
          </w:p>
        </w:tc>
      </w:tr>
      <w:tr w:rsidR="007233AC" w:rsidRPr="002F041F" w:rsidTr="00C6436A">
        <w:trPr>
          <w:jc w:val="center"/>
        </w:trPr>
        <w:tc>
          <w:tcPr>
            <w:tcW w:w="5387" w:type="dxa"/>
            <w:hideMark/>
          </w:tcPr>
          <w:p w:rsidR="00C6436A" w:rsidRPr="002F041F" w:rsidRDefault="002F041F">
            <w:pPr>
              <w:pStyle w:val="Normal6"/>
              <w:rPr>
                <w:szCs w:val="24"/>
              </w:rPr>
            </w:pPr>
            <w:r w:rsidRPr="002F041F">
              <w:t>Navn:</w:t>
            </w:r>
          </w:p>
        </w:tc>
        <w:tc>
          <w:tcPr>
            <w:tcW w:w="4365" w:type="dxa"/>
            <w:hideMark/>
          </w:tcPr>
          <w:p w:rsidR="00C6436A" w:rsidRPr="002F041F" w:rsidRDefault="002F041F">
            <w:pPr>
              <w:pStyle w:val="TableParagraph"/>
              <w:spacing w:before="154" w:line="252" w:lineRule="exact"/>
              <w:ind w:left="110"/>
              <w:rPr>
                <w:sz w:val="24"/>
                <w:szCs w:val="24"/>
              </w:rPr>
            </w:pPr>
            <w:r w:rsidRPr="002F041F">
              <w:rPr>
                <w:sz w:val="24"/>
              </w:rPr>
              <w:t>Navn:</w:t>
            </w:r>
          </w:p>
        </w:tc>
      </w:tr>
      <w:tr w:rsidR="007233AC" w:rsidRPr="002F041F" w:rsidTr="00C6436A">
        <w:trPr>
          <w:jc w:val="center"/>
        </w:trPr>
        <w:tc>
          <w:tcPr>
            <w:tcW w:w="5387" w:type="dxa"/>
            <w:hideMark/>
          </w:tcPr>
          <w:p w:rsidR="00C6436A" w:rsidRPr="002F041F" w:rsidRDefault="002F041F">
            <w:pPr>
              <w:pStyle w:val="Normal6"/>
              <w:rPr>
                <w:b/>
                <w:i/>
                <w:szCs w:val="24"/>
              </w:rPr>
            </w:pPr>
            <w:r w:rsidRPr="002F041F">
              <w:t>Titel:</w:t>
            </w:r>
          </w:p>
        </w:tc>
        <w:tc>
          <w:tcPr>
            <w:tcW w:w="4365" w:type="dxa"/>
            <w:hideMark/>
          </w:tcPr>
          <w:p w:rsidR="00C6436A" w:rsidRPr="002F041F" w:rsidRDefault="002F041F">
            <w:pPr>
              <w:pStyle w:val="TableParagraph"/>
              <w:spacing w:before="154" w:line="252" w:lineRule="exact"/>
              <w:ind w:left="110"/>
              <w:rPr>
                <w:b/>
                <w:i/>
                <w:sz w:val="24"/>
                <w:szCs w:val="24"/>
              </w:rPr>
            </w:pPr>
            <w:r w:rsidRPr="002F041F">
              <w:rPr>
                <w:sz w:val="24"/>
              </w:rPr>
              <w:t>Titel:</w:t>
            </w:r>
          </w:p>
        </w:tc>
      </w:tr>
      <w:tr w:rsidR="007233AC" w:rsidRPr="002F041F" w:rsidTr="00C6436A">
        <w:trPr>
          <w:jc w:val="center"/>
        </w:trPr>
        <w:tc>
          <w:tcPr>
            <w:tcW w:w="5387" w:type="dxa"/>
            <w:hideMark/>
          </w:tcPr>
          <w:p w:rsidR="00C6436A" w:rsidRPr="002F041F" w:rsidRDefault="002F041F">
            <w:pPr>
              <w:pStyle w:val="Normal6"/>
              <w:rPr>
                <w:b/>
                <w:i/>
                <w:szCs w:val="24"/>
              </w:rPr>
            </w:pPr>
            <w:r w:rsidRPr="002F041F">
              <w:t xml:space="preserve">Observationsmetoder (herunder </w:t>
            </w:r>
            <w:r w:rsidRPr="002F041F">
              <w:rPr>
                <w:b/>
                <w:bCs/>
                <w:i/>
                <w:iCs/>
              </w:rPr>
              <w:t>i givet fald</w:t>
            </w:r>
            <w:r w:rsidRPr="002F041F">
              <w:t xml:space="preserve"> fartøjets/luftfartøjets navn og position):</w:t>
            </w:r>
          </w:p>
        </w:tc>
        <w:tc>
          <w:tcPr>
            <w:tcW w:w="4365" w:type="dxa"/>
            <w:hideMark/>
          </w:tcPr>
          <w:p w:rsidR="00C6436A" w:rsidRPr="002F041F" w:rsidRDefault="002F041F">
            <w:pPr>
              <w:pStyle w:val="TableParagraph"/>
              <w:spacing w:line="252" w:lineRule="exact"/>
              <w:ind w:left="108"/>
              <w:rPr>
                <w:b/>
                <w:i/>
                <w:sz w:val="24"/>
                <w:szCs w:val="24"/>
              </w:rPr>
            </w:pPr>
            <w:r w:rsidRPr="002F041F">
              <w:rPr>
                <w:sz w:val="24"/>
              </w:rPr>
              <w:t xml:space="preserve">Observationsmidler (herunder fartøjets/luftfartøjets navn og </w:t>
            </w:r>
            <w:r w:rsidRPr="002F041F">
              <w:rPr>
                <w:sz w:val="24"/>
              </w:rPr>
              <w:t>position</w:t>
            </w:r>
            <w:r w:rsidRPr="002F041F">
              <w:rPr>
                <w:b/>
                <w:bCs/>
                <w:i/>
                <w:iCs/>
                <w:sz w:val="24"/>
              </w:rPr>
              <w:t>, og fiskeriovervågningscentrets navn og beliggenhed, hvis relevant</w:t>
            </w:r>
            <w:r w:rsidRPr="002F041F">
              <w:rPr>
                <w:sz w:val="24"/>
              </w:rPr>
              <w:t>):</w:t>
            </w:r>
          </w:p>
        </w:tc>
      </w:tr>
      <w:tr w:rsidR="007233AC" w:rsidRPr="002F041F" w:rsidTr="00C6436A">
        <w:trPr>
          <w:jc w:val="center"/>
        </w:trPr>
        <w:tc>
          <w:tcPr>
            <w:tcW w:w="5387" w:type="dxa"/>
            <w:hideMark/>
          </w:tcPr>
          <w:p w:rsidR="00C6436A" w:rsidRPr="002F041F" w:rsidRDefault="002F041F">
            <w:pPr>
              <w:pStyle w:val="Normal6"/>
            </w:pPr>
            <w:r w:rsidRPr="002F041F">
              <w:t>Dato: (dag) (måned) (år)</w:t>
            </w:r>
          </w:p>
        </w:tc>
        <w:tc>
          <w:tcPr>
            <w:tcW w:w="4365" w:type="dxa"/>
            <w:hideMark/>
          </w:tcPr>
          <w:p w:rsidR="00C6436A" w:rsidRPr="002F041F" w:rsidRDefault="002F041F">
            <w:pPr>
              <w:pStyle w:val="TableParagraph"/>
              <w:spacing w:line="252" w:lineRule="exact"/>
              <w:ind w:left="108"/>
              <w:rPr>
                <w:sz w:val="24"/>
                <w:szCs w:val="24"/>
              </w:rPr>
            </w:pPr>
            <w:r w:rsidRPr="002F041F">
              <w:rPr>
                <w:sz w:val="24"/>
              </w:rPr>
              <w:t>Dato: (dag) (måned) (år)</w:t>
            </w:r>
          </w:p>
        </w:tc>
      </w:tr>
      <w:tr w:rsidR="007233AC" w:rsidRPr="002F041F" w:rsidTr="00C6436A">
        <w:trPr>
          <w:jc w:val="center"/>
        </w:trPr>
        <w:tc>
          <w:tcPr>
            <w:tcW w:w="5387" w:type="dxa"/>
            <w:hideMark/>
          </w:tcPr>
          <w:p w:rsidR="00C6436A" w:rsidRPr="002F041F" w:rsidRDefault="002F041F">
            <w:pPr>
              <w:pStyle w:val="Normal6"/>
            </w:pPr>
            <w:r w:rsidRPr="002F041F">
              <w:t>Underskrift:</w:t>
            </w:r>
          </w:p>
        </w:tc>
        <w:tc>
          <w:tcPr>
            <w:tcW w:w="4365" w:type="dxa"/>
            <w:hideMark/>
          </w:tcPr>
          <w:p w:rsidR="00C6436A" w:rsidRPr="002F041F" w:rsidRDefault="002F041F">
            <w:pPr>
              <w:pStyle w:val="TableParagraph"/>
              <w:spacing w:line="252" w:lineRule="exact"/>
              <w:ind w:left="108"/>
              <w:rPr>
                <w:sz w:val="24"/>
                <w:szCs w:val="24"/>
              </w:rPr>
            </w:pPr>
            <w:r w:rsidRPr="002F041F">
              <w:t>Underskrift: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C6436A" w:rsidP="00C6436A">
      <w:pPr>
        <w:pStyle w:val="Normal12Italic"/>
        <w:rPr>
          <w:noProof w:val="0"/>
        </w:rPr>
      </w:pPr>
    </w:p>
    <w:p w:rsidR="00C6436A" w:rsidRPr="002F041F" w:rsidRDefault="002F041F" w:rsidP="00C6436A">
      <w:pPr>
        <w:rPr>
          <w:rStyle w:val="HideTWBExt"/>
          <w:noProof w:val="0"/>
        </w:rPr>
      </w:pPr>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117</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VIII – indledning</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 xml:space="preserve">Den liste, der er omhandlet i artikel 15, 24 </w:t>
            </w:r>
            <w:r w:rsidRPr="002F041F">
              <w:rPr>
                <w:b/>
                <w:bCs/>
                <w:i/>
                <w:iCs/>
              </w:rPr>
              <w:lastRenderedPageBreak/>
              <w:t xml:space="preserve">[I </w:t>
            </w:r>
            <w:r w:rsidRPr="002F041F">
              <w:rPr>
                <w:b/>
                <w:bCs/>
                <w:i/>
                <w:iCs/>
              </w:rPr>
              <w:t>denne artikel omhandles ingen liste.</w:t>
            </w:r>
            <w:r w:rsidRPr="002F041F">
              <w:rPr>
                <w:b/>
                <w:i/>
              </w:rPr>
              <w:t xml:space="preserve"> </w:t>
            </w:r>
            <w:r w:rsidRPr="002F041F">
              <w:rPr>
                <w:b/>
                <w:bCs/>
                <w:i/>
                <w:iCs/>
              </w:rPr>
              <w:t>Skal kontrolleres for alle de artikler, der henvises til.],</w:t>
            </w:r>
            <w:r w:rsidRPr="002F041F">
              <w:t xml:space="preserve"> 34, 47, 61, 70, 74, 75c, 78, 96c og 116, skal indeholde følgende oplysninger om hvert fartøj:</w:t>
            </w:r>
          </w:p>
        </w:tc>
        <w:tc>
          <w:tcPr>
            <w:tcW w:w="4876" w:type="dxa"/>
            <w:hideMark/>
          </w:tcPr>
          <w:p w:rsidR="00C6436A" w:rsidRPr="002F041F" w:rsidRDefault="002F041F">
            <w:pPr>
              <w:pStyle w:val="Normal6"/>
              <w:rPr>
                <w:szCs w:val="24"/>
              </w:rPr>
            </w:pPr>
            <w:r w:rsidRPr="002F041F">
              <w:lastRenderedPageBreak/>
              <w:t xml:space="preserve">Den liste, der er omhandlet i </w:t>
            </w:r>
            <w:r w:rsidRPr="002F041F">
              <w:rPr>
                <w:b/>
                <w:bCs/>
                <w:i/>
                <w:iCs/>
              </w:rPr>
              <w:t>artikel</w:t>
            </w:r>
            <w:r w:rsidRPr="002F041F">
              <w:t xml:space="preserve"> 15, 24, </w:t>
            </w:r>
            <w:r w:rsidRPr="002F041F">
              <w:lastRenderedPageBreak/>
              <w:t>34, 47, 61, 70, 74,</w:t>
            </w:r>
            <w:r w:rsidRPr="002F041F">
              <w:t xml:space="preserve"> 75c, 78, 96c</w:t>
            </w:r>
            <w:r w:rsidRPr="002F041F">
              <w:rPr>
                <w:b/>
                <w:bCs/>
                <w:i/>
                <w:iCs/>
              </w:rPr>
              <w:t>, 110a</w:t>
            </w:r>
            <w:r w:rsidRPr="002F041F">
              <w:t xml:space="preserve"> og 116, skal indeholde følgende oplysninger om hvert fartøj:</w:t>
            </w:r>
          </w:p>
        </w:tc>
      </w:tr>
    </w:tbl>
    <w:p w:rsidR="00C6436A" w:rsidRPr="002F041F" w:rsidRDefault="002F041F" w:rsidP="00C6436A">
      <w:pPr>
        <w:pStyle w:val="Olang"/>
        <w:rPr>
          <w:noProof w:val="0"/>
        </w:rPr>
      </w:pPr>
      <w:r w:rsidRPr="002F041F">
        <w:rPr>
          <w:noProof w:val="0"/>
        </w:rPr>
        <w:lastRenderedPageBreak/>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rPr>
          <w:szCs w:val="24"/>
        </w:rPr>
      </w:pPr>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118</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VIII – led 11</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w:t>
            </w:r>
            <w:r w:rsidRPr="002F041F">
              <w:tab/>
              <w:t>Primære målarter</w:t>
            </w:r>
          </w:p>
        </w:tc>
        <w:tc>
          <w:tcPr>
            <w:tcW w:w="4876" w:type="dxa"/>
            <w:hideMark/>
          </w:tcPr>
          <w:p w:rsidR="00C6436A" w:rsidRPr="002F041F" w:rsidRDefault="002F041F">
            <w:pPr>
              <w:pStyle w:val="Normal6"/>
              <w:rPr>
                <w:szCs w:val="24"/>
              </w:rPr>
            </w:pPr>
            <w:r w:rsidRPr="002F041F">
              <w:t>–</w:t>
            </w:r>
            <w:r w:rsidRPr="002F041F">
              <w:tab/>
              <w:t xml:space="preserve">Primære målarter </w:t>
            </w:r>
            <w:r w:rsidRPr="002F041F">
              <w:rPr>
                <w:b/>
                <w:bCs/>
                <w:i/>
                <w:iCs/>
              </w:rPr>
              <w:t>(hvis relevant)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rPr>
          <w:szCs w:val="24"/>
        </w:rPr>
      </w:pPr>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119</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VIII – led 18</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w:t>
            </w:r>
            <w:r w:rsidRPr="002F041F">
              <w:tab/>
              <w:t>Udpeget havn</w:t>
            </w:r>
          </w:p>
        </w:tc>
        <w:tc>
          <w:tcPr>
            <w:tcW w:w="4876" w:type="dxa"/>
            <w:hideMark/>
          </w:tcPr>
          <w:p w:rsidR="00C6436A" w:rsidRPr="002F041F" w:rsidRDefault="002F041F">
            <w:pPr>
              <w:pStyle w:val="Normal6"/>
              <w:rPr>
                <w:szCs w:val="24"/>
              </w:rPr>
            </w:pPr>
            <w:r w:rsidRPr="002F041F">
              <w:t>–</w:t>
            </w:r>
            <w:r w:rsidRPr="002F041F">
              <w:tab/>
              <w:t xml:space="preserve">Udpeget havn </w:t>
            </w:r>
            <w:r w:rsidRPr="002F041F">
              <w:rPr>
                <w:b/>
                <w:bCs/>
                <w:i/>
                <w:iCs/>
              </w:rPr>
              <w:t>(hvis relevant)</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rPr>
          <w:szCs w:val="24"/>
        </w:rPr>
      </w:pPr>
      <w:r w:rsidRPr="002F041F">
        <w:rPr>
          <w:rStyle w:val="HideTWBExt"/>
          <w:noProof w:val="0"/>
        </w:rPr>
        <w:t>&lt;/Amend&gt;</w:t>
      </w:r>
    </w:p>
    <w:p w:rsidR="00C6436A" w:rsidRPr="002F041F" w:rsidRDefault="00C6436A" w:rsidP="00C6436A"/>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120</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X</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3024"/>
        <w:gridCol w:w="602"/>
        <w:gridCol w:w="478"/>
        <w:gridCol w:w="1283"/>
        <w:gridCol w:w="582"/>
        <w:gridCol w:w="1303"/>
        <w:gridCol w:w="1788"/>
        <w:gridCol w:w="692"/>
      </w:tblGrid>
      <w:tr w:rsidR="007233AC" w:rsidRPr="002F041F" w:rsidTr="00C6436A">
        <w:trPr>
          <w:jc w:val="center"/>
        </w:trPr>
        <w:tc>
          <w:tcPr>
            <w:tcW w:w="9752" w:type="dxa"/>
            <w:gridSpan w:val="8"/>
          </w:tcPr>
          <w:p w:rsidR="00C6436A" w:rsidRPr="002F041F" w:rsidRDefault="00C6436A">
            <w:pPr>
              <w:keepNext/>
            </w:pPr>
          </w:p>
        </w:tc>
      </w:tr>
      <w:tr w:rsidR="007233AC" w:rsidRPr="002F041F" w:rsidTr="00C6436A">
        <w:trPr>
          <w:jc w:val="center"/>
        </w:trPr>
        <w:tc>
          <w:tcPr>
            <w:tcW w:w="5387" w:type="dxa"/>
            <w:gridSpan w:val="4"/>
            <w:hideMark/>
          </w:tcPr>
          <w:p w:rsidR="00C6436A" w:rsidRPr="002F041F" w:rsidRDefault="002F041F">
            <w:pPr>
              <w:pStyle w:val="ColumnHeading"/>
              <w:keepNext/>
              <w:rPr>
                <w:color w:val="70AD47" w:themeColor="accent6"/>
              </w:rPr>
            </w:pPr>
            <w:r w:rsidRPr="002F041F">
              <w:rPr>
                <w:color w:val="70AD47" w:themeColor="accent6"/>
              </w:rPr>
              <w:t>Gældende ordlyd</w:t>
            </w:r>
          </w:p>
        </w:tc>
        <w:tc>
          <w:tcPr>
            <w:tcW w:w="4365" w:type="dxa"/>
            <w:gridSpan w:val="4"/>
            <w:hideMark/>
          </w:tcPr>
          <w:p w:rsidR="00C6436A" w:rsidRPr="002F041F" w:rsidRDefault="00C6436A"/>
        </w:tc>
      </w:tr>
      <w:tr w:rsidR="007233AC" w:rsidRPr="002F041F" w:rsidTr="00C6436A">
        <w:trPr>
          <w:jc w:val="center"/>
        </w:trPr>
        <w:tc>
          <w:tcPr>
            <w:tcW w:w="5387" w:type="dxa"/>
            <w:gridSpan w:val="4"/>
            <w:hideMark/>
          </w:tcPr>
          <w:p w:rsidR="00C6436A" w:rsidRPr="002F041F" w:rsidRDefault="002F041F">
            <w:pPr>
              <w:pStyle w:val="Normal6"/>
              <w:rPr>
                <w:b/>
                <w:i/>
                <w:color w:val="70AD47" w:themeColor="accent6"/>
                <w:szCs w:val="24"/>
              </w:rPr>
            </w:pPr>
            <w:r w:rsidRPr="002F041F">
              <w:rPr>
                <w:b/>
                <w:i/>
                <w:color w:val="70AD47" w:themeColor="accent6"/>
              </w:rPr>
              <w:t>[…]</w:t>
            </w:r>
          </w:p>
        </w:tc>
        <w:tc>
          <w:tcPr>
            <w:tcW w:w="4365" w:type="dxa"/>
            <w:gridSpan w:val="4"/>
          </w:tcPr>
          <w:p w:rsidR="00C6436A" w:rsidRPr="002F041F" w:rsidRDefault="00C6436A">
            <w:pPr>
              <w:pStyle w:val="TableParagraph"/>
              <w:spacing w:before="154" w:line="252" w:lineRule="exact"/>
              <w:ind w:left="110"/>
              <w:rPr>
                <w:sz w:val="24"/>
                <w:szCs w:val="24"/>
              </w:rPr>
            </w:pPr>
          </w:p>
        </w:tc>
      </w:tr>
      <w:tr w:rsidR="007233AC" w:rsidRPr="002F041F" w:rsidTr="00C6436A">
        <w:trPr>
          <w:jc w:val="center"/>
        </w:trPr>
        <w:tc>
          <w:tcPr>
            <w:tcW w:w="5387" w:type="dxa"/>
            <w:gridSpan w:val="4"/>
            <w:hideMark/>
          </w:tcPr>
          <w:p w:rsidR="00C6436A" w:rsidRPr="002F041F" w:rsidRDefault="002F041F">
            <w:pPr>
              <w:pStyle w:val="Normal6"/>
              <w:jc w:val="center"/>
              <w:rPr>
                <w:i/>
                <w:color w:val="70AD47" w:themeColor="accent6"/>
                <w:szCs w:val="24"/>
              </w:rPr>
            </w:pPr>
            <w:r w:rsidRPr="002F041F">
              <w:rPr>
                <w:i/>
                <w:color w:val="70AD47" w:themeColor="accent6"/>
              </w:rPr>
              <w:t>Ændringsforslag</w:t>
            </w:r>
          </w:p>
        </w:tc>
        <w:tc>
          <w:tcPr>
            <w:tcW w:w="4365" w:type="dxa"/>
            <w:gridSpan w:val="4"/>
          </w:tcPr>
          <w:p w:rsidR="00C6436A" w:rsidRPr="002F041F" w:rsidRDefault="00C6436A">
            <w:pPr>
              <w:pStyle w:val="TableParagraph"/>
              <w:spacing w:before="154" w:line="252" w:lineRule="exact"/>
              <w:ind w:left="110"/>
              <w:rPr>
                <w:sz w:val="24"/>
                <w:szCs w:val="24"/>
              </w:rPr>
            </w:pPr>
          </w:p>
        </w:tc>
      </w:tr>
      <w:tr w:rsidR="007233AC" w:rsidRPr="002F041F" w:rsidTr="00C6436A">
        <w:trPr>
          <w:jc w:val="center"/>
        </w:trPr>
        <w:tc>
          <w:tcPr>
            <w:tcW w:w="9752" w:type="dxa"/>
            <w:gridSpan w:val="8"/>
            <w:hideMark/>
          </w:tcPr>
          <w:p w:rsidR="00C6436A" w:rsidRPr="002F041F" w:rsidRDefault="002F041F">
            <w:pPr>
              <w:pStyle w:val="TableParagraph"/>
              <w:spacing w:before="154" w:line="252" w:lineRule="exact"/>
              <w:ind w:left="110"/>
              <w:jc w:val="center"/>
              <w:rPr>
                <w:b/>
                <w:i/>
                <w:sz w:val="24"/>
                <w:szCs w:val="24"/>
              </w:rPr>
            </w:pPr>
            <w:r w:rsidRPr="002F041F">
              <w:rPr>
                <w:b/>
                <w:i/>
                <w:sz w:val="24"/>
              </w:rPr>
              <w:t>BILAG X</w:t>
            </w:r>
          </w:p>
        </w:tc>
      </w:tr>
      <w:tr w:rsidR="007233AC" w:rsidRPr="002F041F" w:rsidTr="00C6436A">
        <w:trPr>
          <w:jc w:val="center"/>
        </w:trPr>
        <w:tc>
          <w:tcPr>
            <w:tcW w:w="9752" w:type="dxa"/>
            <w:gridSpan w:val="8"/>
            <w:hideMark/>
          </w:tcPr>
          <w:p w:rsidR="00C6436A" w:rsidRPr="002F041F" w:rsidRDefault="002F041F">
            <w:pPr>
              <w:pStyle w:val="TableParagraph"/>
              <w:spacing w:before="154" w:after="240" w:line="252" w:lineRule="exact"/>
              <w:ind w:left="108"/>
              <w:jc w:val="center"/>
              <w:rPr>
                <w:rFonts w:cstheme="minorHAnsi"/>
                <w:b/>
                <w:i/>
                <w:sz w:val="24"/>
                <w:szCs w:val="24"/>
              </w:rPr>
            </w:pPr>
            <w:r w:rsidRPr="002F041F">
              <w:rPr>
                <w:b/>
                <w:i/>
                <w:sz w:val="24"/>
              </w:rPr>
              <w:t>Høstcertifikat for GFCM's fangstdokumentationsordning for ædelkoral</w:t>
            </w:r>
          </w:p>
        </w:tc>
      </w:tr>
      <w:tr w:rsidR="007233AC" w:rsidRPr="002F041F" w:rsidTr="00C6436A">
        <w:trPr>
          <w:gridAfter w:val="1"/>
          <w:wAfter w:w="687" w:type="dxa"/>
          <w:cantSplit/>
          <w:jc w:val="center"/>
        </w:trPr>
        <w:tc>
          <w:tcPr>
            <w:tcW w:w="9060"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jc w:val="center"/>
              <w:rPr>
                <w:rFonts w:cstheme="minorHAnsi"/>
                <w:b/>
                <w:i/>
              </w:rPr>
            </w:pPr>
            <w:r w:rsidRPr="002F041F">
              <w:rPr>
                <w:b/>
                <w:i/>
              </w:rPr>
              <w:t>HØSTCERTIFIKAT FOR GFCM'S FANGSTDOKUMENTATIONSORDNING FOR ÆDELKORAL</w:t>
            </w:r>
          </w:p>
        </w:tc>
      </w:tr>
      <w:tr w:rsidR="007233AC" w:rsidRPr="002F041F" w:rsidTr="00C6436A">
        <w:trPr>
          <w:gridAfter w:val="1"/>
          <w:wAfter w:w="687" w:type="dxa"/>
          <w:cantSplit/>
          <w:trHeight w:val="295"/>
          <w:jc w:val="center"/>
        </w:trPr>
        <w:tc>
          <w:tcPr>
            <w:tcW w:w="410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Dokumentnummer</w:t>
            </w:r>
          </w:p>
        </w:tc>
        <w:tc>
          <w:tcPr>
            <w:tcW w:w="495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Valideringsmyndighed</w:t>
            </w:r>
          </w:p>
        </w:tc>
      </w:tr>
      <w:tr w:rsidR="007233AC" w:rsidRPr="002F041F" w:rsidTr="00C6436A">
        <w:trPr>
          <w:gridAfter w:val="1"/>
          <w:wAfter w:w="687" w:type="dxa"/>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1. Navn:</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Adresse</w:t>
            </w:r>
            <w:r w:rsidRPr="002F041F">
              <w:rPr>
                <w:b/>
                <w:i/>
              </w:rPr>
              <w:t xml:space="preserve"> </w:t>
            </w:r>
          </w:p>
        </w:tc>
        <w:tc>
          <w:tcPr>
            <w:tcW w:w="309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Tlf.</w:t>
            </w:r>
          </w:p>
          <w:p w:rsidR="00C6436A" w:rsidRPr="002F041F" w:rsidRDefault="002F041F">
            <w:pPr>
              <w:rPr>
                <w:rFonts w:cstheme="minorHAnsi"/>
                <w:b/>
                <w:i/>
              </w:rPr>
            </w:pPr>
            <w:r w:rsidRPr="002F041F">
              <w:rPr>
                <w:b/>
                <w:i/>
              </w:rPr>
              <w:t>Fax</w:t>
            </w:r>
          </w:p>
        </w:tc>
      </w:tr>
      <w:tr w:rsidR="007233AC" w:rsidRPr="002F041F" w:rsidTr="00C6436A">
        <w:trPr>
          <w:gridAfter w:val="1"/>
          <w:wAfter w:w="687" w:type="dxa"/>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2. Fiskerfartøjets navn</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Flag – hjemstedshavn og registreringsnummer</w:t>
            </w: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Radiokaldesignal</w:t>
            </w:r>
          </w:p>
        </w:tc>
        <w:tc>
          <w:tcPr>
            <w:tcW w:w="17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IMO/Lloyd-nummer (hvis udstedt)</w:t>
            </w:r>
          </w:p>
        </w:tc>
      </w:tr>
      <w:tr w:rsidR="007233AC" w:rsidRPr="002F041F" w:rsidTr="00C6436A">
        <w:trPr>
          <w:gridAfter w:val="1"/>
          <w:wAfter w:w="687" w:type="dxa"/>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Fiskerilicensnummer — Gyldig indtil (dato)</w:t>
            </w:r>
          </w:p>
        </w:tc>
        <w:tc>
          <w:tcPr>
            <w:tcW w:w="543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6436A" w:rsidRPr="002F041F" w:rsidRDefault="002F041F">
            <w:pPr>
              <w:rPr>
                <w:rFonts w:cstheme="minorHAnsi"/>
                <w:b/>
                <w:i/>
              </w:rPr>
            </w:pPr>
            <w:r w:rsidRPr="002F041F">
              <w:rPr>
                <w:b/>
                <w:i/>
              </w:rPr>
              <w:t>Inmarsatnummer, faxnummer, telefonnummer og evt. e-mailadresse</w:t>
            </w:r>
          </w:p>
          <w:p w:rsidR="00C6436A" w:rsidRPr="002F041F" w:rsidRDefault="00C6436A">
            <w:pPr>
              <w:rPr>
                <w:rFonts w:cstheme="minorHAnsi"/>
                <w:b/>
                <w:i/>
              </w:rPr>
            </w:pPr>
          </w:p>
        </w:tc>
      </w:tr>
      <w:tr w:rsidR="007233AC" w:rsidRPr="002F041F" w:rsidTr="00C6436A">
        <w:trPr>
          <w:gridAfter w:val="1"/>
          <w:wAfter w:w="687" w:type="dxa"/>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Landingshavn</w:t>
            </w:r>
          </w:p>
        </w:tc>
        <w:tc>
          <w:tcPr>
            <w:tcW w:w="543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6436A" w:rsidRPr="002F041F" w:rsidRDefault="002F041F">
            <w:pPr>
              <w:rPr>
                <w:rFonts w:cstheme="minorHAnsi"/>
                <w:b/>
                <w:i/>
              </w:rPr>
            </w:pPr>
            <w:r w:rsidRPr="002F041F">
              <w:rPr>
                <w:b/>
                <w:i/>
              </w:rPr>
              <w:t xml:space="preserve">Landingsdato </w:t>
            </w:r>
          </w:p>
          <w:p w:rsidR="00C6436A" w:rsidRPr="002F041F" w:rsidRDefault="002F041F">
            <w:pPr>
              <w:rPr>
                <w:rFonts w:cstheme="minorHAnsi"/>
                <w:b/>
                <w:i/>
              </w:rPr>
            </w:pPr>
            <w:r w:rsidRPr="002F041F">
              <w:rPr>
                <w:b/>
                <w:i/>
              </w:rPr>
              <w:t>Fra ………. til ……….</w:t>
            </w:r>
          </w:p>
        </w:tc>
      </w:tr>
    </w:tbl>
    <w:p w:rsidR="00C6436A" w:rsidRPr="002F041F" w:rsidRDefault="00C6436A" w:rsidP="00C6436A">
      <w:pPr>
        <w:spacing w:after="160" w:line="254" w:lineRule="auto"/>
        <w:rPr>
          <w:b/>
          <w:i/>
          <w:color w:val="000000" w:themeColor="text1"/>
          <w:lang w:eastAsia="en-US"/>
        </w:rPr>
      </w:pPr>
    </w:p>
    <w:p w:rsidR="00C6436A" w:rsidRPr="002F041F" w:rsidRDefault="00C6436A" w:rsidP="00C6436A">
      <w:pPr>
        <w:rPr>
          <w:rFonts w:eastAsiaTheme="minorHAnsi"/>
          <w:b/>
          <w:i/>
        </w:rPr>
      </w:pPr>
    </w:p>
    <w:tbl>
      <w:tblPr>
        <w:tblW w:w="5000" w:type="pct"/>
        <w:tblLook w:val="04A0" w:firstRow="1" w:lastRow="0" w:firstColumn="1" w:lastColumn="0" w:noHBand="0" w:noVBand="1"/>
      </w:tblPr>
      <w:tblGrid>
        <w:gridCol w:w="888"/>
        <w:gridCol w:w="890"/>
        <w:gridCol w:w="433"/>
        <w:gridCol w:w="1343"/>
        <w:gridCol w:w="512"/>
        <w:gridCol w:w="456"/>
        <w:gridCol w:w="968"/>
        <w:gridCol w:w="1341"/>
        <w:gridCol w:w="437"/>
        <w:gridCol w:w="1792"/>
      </w:tblGrid>
      <w:tr w:rsidR="007233AC" w:rsidRPr="002F041F" w:rsidTr="00C6436A">
        <w:trPr>
          <w:cantSplit/>
        </w:trPr>
        <w:tc>
          <w:tcPr>
            <w:tcW w:w="5000" w:type="pct"/>
            <w:gridSpan w:val="10"/>
            <w:tcBorders>
              <w:top w:val="single" w:sz="4" w:space="0" w:color="auto"/>
              <w:left w:val="single" w:sz="4" w:space="0" w:color="auto"/>
              <w:bottom w:val="single" w:sz="4" w:space="0" w:color="auto"/>
              <w:right w:val="single" w:sz="4" w:space="0" w:color="auto"/>
            </w:tcBorders>
          </w:tcPr>
          <w:p w:rsidR="00C6436A" w:rsidRPr="002F041F" w:rsidRDefault="002F041F">
            <w:pPr>
              <w:rPr>
                <w:rFonts w:cstheme="minorHAnsi"/>
                <w:b/>
                <w:i/>
              </w:rPr>
            </w:pPr>
            <w:r w:rsidRPr="002F041F">
              <w:rPr>
                <w:b/>
                <w:i/>
              </w:rPr>
              <w:t>3. Varebeskrivelse</w:t>
            </w:r>
          </w:p>
          <w:p w:rsidR="00C6436A" w:rsidRPr="002F041F" w:rsidRDefault="00C6436A">
            <w:pPr>
              <w:rPr>
                <w:rFonts w:cstheme="minorHAnsi"/>
                <w:b/>
                <w:i/>
              </w:rPr>
            </w:pPr>
          </w:p>
        </w:tc>
      </w:tr>
      <w:tr w:rsidR="007233AC" w:rsidRPr="002F041F" w:rsidTr="00C6436A">
        <w:trPr>
          <w:cantSplit/>
        </w:trPr>
        <w:tc>
          <w:tcPr>
            <w:tcW w:w="1001"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Høstzone</w:t>
            </w:r>
          </w:p>
        </w:tc>
        <w:tc>
          <w:tcPr>
            <w:tcW w:w="1000"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Høstdato</w:t>
            </w:r>
          </w:p>
        </w:tc>
        <w:tc>
          <w:tcPr>
            <w:tcW w:w="999" w:type="pct"/>
            <w:gridSpan w:val="3"/>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Nettoeksportvægt (kg)</w:t>
            </w:r>
          </w:p>
        </w:tc>
        <w:tc>
          <w:tcPr>
            <w:tcW w:w="1001"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Tilsvarende levende vægt (kg)</w:t>
            </w:r>
          </w:p>
        </w:tc>
        <w:tc>
          <w:tcPr>
            <w:tcW w:w="999"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Tilsvarende landet vægt (kg)</w:t>
            </w:r>
          </w:p>
        </w:tc>
      </w:tr>
      <w:tr w:rsidR="007233AC" w:rsidRPr="002F041F"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A.</w:t>
            </w:r>
          </w:p>
        </w:tc>
        <w:tc>
          <w:tcPr>
            <w:tcW w:w="501" w:type="pct"/>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999" w:type="pct"/>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r>
      <w:tr w:rsidR="007233AC" w:rsidRPr="002F041F"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B.</w:t>
            </w:r>
          </w:p>
        </w:tc>
        <w:tc>
          <w:tcPr>
            <w:tcW w:w="501" w:type="pct"/>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999" w:type="pct"/>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r>
      <w:tr w:rsidR="007233AC" w:rsidRPr="002F041F"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C.</w:t>
            </w:r>
          </w:p>
        </w:tc>
        <w:tc>
          <w:tcPr>
            <w:tcW w:w="501" w:type="pct"/>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999" w:type="pct"/>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r>
      <w:tr w:rsidR="007233AC" w:rsidRPr="002F041F"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D.</w:t>
            </w:r>
          </w:p>
        </w:tc>
        <w:tc>
          <w:tcPr>
            <w:tcW w:w="501" w:type="pct"/>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999" w:type="pct"/>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r>
      <w:tr w:rsidR="007233AC" w:rsidRPr="002F041F" w:rsidTr="00C6436A">
        <w:trPr>
          <w:cantSplit/>
        </w:trPr>
        <w:tc>
          <w:tcPr>
            <w:tcW w:w="50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E.</w:t>
            </w:r>
          </w:p>
        </w:tc>
        <w:tc>
          <w:tcPr>
            <w:tcW w:w="501" w:type="pct"/>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1000" w:type="pct"/>
            <w:gridSpan w:val="2"/>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999" w:type="pct"/>
            <w:gridSpan w:val="3"/>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1001" w:type="pct"/>
            <w:gridSpan w:val="2"/>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c>
          <w:tcPr>
            <w:tcW w:w="999" w:type="pct"/>
            <w:tcBorders>
              <w:top w:val="single" w:sz="4" w:space="0" w:color="auto"/>
              <w:left w:val="single" w:sz="4" w:space="0" w:color="auto"/>
              <w:bottom w:val="single" w:sz="4" w:space="0" w:color="auto"/>
              <w:right w:val="single" w:sz="4" w:space="0" w:color="auto"/>
            </w:tcBorders>
          </w:tcPr>
          <w:p w:rsidR="00C6436A" w:rsidRPr="002F041F" w:rsidRDefault="00C6436A">
            <w:pPr>
              <w:rPr>
                <w:rFonts w:cstheme="minorHAnsi"/>
                <w:b/>
                <w:i/>
              </w:rPr>
            </w:pPr>
          </w:p>
        </w:tc>
      </w:tr>
      <w:tr w:rsidR="007233AC" w:rsidRPr="002F041F" w:rsidTr="00C6436A">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 xml:space="preserve">4. Navn på fiskerfartøjets fører – </w:t>
            </w:r>
            <w:r w:rsidRPr="002F041F">
              <w:rPr>
                <w:b/>
                <w:i/>
              </w:rPr>
              <w:t xml:space="preserve">Underskrift:……………………….. Stempel: </w:t>
            </w:r>
          </w:p>
        </w:tc>
      </w:tr>
      <w:tr w:rsidR="007233AC" w:rsidRPr="002F041F" w:rsidTr="00C6436A">
        <w:trPr>
          <w:cantSplit/>
        </w:trPr>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5. Eksportørens navn og adresse, hvis relevant</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Underskrift</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 xml:space="preserve">Dato </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Stempel</w:t>
            </w:r>
          </w:p>
        </w:tc>
      </w:tr>
      <w:tr w:rsidR="007233AC" w:rsidRPr="002F041F" w:rsidTr="00C6436A">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6. Flagstatsmyndighedens validering:</w:t>
            </w:r>
          </w:p>
        </w:tc>
      </w:tr>
      <w:tr w:rsidR="007233AC" w:rsidRPr="002F041F" w:rsidTr="00C6436A">
        <w:trPr>
          <w:cantSplit/>
        </w:trPr>
        <w:tc>
          <w:tcPr>
            <w:tcW w:w="1250" w:type="pct"/>
            <w:gridSpan w:val="3"/>
            <w:tcBorders>
              <w:top w:val="single" w:sz="4" w:space="0" w:color="auto"/>
              <w:left w:val="single" w:sz="4" w:space="0" w:color="auto"/>
              <w:bottom w:val="single" w:sz="4" w:space="0" w:color="auto"/>
              <w:right w:val="single" w:sz="4" w:space="0" w:color="auto"/>
            </w:tcBorders>
          </w:tcPr>
          <w:p w:rsidR="00C6436A" w:rsidRPr="002F041F" w:rsidRDefault="002F041F">
            <w:pPr>
              <w:rPr>
                <w:rFonts w:cstheme="minorHAnsi"/>
                <w:b/>
                <w:i/>
              </w:rPr>
            </w:pPr>
            <w:r w:rsidRPr="002F041F">
              <w:rPr>
                <w:b/>
                <w:i/>
              </w:rPr>
              <w:t>Navn/titel</w:t>
            </w:r>
          </w:p>
          <w:p w:rsidR="00C6436A" w:rsidRPr="002F041F" w:rsidRDefault="00C6436A">
            <w:pPr>
              <w:rPr>
                <w:rFonts w:cstheme="minorHAnsi"/>
                <w:b/>
                <w:i/>
              </w:rPr>
            </w:pP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Underskrift</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 xml:space="preserve">Dato </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Stempel</w:t>
            </w:r>
          </w:p>
        </w:tc>
      </w:tr>
      <w:tr w:rsidR="007233AC" w:rsidRPr="002F041F" w:rsidTr="00C6436A">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7. Transportoplysninger, hvis relevant</w:t>
            </w:r>
          </w:p>
        </w:tc>
      </w:tr>
      <w:tr w:rsidR="007233AC" w:rsidRPr="002F041F" w:rsidTr="00C6436A">
        <w:trPr>
          <w:cantSplit/>
        </w:trPr>
        <w:tc>
          <w:tcPr>
            <w:tcW w:w="2265" w:type="pct"/>
            <w:gridSpan w:val="5"/>
            <w:tcBorders>
              <w:top w:val="single" w:sz="4" w:space="0" w:color="auto"/>
              <w:left w:val="single" w:sz="4" w:space="0" w:color="auto"/>
              <w:bottom w:val="single" w:sz="4" w:space="0" w:color="auto"/>
              <w:right w:val="single" w:sz="4" w:space="0" w:color="auto"/>
            </w:tcBorders>
          </w:tcPr>
          <w:p w:rsidR="00C6436A" w:rsidRPr="002F041F" w:rsidRDefault="002F041F">
            <w:pPr>
              <w:rPr>
                <w:rFonts w:cstheme="minorHAnsi"/>
                <w:b/>
                <w:i/>
              </w:rPr>
            </w:pPr>
            <w:r w:rsidRPr="002F041F">
              <w:rPr>
                <w:b/>
                <w:i/>
              </w:rPr>
              <w:t xml:space="preserve">Eksportland/-havn/-lufthavn, </w:t>
            </w:r>
            <w:r w:rsidRPr="002F041F">
              <w:rPr>
                <w:b/>
                <w:i/>
              </w:rPr>
              <w:t>andet</w:t>
            </w:r>
          </w:p>
          <w:p w:rsidR="00C6436A" w:rsidRPr="002F041F" w:rsidRDefault="002F041F">
            <w:pPr>
              <w:rPr>
                <w:rFonts w:cstheme="minorHAnsi"/>
                <w:b/>
                <w:i/>
              </w:rPr>
            </w:pPr>
            <w:r w:rsidRPr="002F041F">
              <w:rPr>
                <w:b/>
                <w:i/>
              </w:rPr>
              <w:t>Afrejsested</w:t>
            </w:r>
          </w:p>
          <w:p w:rsidR="00C6436A" w:rsidRPr="002F041F" w:rsidRDefault="00C6436A">
            <w:pPr>
              <w:rPr>
                <w:rFonts w:cstheme="minorHAnsi"/>
                <w:b/>
                <w:i/>
              </w:rPr>
            </w:pPr>
          </w:p>
          <w:p w:rsidR="00C6436A" w:rsidRPr="002F041F" w:rsidRDefault="00C6436A">
            <w:pPr>
              <w:rPr>
                <w:rFonts w:cstheme="minorHAnsi"/>
                <w:b/>
                <w:i/>
              </w:rPr>
            </w:pPr>
          </w:p>
        </w:tc>
        <w:tc>
          <w:tcPr>
            <w:tcW w:w="2735" w:type="pct"/>
            <w:gridSpan w:val="5"/>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 xml:space="preserve">Transportidentifikatorer (skib, fly, lastbil, </w:t>
            </w:r>
          </w:p>
          <w:p w:rsidR="00C6436A" w:rsidRPr="002F041F" w:rsidRDefault="002F041F">
            <w:pPr>
              <w:rPr>
                <w:rFonts w:cstheme="minorHAnsi"/>
                <w:b/>
                <w:i/>
              </w:rPr>
            </w:pPr>
            <w:r w:rsidRPr="002F041F">
              <w:rPr>
                <w:b/>
                <w:i/>
              </w:rPr>
              <w:t>osv.)</w:t>
            </w:r>
          </w:p>
        </w:tc>
      </w:tr>
    </w:tbl>
    <w:p w:rsidR="00C6436A" w:rsidRPr="002F041F" w:rsidRDefault="00C6436A" w:rsidP="00C6436A">
      <w:pPr>
        <w:rPr>
          <w:b/>
          <w:i/>
          <w:lang w:eastAsia="en-US"/>
        </w:rPr>
      </w:pPr>
    </w:p>
    <w:tbl>
      <w:tblPr>
        <w:tblW w:w="5000" w:type="pct"/>
        <w:tblLook w:val="04A0" w:firstRow="1" w:lastRow="0" w:firstColumn="1" w:lastColumn="0" w:noHBand="0" w:noVBand="1"/>
      </w:tblPr>
      <w:tblGrid>
        <w:gridCol w:w="1814"/>
        <w:gridCol w:w="1812"/>
        <w:gridCol w:w="1810"/>
        <w:gridCol w:w="1814"/>
        <w:gridCol w:w="1810"/>
      </w:tblGrid>
      <w:tr w:rsidR="007233AC" w:rsidRPr="002F041F" w:rsidTr="00C6436A">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8. Indførselsanmeldelse, hvis relevant</w:t>
            </w:r>
          </w:p>
        </w:tc>
      </w:tr>
      <w:tr w:rsidR="007233AC" w:rsidRPr="002F041F" w:rsidTr="00C6436A">
        <w:trPr>
          <w:cantSplit/>
        </w:trPr>
        <w:tc>
          <w:tcPr>
            <w:tcW w:w="1001" w:type="pct"/>
            <w:tcBorders>
              <w:top w:val="single" w:sz="4" w:space="0" w:color="auto"/>
              <w:left w:val="single" w:sz="4" w:space="0" w:color="auto"/>
              <w:bottom w:val="single" w:sz="4" w:space="0" w:color="auto"/>
              <w:right w:val="single" w:sz="4" w:space="0" w:color="auto"/>
            </w:tcBorders>
          </w:tcPr>
          <w:p w:rsidR="00C6436A" w:rsidRPr="002F041F" w:rsidRDefault="002F041F">
            <w:pPr>
              <w:rPr>
                <w:rFonts w:cstheme="minorHAnsi"/>
                <w:b/>
                <w:i/>
              </w:rPr>
            </w:pPr>
            <w:r w:rsidRPr="002F041F">
              <w:rPr>
                <w:b/>
                <w:i/>
              </w:rPr>
              <w:lastRenderedPageBreak/>
              <w:t>Importørens navn og adresse</w:t>
            </w:r>
          </w:p>
          <w:p w:rsidR="00C6436A" w:rsidRPr="002F041F" w:rsidRDefault="00C6436A">
            <w:pPr>
              <w:rPr>
                <w:rFonts w:cstheme="minorHAnsi"/>
                <w:b/>
                <w:i/>
              </w:rPr>
            </w:pPr>
          </w:p>
        </w:tc>
        <w:tc>
          <w:tcPr>
            <w:tcW w:w="100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Underskrift</w:t>
            </w:r>
          </w:p>
        </w:tc>
        <w:tc>
          <w:tcPr>
            <w:tcW w:w="999"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Dato</w:t>
            </w:r>
          </w:p>
        </w:tc>
        <w:tc>
          <w:tcPr>
            <w:tcW w:w="1001"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Stempel</w:t>
            </w:r>
          </w:p>
        </w:tc>
        <w:tc>
          <w:tcPr>
            <w:tcW w:w="999"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Varens KN-kode</w:t>
            </w:r>
          </w:p>
        </w:tc>
      </w:tr>
      <w:tr w:rsidR="007233AC" w:rsidRPr="002F041F" w:rsidTr="00C6436A">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 Afkryds relevante felt</w:t>
            </w:r>
          </w:p>
        </w:tc>
      </w:tr>
    </w:tbl>
    <w:p w:rsidR="00C6436A" w:rsidRPr="002F041F" w:rsidRDefault="00C6436A" w:rsidP="00C6436A">
      <w:pPr>
        <w:rPr>
          <w:rFonts w:cstheme="minorHAnsi"/>
          <w:b/>
          <w:i/>
          <w:lang w:eastAsia="en-US"/>
        </w:rPr>
      </w:pPr>
    </w:p>
    <w:tbl>
      <w:tblPr>
        <w:tblW w:w="5000" w:type="pct"/>
        <w:tblLook w:val="04A0" w:firstRow="1" w:lastRow="0" w:firstColumn="1" w:lastColumn="0" w:noHBand="0" w:noVBand="1"/>
      </w:tblPr>
      <w:tblGrid>
        <w:gridCol w:w="2133"/>
        <w:gridCol w:w="627"/>
        <w:gridCol w:w="1374"/>
        <w:gridCol w:w="1307"/>
        <w:gridCol w:w="47"/>
        <w:gridCol w:w="515"/>
        <w:gridCol w:w="3057"/>
      </w:tblGrid>
      <w:tr w:rsidR="007233AC" w:rsidRPr="002F041F" w:rsidTr="00C6436A">
        <w:trPr>
          <w:cantSplit/>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REEKSPORT-ATTEST, hvis relevant</w:t>
            </w:r>
          </w:p>
        </w:tc>
      </w:tr>
      <w:tr w:rsidR="007233AC" w:rsidRPr="002F041F" w:rsidTr="00C6436A">
        <w:trPr>
          <w:cantSplit/>
          <w:trHeight w:val="295"/>
        </w:trPr>
        <w:tc>
          <w:tcPr>
            <w:tcW w:w="1669"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Attestnummer</w:t>
            </w:r>
          </w:p>
        </w:tc>
        <w:tc>
          <w:tcPr>
            <w:tcW w:w="1625"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Dato</w:t>
            </w:r>
          </w:p>
        </w:tc>
        <w:tc>
          <w:tcPr>
            <w:tcW w:w="1706" w:type="pct"/>
            <w:gridSpan w:val="3"/>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Medlemsstat</w:t>
            </w:r>
          </w:p>
        </w:tc>
      </w:tr>
      <w:tr w:rsidR="007233AC" w:rsidRPr="002F041F" w:rsidTr="00C6436A">
        <w:trPr>
          <w:cantSplit/>
          <w:trHeight w:val="295"/>
        </w:trPr>
        <w:tc>
          <w:tcPr>
            <w:tcW w:w="2500" w:type="pct"/>
            <w:gridSpan w:val="3"/>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1. Beskrivelse af den reeksporterede vare</w:t>
            </w:r>
          </w:p>
        </w:tc>
        <w:tc>
          <w:tcPr>
            <w:tcW w:w="2500" w:type="pct"/>
            <w:gridSpan w:val="4"/>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Vægt (kg)</w:t>
            </w:r>
          </w:p>
        </w:tc>
      </w:tr>
      <w:tr w:rsidR="007233AC" w:rsidRPr="002F041F" w:rsidTr="00C6436A">
        <w:trPr>
          <w:cantSplit/>
          <w:trHeight w:val="295"/>
        </w:trPr>
        <w:tc>
          <w:tcPr>
            <w:tcW w:w="1669"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Arter</w:t>
            </w:r>
          </w:p>
        </w:tc>
        <w:tc>
          <w:tcPr>
            <w:tcW w:w="1667" w:type="pct"/>
            <w:gridSpan w:val="3"/>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Varekode</w:t>
            </w:r>
          </w:p>
        </w:tc>
        <w:tc>
          <w:tcPr>
            <w:tcW w:w="1664" w:type="pct"/>
            <w:gridSpan w:val="2"/>
            <w:tcBorders>
              <w:top w:val="single" w:sz="4" w:space="0" w:color="auto"/>
              <w:left w:val="single" w:sz="4" w:space="0" w:color="auto"/>
              <w:bottom w:val="single" w:sz="4" w:space="0" w:color="auto"/>
              <w:right w:val="single" w:sz="4" w:space="0" w:color="auto"/>
            </w:tcBorders>
          </w:tcPr>
          <w:p w:rsidR="00C6436A" w:rsidRPr="002F041F" w:rsidRDefault="002F041F">
            <w:pPr>
              <w:rPr>
                <w:rFonts w:cstheme="minorHAnsi"/>
                <w:b/>
                <w:i/>
              </w:rPr>
            </w:pPr>
            <w:r w:rsidRPr="002F041F">
              <w:rPr>
                <w:b/>
                <w:i/>
              </w:rPr>
              <w:t>Forskel fra den samlede mængde angivet på høstcertifikatet</w:t>
            </w:r>
          </w:p>
          <w:p w:rsidR="00C6436A" w:rsidRPr="002F041F" w:rsidRDefault="00C6436A">
            <w:pPr>
              <w:rPr>
                <w:rFonts w:cstheme="minorHAnsi"/>
                <w:b/>
                <w:i/>
              </w:rPr>
            </w:pPr>
          </w:p>
        </w:tc>
      </w:tr>
      <w:tr w:rsidR="007233AC" w:rsidRPr="002F041F" w:rsidTr="00C6436A">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2. Reeksportørens navn</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Adresse</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Underskrift</w:t>
            </w:r>
          </w:p>
        </w:tc>
        <w:tc>
          <w:tcPr>
            <w:tcW w:w="125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Dato</w:t>
            </w:r>
          </w:p>
        </w:tc>
      </w:tr>
      <w:tr w:rsidR="007233AC" w:rsidRPr="002F041F" w:rsidTr="00C6436A">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3. Myndighed</w:t>
            </w:r>
          </w:p>
        </w:tc>
      </w:tr>
      <w:tr w:rsidR="007233AC" w:rsidRPr="002F041F" w:rsidTr="00C6436A">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Navn/titel</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Underskrift</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Dato</w:t>
            </w:r>
          </w:p>
        </w:tc>
        <w:tc>
          <w:tcPr>
            <w:tcW w:w="125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Stempel</w:t>
            </w:r>
          </w:p>
        </w:tc>
      </w:tr>
      <w:tr w:rsidR="007233AC" w:rsidRPr="002F041F" w:rsidTr="00C6436A">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4. Reeksportkontrol</w:t>
            </w:r>
          </w:p>
        </w:tc>
      </w:tr>
      <w:tr w:rsidR="007233AC" w:rsidRPr="002F041F" w:rsidTr="00C6436A">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Sted</w:t>
            </w:r>
          </w:p>
        </w:tc>
        <w:tc>
          <w:tcPr>
            <w:tcW w:w="1250" w:type="pct"/>
            <w:gridSpan w:val="2"/>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Reeksport godkendt (*)</w:t>
            </w:r>
          </w:p>
        </w:tc>
        <w:tc>
          <w:tcPr>
            <w:tcW w:w="1250" w:type="pct"/>
            <w:gridSpan w:val="3"/>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Anmodning om verifikation (*)</w:t>
            </w:r>
          </w:p>
        </w:tc>
        <w:tc>
          <w:tcPr>
            <w:tcW w:w="1250" w:type="pct"/>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Reeksportangivelsesnummer og -dato</w:t>
            </w:r>
          </w:p>
        </w:tc>
      </w:tr>
      <w:tr w:rsidR="007233AC" w:rsidRPr="002F041F" w:rsidTr="00C6436A">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6436A" w:rsidRPr="002F041F" w:rsidRDefault="002F041F">
            <w:pPr>
              <w:rPr>
                <w:rFonts w:cstheme="minorHAnsi"/>
                <w:b/>
                <w:i/>
              </w:rPr>
            </w:pPr>
            <w:r w:rsidRPr="002F041F">
              <w:rPr>
                <w:b/>
                <w:i/>
              </w:rPr>
              <w:t>(*) Afkryds relevante felt</w:t>
            </w:r>
          </w:p>
        </w:tc>
      </w:tr>
    </w:tbl>
    <w:p w:rsidR="00C6436A" w:rsidRPr="002F041F" w:rsidRDefault="00C6436A" w:rsidP="00C6436A">
      <w:pPr>
        <w:rPr>
          <w:rFonts w:cstheme="minorHAnsi"/>
          <w:b/>
          <w:i/>
          <w:lang w:eastAsia="en-US"/>
        </w:rPr>
      </w:pPr>
    </w:p>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4B7199">
      <w:pPr>
        <w:pStyle w:val="Normal12Italic"/>
        <w:jc w:val="center"/>
        <w:rPr>
          <w:noProof w:val="0"/>
        </w:rPr>
      </w:pPr>
      <w:r w:rsidRPr="002F041F">
        <w:rPr>
          <w:noProof w:val="0"/>
        </w:rPr>
        <w:t>(https://eur-lex.europa.eu/legal-content/DA/TXT/?uri=CELEX:32023R2124)</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121</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1</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XI – litra A</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5387" w:type="dxa"/>
            <w:hideMark/>
          </w:tcPr>
          <w:p w:rsidR="00C6436A" w:rsidRPr="002F041F" w:rsidRDefault="002F041F">
            <w:pPr>
              <w:pStyle w:val="ColumnHeading"/>
              <w:keepNext/>
              <w:rPr>
                <w:color w:val="70AD47" w:themeColor="accent6"/>
              </w:rPr>
            </w:pPr>
            <w:r w:rsidRPr="002F041F">
              <w:rPr>
                <w:color w:val="70AD47" w:themeColor="accent6"/>
              </w:rPr>
              <w:t>Kommissionens forslag</w:t>
            </w:r>
          </w:p>
        </w:tc>
        <w:tc>
          <w:tcPr>
            <w:tcW w:w="4365" w:type="dxa"/>
            <w:hideMark/>
          </w:tcPr>
          <w:p w:rsidR="00C6436A" w:rsidRPr="002F041F" w:rsidRDefault="00C6436A"/>
        </w:tc>
      </w:tr>
      <w:tr w:rsidR="007233AC" w:rsidRPr="002F041F" w:rsidTr="00C6436A">
        <w:trPr>
          <w:jc w:val="center"/>
        </w:trPr>
        <w:tc>
          <w:tcPr>
            <w:tcW w:w="9752" w:type="dxa"/>
            <w:gridSpan w:val="2"/>
            <w:hideMark/>
          </w:tcPr>
          <w:p w:rsidR="00C6436A" w:rsidRPr="002F041F" w:rsidRDefault="002F041F">
            <w:pPr>
              <w:pStyle w:val="TableParagraph"/>
              <w:spacing w:before="154" w:line="252" w:lineRule="exact"/>
              <w:ind w:left="110"/>
              <w:rPr>
                <w:color w:val="70AD47" w:themeColor="accent6"/>
                <w:sz w:val="24"/>
                <w:szCs w:val="24"/>
              </w:rPr>
            </w:pPr>
            <w:r w:rsidRPr="002F041F">
              <w:rPr>
                <w:color w:val="70AD47" w:themeColor="accent6"/>
                <w:sz w:val="24"/>
              </w:rPr>
              <w:t>A.</w:t>
            </w:r>
            <w:r w:rsidRPr="002F041F">
              <w:rPr>
                <w:color w:val="70AD47" w:themeColor="accent6"/>
                <w:sz w:val="24"/>
              </w:rPr>
              <w:tab/>
            </w:r>
            <w:r w:rsidRPr="002F041F">
              <w:rPr>
                <w:color w:val="70AD47" w:themeColor="accent6"/>
                <w:sz w:val="24"/>
              </w:rPr>
              <w:t>Område med fiskeribegrænsninger i Lionbugten</w:t>
            </w:r>
          </w:p>
        </w:tc>
      </w:tr>
      <w:tr w:rsidR="007233AC" w:rsidRPr="002F041F" w:rsidTr="00C6436A">
        <w:trPr>
          <w:jc w:val="center"/>
        </w:trPr>
        <w:tc>
          <w:tcPr>
            <w:tcW w:w="9752" w:type="dxa"/>
            <w:gridSpan w:val="2"/>
            <w:hideMark/>
          </w:tcPr>
          <w:p w:rsidR="00C6436A" w:rsidRPr="002F041F" w:rsidRDefault="002F041F">
            <w:pPr>
              <w:pStyle w:val="TableParagraph"/>
              <w:spacing w:before="154" w:line="252" w:lineRule="exact"/>
              <w:ind w:left="110"/>
              <w:rPr>
                <w:color w:val="70AD47" w:themeColor="accent6"/>
                <w:sz w:val="24"/>
                <w:szCs w:val="24"/>
              </w:rPr>
            </w:pPr>
            <w:r w:rsidRPr="002F041F">
              <w:rPr>
                <w:b/>
                <w:i/>
                <w:color w:val="70AD47" w:themeColor="accent6"/>
                <w:sz w:val="24"/>
              </w:rPr>
              <w:t>Et område med fiskeribegrænsninger i den østlige del af Lionbugten, der afgrænses af linjer, som forbinder følgende respektive geografiske koordinater:</w:t>
            </w:r>
          </w:p>
        </w:tc>
      </w:tr>
      <w:tr w:rsidR="007233AC" w:rsidRPr="002F041F" w:rsidTr="00C6436A">
        <w:trPr>
          <w:jc w:val="center"/>
        </w:trPr>
        <w:tc>
          <w:tcPr>
            <w:tcW w:w="9752" w:type="dxa"/>
            <w:gridSpan w:val="2"/>
            <w:hideMark/>
          </w:tcPr>
          <w:p w:rsidR="00C6436A" w:rsidRPr="002F041F" w:rsidRDefault="002F041F">
            <w:pPr>
              <w:pStyle w:val="Normal6"/>
              <w:rPr>
                <w:color w:val="70AD47" w:themeColor="accent6"/>
              </w:rPr>
            </w:pPr>
            <w:r w:rsidRPr="002F041F">
              <w:rPr>
                <w:b/>
                <w:i/>
                <w:color w:val="70AD47" w:themeColor="accent6"/>
              </w:rPr>
              <w:t>Zone (1):</w:t>
            </w:r>
          </w:p>
        </w:tc>
      </w:tr>
      <w:tr w:rsidR="007233AC" w:rsidRPr="002F041F" w:rsidTr="00C6436A">
        <w:trPr>
          <w:jc w:val="center"/>
        </w:trPr>
        <w:tc>
          <w:tcPr>
            <w:tcW w:w="9752" w:type="dxa"/>
            <w:gridSpan w:val="2"/>
            <w:hideMark/>
          </w:tcPr>
          <w:p w:rsidR="00C6436A" w:rsidRPr="002F041F" w:rsidRDefault="002F041F">
            <w:pPr>
              <w:pStyle w:val="Normal6"/>
              <w:rPr>
                <w:color w:val="70AD47" w:themeColor="accent6"/>
              </w:rPr>
            </w:pPr>
            <w:r w:rsidRPr="002F041F">
              <w:rPr>
                <w:b/>
                <w:i/>
                <w:color w:val="70AD47" w:themeColor="accent6"/>
              </w:rPr>
              <w:t>—</w:t>
            </w:r>
            <w:r w:rsidRPr="002F041F">
              <w:rPr>
                <w:b/>
                <w:i/>
                <w:color w:val="70AD47" w:themeColor="accent6"/>
              </w:rPr>
              <w:tab/>
              <w:t>43°00'N, 4°49,35'Ø</w:t>
            </w:r>
          </w:p>
        </w:tc>
      </w:tr>
      <w:tr w:rsidR="007233AC" w:rsidRPr="002F041F" w:rsidTr="00C6436A">
        <w:trPr>
          <w:jc w:val="center"/>
        </w:trPr>
        <w:tc>
          <w:tcPr>
            <w:tcW w:w="9752" w:type="dxa"/>
            <w:gridSpan w:val="2"/>
            <w:hideMark/>
          </w:tcPr>
          <w:p w:rsidR="00C6436A" w:rsidRPr="002F041F" w:rsidRDefault="002F041F">
            <w:pPr>
              <w:pStyle w:val="Normal6"/>
              <w:rPr>
                <w:color w:val="70AD47" w:themeColor="accent6"/>
              </w:rPr>
            </w:pPr>
            <w:r w:rsidRPr="002F041F">
              <w:rPr>
                <w:b/>
                <w:i/>
                <w:color w:val="70AD47" w:themeColor="accent6"/>
              </w:rPr>
              <w:t>—</w:t>
            </w:r>
            <w:r w:rsidRPr="002F041F">
              <w:rPr>
                <w:b/>
                <w:i/>
                <w:color w:val="70AD47" w:themeColor="accent6"/>
              </w:rPr>
              <w:tab/>
              <w:t>43°00'N, 4°53,7'Ø</w:t>
            </w:r>
          </w:p>
        </w:tc>
      </w:tr>
      <w:tr w:rsidR="007233AC" w:rsidRPr="002F041F" w:rsidTr="00C6436A">
        <w:trPr>
          <w:jc w:val="center"/>
        </w:trPr>
        <w:tc>
          <w:tcPr>
            <w:tcW w:w="9752" w:type="dxa"/>
            <w:gridSpan w:val="2"/>
            <w:hideMark/>
          </w:tcPr>
          <w:p w:rsidR="00C6436A" w:rsidRPr="002F041F" w:rsidRDefault="002F041F">
            <w:pPr>
              <w:pStyle w:val="Normal6"/>
              <w:rPr>
                <w:color w:val="70AD47" w:themeColor="accent6"/>
              </w:rPr>
            </w:pPr>
            <w:r w:rsidRPr="002F041F">
              <w:rPr>
                <w:b/>
                <w:i/>
                <w:color w:val="70AD47" w:themeColor="accent6"/>
              </w:rPr>
              <w:t>—</w:t>
            </w:r>
            <w:r w:rsidRPr="002F041F">
              <w:rPr>
                <w:b/>
                <w:i/>
                <w:color w:val="70AD47" w:themeColor="accent6"/>
              </w:rPr>
              <w:tab/>
            </w:r>
            <w:r w:rsidRPr="002F041F">
              <w:rPr>
                <w:b/>
                <w:i/>
                <w:color w:val="70AD47" w:themeColor="accent6"/>
              </w:rPr>
              <w:t>42°55,896'N, 4°53,7'Ø</w:t>
            </w:r>
          </w:p>
        </w:tc>
      </w:tr>
      <w:tr w:rsidR="007233AC" w:rsidRPr="002F041F" w:rsidTr="00C6436A">
        <w:trPr>
          <w:jc w:val="center"/>
        </w:trPr>
        <w:tc>
          <w:tcPr>
            <w:tcW w:w="9752" w:type="dxa"/>
            <w:gridSpan w:val="2"/>
            <w:hideMark/>
          </w:tcPr>
          <w:p w:rsidR="00C6436A" w:rsidRPr="002F041F" w:rsidRDefault="002F041F">
            <w:pPr>
              <w:pStyle w:val="Normal6"/>
              <w:rPr>
                <w:color w:val="70AD47" w:themeColor="accent6"/>
              </w:rPr>
            </w:pPr>
            <w:r w:rsidRPr="002F041F">
              <w:rPr>
                <w:b/>
                <w:i/>
                <w:color w:val="70AD47" w:themeColor="accent6"/>
              </w:rPr>
              <w:t>—</w:t>
            </w:r>
            <w:r w:rsidRPr="002F041F">
              <w:rPr>
                <w:b/>
                <w:i/>
                <w:color w:val="70AD47" w:themeColor="accent6"/>
              </w:rPr>
              <w:tab/>
              <w:t>42°55,896'N,</w:t>
            </w:r>
            <w:r w:rsidR="0065437A" w:rsidRPr="002F041F">
              <w:rPr>
                <w:b/>
                <w:i/>
                <w:color w:val="70AD47" w:themeColor="accent6"/>
              </w:rPr>
              <w:t xml:space="preserve"> </w:t>
            </w:r>
            <w:r w:rsidRPr="002F041F">
              <w:rPr>
                <w:b/>
                <w:i/>
                <w:color w:val="70AD47" w:themeColor="accent6"/>
              </w:rPr>
              <w:t>4°49,35'Ø</w:t>
            </w:r>
          </w:p>
        </w:tc>
      </w:tr>
      <w:tr w:rsidR="007233AC" w:rsidRPr="002F041F" w:rsidTr="00C6436A">
        <w:trPr>
          <w:jc w:val="center"/>
        </w:trPr>
        <w:tc>
          <w:tcPr>
            <w:tcW w:w="9752" w:type="dxa"/>
            <w:gridSpan w:val="2"/>
            <w:hideMark/>
          </w:tcPr>
          <w:p w:rsidR="00C6436A" w:rsidRPr="002F041F" w:rsidRDefault="002F041F">
            <w:pPr>
              <w:pStyle w:val="Normal6"/>
              <w:rPr>
                <w:color w:val="70AD47" w:themeColor="accent6"/>
              </w:rPr>
            </w:pPr>
            <w:r w:rsidRPr="002F041F">
              <w:rPr>
                <w:b/>
                <w:i/>
                <w:color w:val="70AD47" w:themeColor="accent6"/>
              </w:rPr>
              <w:t>Zone (2):</w:t>
            </w:r>
          </w:p>
        </w:tc>
      </w:tr>
      <w:tr w:rsidR="007233AC" w:rsidRPr="002F041F" w:rsidTr="00C6436A">
        <w:trPr>
          <w:jc w:val="center"/>
        </w:trPr>
        <w:tc>
          <w:tcPr>
            <w:tcW w:w="9752" w:type="dxa"/>
            <w:gridSpan w:val="2"/>
            <w:hideMark/>
          </w:tcPr>
          <w:p w:rsidR="00C6436A" w:rsidRPr="002F041F" w:rsidRDefault="002F041F">
            <w:pPr>
              <w:pStyle w:val="Normal6"/>
              <w:rPr>
                <w:color w:val="70AD47" w:themeColor="accent6"/>
              </w:rPr>
            </w:pPr>
            <w:r w:rsidRPr="002F041F">
              <w:rPr>
                <w:b/>
                <w:i/>
                <w:color w:val="70AD47" w:themeColor="accent6"/>
              </w:rPr>
              <w:lastRenderedPageBreak/>
              <w:t>—</w:t>
            </w:r>
            <w:r w:rsidRPr="002F041F">
              <w:rPr>
                <w:b/>
                <w:i/>
                <w:color w:val="70AD47" w:themeColor="accent6"/>
              </w:rPr>
              <w:tab/>
              <w:t>42° 40′ N, 4° 20′Ø</w:t>
            </w:r>
          </w:p>
        </w:tc>
      </w:tr>
      <w:tr w:rsidR="007233AC" w:rsidRPr="002F041F" w:rsidTr="00C6436A">
        <w:trPr>
          <w:jc w:val="center"/>
        </w:trPr>
        <w:tc>
          <w:tcPr>
            <w:tcW w:w="9752" w:type="dxa"/>
            <w:gridSpan w:val="2"/>
            <w:hideMark/>
          </w:tcPr>
          <w:p w:rsidR="00C6436A" w:rsidRPr="002F041F" w:rsidRDefault="002F041F">
            <w:pPr>
              <w:pStyle w:val="Normal6"/>
              <w:rPr>
                <w:color w:val="70AD47" w:themeColor="accent6"/>
              </w:rPr>
            </w:pPr>
            <w:r w:rsidRPr="002F041F">
              <w:rPr>
                <w:b/>
                <w:i/>
                <w:color w:val="70AD47" w:themeColor="accent6"/>
              </w:rPr>
              <w:t>—</w:t>
            </w:r>
            <w:r w:rsidRPr="002F041F">
              <w:rPr>
                <w:b/>
                <w:i/>
                <w:color w:val="70AD47" w:themeColor="accent6"/>
              </w:rPr>
              <w:tab/>
              <w:t>42° 40′ N, 5° 00′Ø</w:t>
            </w:r>
          </w:p>
        </w:tc>
      </w:tr>
      <w:tr w:rsidR="007233AC" w:rsidRPr="002F041F" w:rsidTr="00C6436A">
        <w:trPr>
          <w:jc w:val="center"/>
        </w:trPr>
        <w:tc>
          <w:tcPr>
            <w:tcW w:w="9752" w:type="dxa"/>
            <w:gridSpan w:val="2"/>
            <w:hideMark/>
          </w:tcPr>
          <w:p w:rsidR="00C6436A" w:rsidRPr="002F041F" w:rsidRDefault="002F041F">
            <w:pPr>
              <w:pStyle w:val="Normal6"/>
              <w:rPr>
                <w:color w:val="70AD47" w:themeColor="accent6"/>
              </w:rPr>
            </w:pPr>
            <w:r w:rsidRPr="002F041F">
              <w:rPr>
                <w:b/>
                <w:i/>
                <w:color w:val="70AD47" w:themeColor="accent6"/>
              </w:rPr>
              <w:t>—</w:t>
            </w:r>
            <w:r w:rsidRPr="002F041F">
              <w:rPr>
                <w:b/>
                <w:i/>
                <w:color w:val="70AD47" w:themeColor="accent6"/>
              </w:rPr>
              <w:tab/>
              <w:t>43° 00′ N, 4° 20′Ø</w:t>
            </w:r>
          </w:p>
        </w:tc>
      </w:tr>
      <w:tr w:rsidR="007233AC" w:rsidRPr="002F041F" w:rsidTr="00C6436A">
        <w:trPr>
          <w:jc w:val="center"/>
        </w:trPr>
        <w:tc>
          <w:tcPr>
            <w:tcW w:w="5387" w:type="dxa"/>
            <w:hideMark/>
          </w:tcPr>
          <w:p w:rsidR="00C6436A" w:rsidRPr="002F041F" w:rsidRDefault="002F041F">
            <w:pPr>
              <w:pStyle w:val="Normal6"/>
              <w:rPr>
                <w:color w:val="70AD47" w:themeColor="accent6"/>
              </w:rPr>
            </w:pPr>
            <w:r w:rsidRPr="002F041F">
              <w:rPr>
                <w:b/>
                <w:i/>
                <w:color w:val="70AD47" w:themeColor="accent6"/>
              </w:rPr>
              <w:t>—</w:t>
            </w:r>
            <w:r w:rsidRPr="002F041F">
              <w:rPr>
                <w:b/>
                <w:i/>
                <w:color w:val="70AD47" w:themeColor="accent6"/>
              </w:rPr>
              <w:tab/>
              <w:t>43° 00′ N, 5° 00′Ø.</w:t>
            </w:r>
          </w:p>
        </w:tc>
        <w:tc>
          <w:tcPr>
            <w:tcW w:w="4365" w:type="dxa"/>
          </w:tcPr>
          <w:p w:rsidR="00C6436A" w:rsidRPr="002F041F" w:rsidRDefault="00C6436A">
            <w:pPr>
              <w:pStyle w:val="TableParagraph"/>
              <w:spacing w:before="154" w:line="252" w:lineRule="exact"/>
              <w:ind w:left="110"/>
              <w:rPr>
                <w:sz w:val="24"/>
                <w:szCs w:val="24"/>
              </w:rPr>
            </w:pPr>
          </w:p>
        </w:tc>
      </w:tr>
      <w:tr w:rsidR="007233AC" w:rsidRPr="002F041F" w:rsidTr="00C6436A">
        <w:trPr>
          <w:jc w:val="center"/>
        </w:trPr>
        <w:tc>
          <w:tcPr>
            <w:tcW w:w="5387" w:type="dxa"/>
            <w:hideMark/>
          </w:tcPr>
          <w:p w:rsidR="00C6436A" w:rsidRPr="002F041F" w:rsidRDefault="002F041F">
            <w:pPr>
              <w:pStyle w:val="Normal6"/>
              <w:jc w:val="center"/>
              <w:rPr>
                <w:i/>
                <w:color w:val="70AD47" w:themeColor="accent6"/>
                <w:szCs w:val="24"/>
              </w:rPr>
            </w:pPr>
            <w:r w:rsidRPr="002F041F">
              <w:rPr>
                <w:i/>
                <w:color w:val="70AD47" w:themeColor="accent6"/>
              </w:rPr>
              <w:t>Ændringsforslag</w:t>
            </w:r>
          </w:p>
        </w:tc>
        <w:tc>
          <w:tcPr>
            <w:tcW w:w="4365" w:type="dxa"/>
          </w:tcPr>
          <w:p w:rsidR="00C6436A" w:rsidRPr="002F041F" w:rsidRDefault="00C6436A">
            <w:pPr>
              <w:pStyle w:val="TableParagraph"/>
              <w:spacing w:before="154" w:line="252" w:lineRule="exact"/>
              <w:ind w:left="110"/>
              <w:rPr>
                <w:sz w:val="24"/>
                <w:szCs w:val="24"/>
              </w:rPr>
            </w:pPr>
          </w:p>
        </w:tc>
      </w:tr>
      <w:tr w:rsidR="007233AC" w:rsidRPr="002F041F" w:rsidTr="00C6436A">
        <w:trPr>
          <w:jc w:val="center"/>
        </w:trPr>
        <w:tc>
          <w:tcPr>
            <w:tcW w:w="9752" w:type="dxa"/>
            <w:gridSpan w:val="2"/>
            <w:hideMark/>
          </w:tcPr>
          <w:p w:rsidR="00C6436A" w:rsidRPr="002F041F" w:rsidRDefault="002F041F">
            <w:pPr>
              <w:pStyle w:val="TableParagraph"/>
              <w:spacing w:before="154" w:line="252" w:lineRule="exact"/>
              <w:ind w:left="110"/>
              <w:rPr>
                <w:sz w:val="24"/>
                <w:szCs w:val="24"/>
              </w:rPr>
            </w:pPr>
            <w:r w:rsidRPr="002F041F">
              <w:rPr>
                <w:sz w:val="24"/>
              </w:rPr>
              <w:t>A.</w:t>
            </w:r>
            <w:r w:rsidRPr="002F041F">
              <w:rPr>
                <w:sz w:val="24"/>
              </w:rPr>
              <w:tab/>
              <w:t xml:space="preserve">Område med fiskeribegrænsninger i Lionbugten </w:t>
            </w:r>
            <w:r w:rsidRPr="002F041F">
              <w:rPr>
                <w:b/>
                <w:bCs/>
                <w:i/>
                <w:iCs/>
                <w:sz w:val="24"/>
              </w:rPr>
              <w:t>(geografisk underområde 7)</w:t>
            </w:r>
          </w:p>
        </w:tc>
      </w:tr>
    </w:tbl>
    <w:p w:rsidR="00C6436A" w:rsidRPr="002F041F" w:rsidRDefault="00C6436A" w:rsidP="00C6436A">
      <w:pPr>
        <w:rPr>
          <w:b/>
          <w:i/>
        </w:rPr>
      </w:pPr>
    </w:p>
    <w:tbl>
      <w:tblPr>
        <w:tblStyle w:val="TableGrid"/>
        <w:tblW w:w="0" w:type="auto"/>
        <w:tblLook w:val="04A0" w:firstRow="1" w:lastRow="0" w:firstColumn="1" w:lastColumn="0" w:noHBand="0" w:noVBand="1"/>
      </w:tblPr>
      <w:tblGrid>
        <w:gridCol w:w="2989"/>
        <w:gridCol w:w="3048"/>
        <w:gridCol w:w="3023"/>
      </w:tblGrid>
      <w:tr w:rsidR="007233AC" w:rsidRPr="002F041F" w:rsidTr="00C6436A">
        <w:tc>
          <w:tcPr>
            <w:tcW w:w="2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2F041F" w:rsidRDefault="002F041F">
            <w:pPr>
              <w:jc w:val="center"/>
              <w:rPr>
                <w:rFonts w:cstheme="minorHAnsi"/>
                <w:b/>
                <w:i/>
              </w:rPr>
            </w:pPr>
            <w:r w:rsidRPr="002F041F">
              <w:rPr>
                <w:b/>
                <w:i/>
              </w:rPr>
              <w:t>Punkt</w:t>
            </w:r>
          </w:p>
        </w:tc>
        <w:tc>
          <w:tcPr>
            <w:tcW w:w="30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2F041F" w:rsidRDefault="002F041F">
            <w:pPr>
              <w:jc w:val="center"/>
              <w:rPr>
                <w:rFonts w:cstheme="minorHAnsi"/>
                <w:b/>
                <w:i/>
              </w:rPr>
            </w:pPr>
            <w:r w:rsidRPr="002F041F">
              <w:rPr>
                <w:b/>
                <w:i/>
              </w:rPr>
              <w:t>Længdegrad</w:t>
            </w:r>
          </w:p>
        </w:tc>
        <w:tc>
          <w:tcPr>
            <w:tcW w:w="30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2F041F" w:rsidRDefault="002F041F">
            <w:pPr>
              <w:jc w:val="center"/>
              <w:rPr>
                <w:rFonts w:cstheme="minorHAnsi"/>
                <w:b/>
                <w:i/>
              </w:rPr>
            </w:pPr>
            <w:r w:rsidRPr="002F041F">
              <w:rPr>
                <w:b/>
                <w:i/>
              </w:rPr>
              <w:t>Breddegrad</w:t>
            </w:r>
          </w:p>
        </w:tc>
      </w:tr>
      <w:tr w:rsidR="007233AC" w:rsidRPr="002F041F"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1</w:t>
            </w:r>
          </w:p>
        </w:tc>
        <w:tc>
          <w:tcPr>
            <w:tcW w:w="3048"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4°49,35′ Ø</w:t>
            </w:r>
          </w:p>
        </w:tc>
      </w:tr>
      <w:tr w:rsidR="007233AC" w:rsidRPr="002F041F"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2</w:t>
            </w:r>
          </w:p>
        </w:tc>
        <w:tc>
          <w:tcPr>
            <w:tcW w:w="3048"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4°53,7′ Ø</w:t>
            </w:r>
          </w:p>
        </w:tc>
      </w:tr>
      <w:tr w:rsidR="007233AC" w:rsidRPr="002F041F"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3</w:t>
            </w:r>
          </w:p>
        </w:tc>
        <w:tc>
          <w:tcPr>
            <w:tcW w:w="3048"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4°53,7′ Ø</w:t>
            </w:r>
          </w:p>
        </w:tc>
      </w:tr>
      <w:tr w:rsidR="007233AC" w:rsidRPr="002F041F" w:rsidTr="00C6436A">
        <w:tc>
          <w:tcPr>
            <w:tcW w:w="2989"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4</w:t>
            </w:r>
          </w:p>
        </w:tc>
        <w:tc>
          <w:tcPr>
            <w:tcW w:w="3048"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4°49,35′ Ø</w:t>
            </w:r>
          </w:p>
        </w:tc>
      </w:tr>
    </w:tbl>
    <w:p w:rsidR="00C6436A" w:rsidRPr="002F041F" w:rsidRDefault="00C6436A" w:rsidP="00C6436A">
      <w:pPr>
        <w:rPr>
          <w:b/>
          <w:i/>
          <w:lang w:eastAsia="en-US"/>
        </w:rPr>
      </w:pPr>
    </w:p>
    <w:tbl>
      <w:tblPr>
        <w:tblStyle w:val="TableGrid"/>
        <w:tblW w:w="0" w:type="auto"/>
        <w:tblLook w:val="04A0" w:firstRow="1" w:lastRow="0" w:firstColumn="1" w:lastColumn="0" w:noHBand="0" w:noVBand="1"/>
      </w:tblPr>
      <w:tblGrid>
        <w:gridCol w:w="2971"/>
        <w:gridCol w:w="3050"/>
        <w:gridCol w:w="3039"/>
      </w:tblGrid>
      <w:tr w:rsidR="007233AC" w:rsidRPr="002F041F" w:rsidTr="00C6436A">
        <w:tc>
          <w:tcPr>
            <w:tcW w:w="977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C6436A" w:rsidRPr="002F041F" w:rsidRDefault="002F041F">
            <w:pPr>
              <w:jc w:val="center"/>
              <w:rPr>
                <w:rFonts w:cstheme="minorHAnsi"/>
                <w:b/>
                <w:i/>
              </w:rPr>
            </w:pPr>
            <w:r w:rsidRPr="002F041F">
              <w:rPr>
                <w:b/>
                <w:i/>
              </w:rPr>
              <w:t>Område B</w:t>
            </w:r>
          </w:p>
        </w:tc>
      </w:tr>
      <w:tr w:rsidR="007233AC" w:rsidRPr="002F041F" w:rsidTr="00C6436A">
        <w:tc>
          <w:tcPr>
            <w:tcW w:w="32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2F041F" w:rsidRDefault="002F041F">
            <w:pPr>
              <w:jc w:val="center"/>
              <w:rPr>
                <w:rFonts w:cstheme="minorHAnsi"/>
                <w:b/>
                <w:i/>
              </w:rPr>
            </w:pPr>
            <w:r w:rsidRPr="002F041F">
              <w:rPr>
                <w:b/>
                <w:i/>
              </w:rPr>
              <w:t xml:space="preserve">Punkt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2F041F" w:rsidRDefault="002F041F">
            <w:pPr>
              <w:jc w:val="center"/>
              <w:rPr>
                <w:rFonts w:cstheme="minorHAnsi"/>
                <w:b/>
                <w:i/>
              </w:rPr>
            </w:pPr>
            <w:r w:rsidRPr="002F041F">
              <w:rPr>
                <w:b/>
                <w:i/>
              </w:rPr>
              <w:t xml:space="preserve">Længdegrad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436A" w:rsidRPr="002F041F" w:rsidRDefault="002F041F">
            <w:pPr>
              <w:jc w:val="center"/>
              <w:rPr>
                <w:rFonts w:cstheme="minorHAnsi"/>
                <w:b/>
                <w:i/>
              </w:rPr>
            </w:pPr>
            <w:r w:rsidRPr="002F041F">
              <w:rPr>
                <w:b/>
                <w:i/>
              </w:rPr>
              <w:t xml:space="preserve">Breddegrad </w:t>
            </w:r>
          </w:p>
        </w:tc>
      </w:tr>
      <w:tr w:rsidR="007233AC" w:rsidRPr="002F041F"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1 </w:t>
            </w:r>
          </w:p>
        </w:tc>
        <w:tc>
          <w:tcPr>
            <w:tcW w:w="3260"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4°20′ Ø </w:t>
            </w:r>
          </w:p>
        </w:tc>
      </w:tr>
      <w:tr w:rsidR="007233AC" w:rsidRPr="002F041F"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2 </w:t>
            </w:r>
          </w:p>
        </w:tc>
        <w:tc>
          <w:tcPr>
            <w:tcW w:w="3260"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5°00′ Ø </w:t>
            </w:r>
          </w:p>
        </w:tc>
      </w:tr>
      <w:tr w:rsidR="007233AC" w:rsidRPr="002F041F"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3 </w:t>
            </w:r>
          </w:p>
        </w:tc>
        <w:tc>
          <w:tcPr>
            <w:tcW w:w="3260"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4°20′ Ø </w:t>
            </w:r>
          </w:p>
        </w:tc>
      </w:tr>
      <w:tr w:rsidR="007233AC" w:rsidRPr="002F041F" w:rsidTr="00C6436A">
        <w:tc>
          <w:tcPr>
            <w:tcW w:w="3259"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4 </w:t>
            </w:r>
          </w:p>
        </w:tc>
        <w:tc>
          <w:tcPr>
            <w:tcW w:w="3260"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C6436A" w:rsidRPr="002F041F" w:rsidRDefault="002F041F">
            <w:pPr>
              <w:jc w:val="center"/>
              <w:rPr>
                <w:rFonts w:cstheme="minorHAnsi"/>
                <w:b/>
                <w:i/>
              </w:rPr>
            </w:pPr>
            <w:r w:rsidRPr="002F041F">
              <w:rPr>
                <w:b/>
                <w:i/>
              </w:rPr>
              <w:t xml:space="preserve">5°00′ Ø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C6436A" w:rsidP="00C6436A">
      <w:pPr>
        <w:pStyle w:val="Normal12Italic"/>
        <w:rPr>
          <w:noProof w:val="0"/>
        </w:rPr>
      </w:pP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122</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2 – indledning</w:t>
      </w:r>
      <w:r w:rsidRPr="002F041F">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2)</w:t>
            </w:r>
            <w:r w:rsidRPr="002F041F">
              <w:tab/>
            </w:r>
            <w:r w:rsidRPr="002F041F">
              <w:t xml:space="preserve">Følgende bilag XVII, XVIII, XIX, XX, XXI, XXII </w:t>
            </w:r>
            <w:r w:rsidRPr="002F041F">
              <w:rPr>
                <w:b/>
                <w:bCs/>
                <w:i/>
                <w:iCs/>
              </w:rPr>
              <w:t>og</w:t>
            </w:r>
            <w:r w:rsidRPr="002F041F">
              <w:t xml:space="preserve"> XXIII tilføjes:</w:t>
            </w:r>
          </w:p>
        </w:tc>
        <w:tc>
          <w:tcPr>
            <w:tcW w:w="4876" w:type="dxa"/>
            <w:hideMark/>
          </w:tcPr>
          <w:p w:rsidR="00C6436A" w:rsidRPr="002F041F" w:rsidRDefault="002F041F">
            <w:pPr>
              <w:pStyle w:val="Normal6"/>
              <w:rPr>
                <w:szCs w:val="24"/>
              </w:rPr>
            </w:pPr>
            <w:r w:rsidRPr="002F041F">
              <w:t>2)</w:t>
            </w:r>
            <w:r w:rsidRPr="002F041F">
              <w:tab/>
              <w:t>Følgende bilag XVII, XVIII, XIX, XX, XXI, XXII</w:t>
            </w:r>
            <w:r w:rsidRPr="002F041F">
              <w:rPr>
                <w:b/>
                <w:bCs/>
                <w:i/>
                <w:iCs/>
              </w:rPr>
              <w:t>,</w:t>
            </w:r>
            <w:r w:rsidRPr="002F041F">
              <w:t xml:space="preserve"> XXIII</w:t>
            </w:r>
            <w:r w:rsidRPr="002F041F">
              <w:rPr>
                <w:b/>
                <w:bCs/>
                <w:i/>
                <w:iCs/>
              </w:rPr>
              <w:t>, XXIV og XXV</w:t>
            </w:r>
            <w:r w:rsidRPr="002F041F">
              <w:t xml:space="preserve"> tilføjes: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AMNumberTabs0"/>
        <w:keepNext/>
        <w:rPr>
          <w:rStyle w:val="Normal6Char"/>
          <w:b w:val="0"/>
        </w:rPr>
      </w:pPr>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123</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w:t>
      </w:r>
      <w:r w:rsidRPr="002F041F">
        <w:t>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2</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XIX – led 13</w:t>
      </w:r>
      <w:r w:rsidRPr="002F041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4876" w:type="dxa"/>
            <w:hideMark/>
          </w:tcPr>
          <w:p w:rsidR="00C6436A" w:rsidRPr="002F041F" w:rsidRDefault="002F041F">
            <w:pPr>
              <w:pStyle w:val="ColumnHeading"/>
              <w:keepNext/>
            </w:pPr>
            <w:r w:rsidRPr="002F041F">
              <w:t>Kommissionens forslag</w:t>
            </w:r>
          </w:p>
        </w:tc>
        <w:tc>
          <w:tcPr>
            <w:tcW w:w="4876"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4876" w:type="dxa"/>
            <w:hideMark/>
          </w:tcPr>
          <w:p w:rsidR="00C6436A" w:rsidRPr="002F041F" w:rsidRDefault="002F041F">
            <w:pPr>
              <w:pStyle w:val="Normal6"/>
            </w:pPr>
            <w:r w:rsidRPr="002F041F">
              <w:t>–</w:t>
            </w:r>
            <w:r w:rsidRPr="002F041F">
              <w:tab/>
              <w:t>Målarter</w:t>
            </w:r>
          </w:p>
        </w:tc>
        <w:tc>
          <w:tcPr>
            <w:tcW w:w="4876" w:type="dxa"/>
            <w:hideMark/>
          </w:tcPr>
          <w:p w:rsidR="00C6436A" w:rsidRPr="002F041F" w:rsidRDefault="002F041F">
            <w:pPr>
              <w:pStyle w:val="Normal6"/>
              <w:rPr>
                <w:szCs w:val="24"/>
              </w:rPr>
            </w:pPr>
            <w:r w:rsidRPr="002F041F">
              <w:rPr>
                <w:i/>
                <w:iCs/>
              </w:rPr>
              <w:t>(Vedrører ikke den danske tekst)</w:t>
            </w:r>
            <w:r w:rsidRPr="002F041F">
              <w:tab/>
              <w:t xml:space="preserve"> </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AMNumberTabs0"/>
        <w:keepNext/>
        <w:rPr>
          <w:rStyle w:val="Normal6Char"/>
          <w:b w:val="0"/>
        </w:rPr>
      </w:pPr>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124</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2</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r w:rsidRPr="002F041F">
        <w:rPr>
          <w:rStyle w:val="HideTWBExt"/>
          <w:noProof w:val="0"/>
        </w:rPr>
        <w:t>&lt;Article2&gt;</w:t>
      </w:r>
      <w:r w:rsidRPr="002F041F">
        <w:t>Bilag XX – række 6</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233AC" w:rsidRPr="002F041F" w:rsidTr="00C6436A">
        <w:trPr>
          <w:jc w:val="center"/>
        </w:trPr>
        <w:tc>
          <w:tcPr>
            <w:tcW w:w="9752" w:type="dxa"/>
            <w:gridSpan w:val="2"/>
          </w:tcPr>
          <w:p w:rsidR="00C6436A" w:rsidRPr="002F041F" w:rsidRDefault="00C6436A">
            <w:pPr>
              <w:keepNext/>
            </w:pPr>
          </w:p>
        </w:tc>
      </w:tr>
      <w:tr w:rsidR="007233AC" w:rsidRPr="002F041F" w:rsidTr="00C6436A">
        <w:trPr>
          <w:jc w:val="center"/>
        </w:trPr>
        <w:tc>
          <w:tcPr>
            <w:tcW w:w="5387" w:type="dxa"/>
            <w:hideMark/>
          </w:tcPr>
          <w:p w:rsidR="00C6436A" w:rsidRPr="002F041F" w:rsidRDefault="002F041F">
            <w:pPr>
              <w:pStyle w:val="ColumnHeading"/>
              <w:keepNext/>
            </w:pPr>
            <w:r w:rsidRPr="002F041F">
              <w:t xml:space="preserve">Kommissionens </w:t>
            </w:r>
            <w:r w:rsidRPr="002F041F">
              <w:t>forslag</w:t>
            </w:r>
          </w:p>
        </w:tc>
        <w:tc>
          <w:tcPr>
            <w:tcW w:w="4365" w:type="dxa"/>
            <w:hideMark/>
          </w:tcPr>
          <w:p w:rsidR="00C6436A" w:rsidRPr="002F041F" w:rsidRDefault="002F041F">
            <w:pPr>
              <w:pStyle w:val="ColumnHeading"/>
              <w:keepNext/>
            </w:pPr>
            <w:r w:rsidRPr="002F041F">
              <w:t>Ændringsforslag</w:t>
            </w:r>
          </w:p>
        </w:tc>
      </w:tr>
      <w:tr w:rsidR="007233AC" w:rsidRPr="002F041F" w:rsidTr="00C6436A">
        <w:trPr>
          <w:jc w:val="center"/>
        </w:trPr>
        <w:tc>
          <w:tcPr>
            <w:tcW w:w="5387" w:type="dxa"/>
            <w:hideMark/>
          </w:tcPr>
          <w:p w:rsidR="00C6436A" w:rsidRPr="002F041F" w:rsidRDefault="002F041F">
            <w:pPr>
              <w:pStyle w:val="Normal6"/>
              <w:rPr>
                <w:szCs w:val="24"/>
              </w:rPr>
            </w:pPr>
            <w:r w:rsidRPr="002F041F">
              <w:t>6.</w:t>
            </w:r>
            <w:r w:rsidRPr="002F041F">
              <w:tab/>
              <w:t xml:space="preserve">Registrerings-ID, hvis forskelligt fra </w:t>
            </w:r>
            <w:r w:rsidRPr="002F041F">
              <w:rPr>
                <w:b/>
                <w:bCs/>
                <w:i/>
                <w:iCs/>
              </w:rPr>
              <w:t>punkt 5</w:t>
            </w:r>
          </w:p>
        </w:tc>
        <w:tc>
          <w:tcPr>
            <w:tcW w:w="4365" w:type="dxa"/>
            <w:hideMark/>
          </w:tcPr>
          <w:p w:rsidR="00C6436A" w:rsidRPr="002F041F" w:rsidRDefault="002F041F">
            <w:pPr>
              <w:pStyle w:val="TableParagraph"/>
              <w:spacing w:before="154" w:line="252" w:lineRule="exact"/>
              <w:ind w:left="110"/>
              <w:rPr>
                <w:sz w:val="24"/>
                <w:szCs w:val="24"/>
              </w:rPr>
            </w:pPr>
            <w:r w:rsidRPr="002F041F">
              <w:rPr>
                <w:sz w:val="24"/>
              </w:rPr>
              <w:t>6.</w:t>
            </w:r>
            <w:r w:rsidRPr="002F041F">
              <w:rPr>
                <w:sz w:val="24"/>
              </w:rPr>
              <w:tab/>
              <w:t xml:space="preserve">Registrerings-ID, hvis forskelligt fra </w:t>
            </w:r>
            <w:r w:rsidRPr="002F041F">
              <w:rPr>
                <w:b/>
                <w:bCs/>
                <w:i/>
                <w:iCs/>
                <w:sz w:val="24"/>
              </w:rPr>
              <w:t>ekstern ID</w:t>
            </w:r>
          </w:p>
        </w:tc>
      </w:tr>
    </w:tbl>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pStyle w:val="Olang"/>
        <w:jc w:val="left"/>
        <w:rPr>
          <w:noProof w:val="0"/>
        </w:rPr>
      </w:pPr>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125</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2</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pPr>
        <w:pStyle w:val="Normal12Italic"/>
        <w:rPr>
          <w:i w:val="0"/>
          <w:noProof w:val="0"/>
        </w:rPr>
      </w:pPr>
      <w:r w:rsidRPr="002F041F">
        <w:rPr>
          <w:rStyle w:val="HideTWBExt"/>
          <w:i w:val="0"/>
          <w:noProof w:val="0"/>
        </w:rPr>
        <w:t>&lt;Article2&gt;</w:t>
      </w:r>
      <w:r w:rsidRPr="002F041F">
        <w:rPr>
          <w:i w:val="0"/>
          <w:noProof w:val="0"/>
        </w:rPr>
        <w:t>Bilag XXIV (nyt)</w:t>
      </w:r>
      <w:r w:rsidRPr="002F041F">
        <w:rPr>
          <w:rStyle w:val="HideTWBExt"/>
          <w:i w:val="0"/>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233AC" w:rsidRPr="002F041F" w:rsidTr="00C6436A">
        <w:trPr>
          <w:jc w:val="center"/>
        </w:trPr>
        <w:tc>
          <w:tcPr>
            <w:tcW w:w="5387" w:type="dxa"/>
            <w:hideMark/>
          </w:tcPr>
          <w:p w:rsidR="00C6436A" w:rsidRPr="002F041F" w:rsidRDefault="002F041F">
            <w:pPr>
              <w:pStyle w:val="ColumnHeading"/>
              <w:keepNext/>
              <w:rPr>
                <w:color w:val="70AD47" w:themeColor="accent6"/>
              </w:rPr>
            </w:pPr>
            <w:r w:rsidRPr="002F041F">
              <w:rPr>
                <w:color w:val="70AD47" w:themeColor="accent6"/>
              </w:rPr>
              <w:t>Kommissionens forslag</w:t>
            </w:r>
          </w:p>
        </w:tc>
        <w:tc>
          <w:tcPr>
            <w:tcW w:w="4365" w:type="dxa"/>
            <w:hideMark/>
          </w:tcPr>
          <w:p w:rsidR="00C6436A" w:rsidRPr="002F041F" w:rsidRDefault="00C6436A">
            <w:pPr>
              <w:rPr>
                <w:color w:val="70AD47" w:themeColor="accent6"/>
              </w:rPr>
            </w:pPr>
          </w:p>
        </w:tc>
      </w:tr>
    </w:tbl>
    <w:p w:rsidR="00C6436A" w:rsidRPr="002F041F" w:rsidRDefault="00C6436A" w:rsidP="00C6436A">
      <w:pPr>
        <w:pStyle w:val="Normal12Italic"/>
        <w:rPr>
          <w:noProof w:val="0"/>
          <w:color w:val="70AD47" w:themeColor="accent6"/>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233AC" w:rsidRPr="002F041F" w:rsidTr="00C6436A">
        <w:trPr>
          <w:jc w:val="center"/>
        </w:trPr>
        <w:tc>
          <w:tcPr>
            <w:tcW w:w="5387" w:type="dxa"/>
            <w:hideMark/>
          </w:tcPr>
          <w:p w:rsidR="00C6436A" w:rsidRPr="002F041F" w:rsidRDefault="002F041F">
            <w:pPr>
              <w:pStyle w:val="Normal6"/>
              <w:jc w:val="center"/>
              <w:rPr>
                <w:i/>
                <w:color w:val="70AD47" w:themeColor="accent6"/>
                <w:szCs w:val="24"/>
              </w:rPr>
            </w:pPr>
            <w:r w:rsidRPr="002F041F">
              <w:rPr>
                <w:i/>
                <w:color w:val="70AD47" w:themeColor="accent6"/>
              </w:rPr>
              <w:t>Ændringsforslag</w:t>
            </w:r>
          </w:p>
        </w:tc>
        <w:tc>
          <w:tcPr>
            <w:tcW w:w="4365" w:type="dxa"/>
          </w:tcPr>
          <w:p w:rsidR="00C6436A" w:rsidRPr="002F041F" w:rsidRDefault="00C6436A">
            <w:pPr>
              <w:pStyle w:val="TableParagraph"/>
              <w:spacing w:before="154" w:line="252" w:lineRule="exact"/>
              <w:ind w:left="110"/>
              <w:rPr>
                <w:color w:val="70AD47" w:themeColor="accent6"/>
                <w:sz w:val="24"/>
                <w:szCs w:val="24"/>
              </w:rPr>
            </w:pPr>
          </w:p>
        </w:tc>
      </w:tr>
      <w:tr w:rsidR="007233AC" w:rsidRPr="002F041F" w:rsidTr="00C6436A">
        <w:trPr>
          <w:jc w:val="center"/>
        </w:trPr>
        <w:tc>
          <w:tcPr>
            <w:tcW w:w="9752" w:type="dxa"/>
            <w:gridSpan w:val="2"/>
            <w:hideMark/>
          </w:tcPr>
          <w:p w:rsidR="00C6436A" w:rsidRPr="002F041F" w:rsidRDefault="002F041F">
            <w:pPr>
              <w:pStyle w:val="TableParagraph"/>
              <w:spacing w:before="154" w:line="252" w:lineRule="exact"/>
              <w:ind w:left="110"/>
              <w:jc w:val="center"/>
              <w:rPr>
                <w:sz w:val="24"/>
                <w:szCs w:val="24"/>
              </w:rPr>
            </w:pPr>
            <w:r w:rsidRPr="002F041F">
              <w:rPr>
                <w:b/>
                <w:i/>
              </w:rPr>
              <w:t>BILAG XXIV (nyt)</w:t>
            </w:r>
          </w:p>
        </w:tc>
      </w:tr>
      <w:tr w:rsidR="007233AC" w:rsidRPr="002F041F" w:rsidTr="00C6436A">
        <w:trPr>
          <w:jc w:val="center"/>
        </w:trPr>
        <w:tc>
          <w:tcPr>
            <w:tcW w:w="9752" w:type="dxa"/>
            <w:gridSpan w:val="2"/>
            <w:hideMark/>
          </w:tcPr>
          <w:p w:rsidR="00C6436A" w:rsidRPr="002F041F" w:rsidRDefault="002F041F">
            <w:pPr>
              <w:pStyle w:val="TableParagraph"/>
              <w:spacing w:before="154" w:line="252" w:lineRule="exact"/>
              <w:ind w:left="110"/>
              <w:jc w:val="center"/>
              <w:rPr>
                <w:b/>
                <w:bCs/>
                <w:i/>
                <w:sz w:val="24"/>
                <w:szCs w:val="24"/>
              </w:rPr>
            </w:pPr>
            <w:r w:rsidRPr="002F041F">
              <w:rPr>
                <w:b/>
                <w:i/>
                <w:sz w:val="24"/>
              </w:rPr>
              <w:t>Fangstattest for GFCM's fangstdokumentationsordning for pighvar</w:t>
            </w:r>
          </w:p>
        </w:tc>
      </w:tr>
    </w:tbl>
    <w:tbl>
      <w:tblPr>
        <w:tblStyle w:val="TableGrid0"/>
        <w:tblW w:w="9227" w:type="dxa"/>
        <w:tblInd w:w="-101" w:type="dxa"/>
        <w:tblCellMar>
          <w:top w:w="48" w:type="dxa"/>
          <w:left w:w="10" w:type="dxa"/>
          <w:right w:w="27" w:type="dxa"/>
        </w:tblCellMar>
        <w:tblLook w:val="04A0" w:firstRow="1" w:lastRow="0" w:firstColumn="1" w:lastColumn="0" w:noHBand="0" w:noVBand="1"/>
      </w:tblPr>
      <w:tblGrid>
        <w:gridCol w:w="2493"/>
        <w:gridCol w:w="1425"/>
        <w:gridCol w:w="2618"/>
        <w:gridCol w:w="2691"/>
      </w:tblGrid>
      <w:tr w:rsidR="007233AC" w:rsidRPr="002F041F" w:rsidTr="00C6436A">
        <w:trPr>
          <w:trHeight w:val="746"/>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4"/>
              <w:jc w:val="center"/>
              <w:rPr>
                <w:rFonts w:ascii="Times New Roman" w:hAnsi="Times New Roman" w:cs="Times New Roman"/>
                <w:b/>
                <w:i/>
                <w:szCs w:val="24"/>
              </w:rPr>
            </w:pPr>
            <w:r w:rsidRPr="002F041F">
              <w:rPr>
                <w:rFonts w:ascii="Times New Roman" w:hAnsi="Times New Roman"/>
                <w:b/>
                <w:i/>
              </w:rPr>
              <w:t xml:space="preserve">FANGSTATTEST FOR GFCM'S FANGSTDOKUMENTATIONSORDNING FOR PIGHVAR I UNDEROMRÅDE 29 </w:t>
            </w:r>
          </w:p>
        </w:tc>
      </w:tr>
      <w:tr w:rsidR="007233AC" w:rsidRPr="002F041F" w:rsidTr="00C6436A">
        <w:trPr>
          <w:trHeight w:val="62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Fangstdokumentets nummer </w:t>
            </w: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Valideringsmyndighed </w:t>
            </w:r>
          </w:p>
        </w:tc>
      </w:tr>
      <w:tr w:rsidR="007233AC" w:rsidRPr="002F041F" w:rsidTr="00C6436A">
        <w:trPr>
          <w:trHeight w:val="1015"/>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1. Fiskerfartøjets førers navn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after="98" w:line="254" w:lineRule="auto"/>
              <w:ind w:left="2"/>
              <w:rPr>
                <w:rFonts w:ascii="Times New Roman" w:hAnsi="Times New Roman" w:cs="Times New Roman"/>
                <w:b/>
                <w:i/>
                <w:szCs w:val="24"/>
              </w:rPr>
            </w:pPr>
            <w:r w:rsidRPr="002F041F">
              <w:rPr>
                <w:rFonts w:ascii="Times New Roman" w:hAnsi="Times New Roman"/>
                <w:b/>
                <w:i/>
              </w:rPr>
              <w:t xml:space="preserve">Adresse </w:t>
            </w:r>
          </w:p>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Tlf./fax/e-post </w:t>
            </w:r>
          </w:p>
        </w:tc>
      </w:tr>
      <w:tr w:rsidR="007233AC" w:rsidRPr="002F041F" w:rsidTr="00C6436A">
        <w:trPr>
          <w:trHeight w:val="62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lastRenderedPageBreak/>
              <w:t xml:space="preserve">Fartøjsførerens underskrift og stempel </w:t>
            </w:r>
          </w:p>
        </w:tc>
      </w:tr>
      <w:tr w:rsidR="007233AC" w:rsidRPr="002F041F" w:rsidTr="00C6436A">
        <w:trPr>
          <w:trHeight w:val="869"/>
        </w:trPr>
        <w:tc>
          <w:tcPr>
            <w:tcW w:w="3077" w:type="dxa"/>
            <w:gridSpan w:val="2"/>
            <w:vMerge w:val="restart"/>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2. Fartøjets navn og </w:t>
            </w:r>
            <w:r w:rsidRPr="002F041F">
              <w:rPr>
                <w:rFonts w:ascii="Times New Roman" w:hAnsi="Times New Roman"/>
                <w:b/>
                <w:i/>
              </w:rPr>
              <w:t xml:space="preserve">registreringsnummer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Flag og hjemstedshavn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rPr>
                <w:rFonts w:ascii="Times New Roman" w:hAnsi="Times New Roman" w:cs="Times New Roman"/>
                <w:b/>
                <w:i/>
                <w:szCs w:val="24"/>
              </w:rPr>
            </w:pPr>
            <w:r w:rsidRPr="002F041F">
              <w:rPr>
                <w:rFonts w:ascii="Times New Roman" w:hAnsi="Times New Roman"/>
                <w:b/>
                <w:i/>
              </w:rPr>
              <w:t xml:space="preserve">Kaldesignal/IMO (hvis foreligger) </w:t>
            </w:r>
          </w:p>
        </w:tc>
      </w:tr>
      <w:tr w:rsidR="007233AC" w:rsidRPr="002F041F" w:rsidTr="00C6436A">
        <w:trPr>
          <w:trHeight w:val="62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C6436A">
            <w:pPr>
              <w:widowControl/>
              <w:rPr>
                <w:rFonts w:ascii="Times New Roman" w:hAnsi="Times New Roman" w:cs="Times New Roman"/>
                <w:b/>
                <w:i/>
                <w:szCs w:val="24"/>
              </w:rPr>
            </w:pP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Inmarsat/fax/telefonnummer/e-mail </w:t>
            </w:r>
          </w:p>
        </w:tc>
      </w:tr>
      <w:tr w:rsidR="007233AC" w:rsidRPr="002F041F" w:rsidTr="00C6436A">
        <w:trPr>
          <w:trHeight w:val="61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3. Havn </w:t>
            </w:r>
          </w:p>
        </w:tc>
      </w:tr>
      <w:tr w:rsidR="007233AC" w:rsidRPr="002F041F" w:rsidTr="00C6436A">
        <w:trPr>
          <w:trHeight w:val="624"/>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Afsejlingshavn og -land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rPr>
                <w:rFonts w:ascii="Times New Roman" w:hAnsi="Times New Roman" w:cs="Times New Roman"/>
                <w:b/>
                <w:i/>
                <w:szCs w:val="24"/>
              </w:rPr>
            </w:pPr>
            <w:r w:rsidRPr="002F041F">
              <w:rPr>
                <w:rFonts w:ascii="Times New Roman" w:hAnsi="Times New Roman"/>
                <w:b/>
                <w:i/>
              </w:rPr>
              <w:t xml:space="preserve">Landingshavn og -land </w:t>
            </w:r>
          </w:p>
        </w:tc>
      </w:tr>
      <w:tr w:rsidR="007233AC" w:rsidRPr="002F041F" w:rsidTr="00C6436A">
        <w:trPr>
          <w:trHeight w:val="2103"/>
        </w:trPr>
        <w:tc>
          <w:tcPr>
            <w:tcW w:w="3077" w:type="dxa"/>
            <w:gridSpan w:val="2"/>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4. Fiskerfartøjets navn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after="98" w:line="254" w:lineRule="auto"/>
              <w:ind w:left="2"/>
              <w:rPr>
                <w:rFonts w:ascii="Times New Roman" w:hAnsi="Times New Roman" w:cs="Times New Roman"/>
                <w:b/>
                <w:i/>
                <w:szCs w:val="24"/>
              </w:rPr>
            </w:pPr>
            <w:r w:rsidRPr="002F041F">
              <w:rPr>
                <w:rFonts w:ascii="Times New Roman" w:hAnsi="Times New Roman"/>
                <w:b/>
                <w:i/>
              </w:rPr>
              <w:t xml:space="preserve">Navn </w:t>
            </w:r>
          </w:p>
          <w:p w:rsidR="00C6436A" w:rsidRPr="002F041F" w:rsidRDefault="002F041F">
            <w:pPr>
              <w:spacing w:after="98" w:line="254" w:lineRule="auto"/>
              <w:ind w:left="2"/>
              <w:rPr>
                <w:rFonts w:ascii="Times New Roman" w:hAnsi="Times New Roman" w:cs="Times New Roman"/>
                <w:b/>
                <w:i/>
                <w:szCs w:val="24"/>
              </w:rPr>
            </w:pPr>
            <w:r w:rsidRPr="002F041F">
              <w:rPr>
                <w:rFonts w:ascii="Times New Roman" w:hAnsi="Times New Roman"/>
                <w:b/>
                <w:i/>
              </w:rPr>
              <w:t xml:space="preserve">Adresse </w:t>
            </w:r>
          </w:p>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Tlf./fax/e-post </w:t>
            </w:r>
          </w:p>
        </w:tc>
      </w:tr>
      <w:tr w:rsidR="007233AC" w:rsidRPr="002F041F" w:rsidTr="00C6436A">
        <w:trPr>
          <w:trHeight w:val="87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Fiskerilicensnummer </w:t>
            </w:r>
            <w:r w:rsidRPr="002F041F">
              <w:rPr>
                <w:rFonts w:ascii="Times New Roman" w:hAnsi="Times New Roman"/>
                <w:b/>
                <w:i/>
              </w:rPr>
              <w:t xml:space="preserve">– Gyldig indtil (dato)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Nummer på fiskeritilladelse – gyldig indtil (dato)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rPr>
                <w:rFonts w:ascii="Times New Roman" w:hAnsi="Times New Roman" w:cs="Times New Roman"/>
                <w:b/>
                <w:i/>
                <w:szCs w:val="24"/>
              </w:rPr>
            </w:pPr>
            <w:r w:rsidRPr="002F041F">
              <w:rPr>
                <w:rFonts w:ascii="Times New Roman" w:hAnsi="Times New Roman"/>
                <w:b/>
                <w:i/>
              </w:rPr>
              <w:t xml:space="preserve">Indehavers underskrift </w:t>
            </w:r>
          </w:p>
        </w:tc>
      </w:tr>
      <w:tr w:rsidR="007233AC" w:rsidRPr="002F041F" w:rsidTr="00C6436A">
        <w:trPr>
          <w:trHeight w:val="1382"/>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5. Fangstområde (længde- og breddegradskoordinater)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Fangstdato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Anslået levende vægt (kg)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rPr>
                <w:rFonts w:ascii="Times New Roman" w:hAnsi="Times New Roman" w:cs="Times New Roman"/>
                <w:b/>
                <w:i/>
                <w:szCs w:val="24"/>
              </w:rPr>
            </w:pPr>
            <w:r w:rsidRPr="002F041F">
              <w:rPr>
                <w:rFonts w:ascii="Times New Roman" w:hAnsi="Times New Roman"/>
                <w:b/>
                <w:i/>
              </w:rPr>
              <w:t xml:space="preserve">Verificeret landet vægt (kg) </w:t>
            </w:r>
          </w:p>
        </w:tc>
      </w:tr>
      <w:tr w:rsidR="007233AC" w:rsidRPr="002F041F" w:rsidTr="00C6436A">
        <w:trPr>
          <w:trHeight w:val="62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a.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rPr>
                <w:rFonts w:ascii="Times New Roman" w:hAnsi="Times New Roman" w:cs="Times New Roman"/>
                <w:b/>
                <w:i/>
                <w:szCs w:val="24"/>
              </w:rPr>
            </w:pPr>
            <w:r w:rsidRPr="002F041F">
              <w:rPr>
                <w:rFonts w:ascii="Times New Roman" w:hAnsi="Times New Roman"/>
                <w:b/>
                <w:i/>
              </w:rPr>
              <w:t xml:space="preserve"> </w:t>
            </w:r>
          </w:p>
        </w:tc>
      </w:tr>
      <w:tr w:rsidR="007233AC" w:rsidRPr="002F041F" w:rsidTr="00C6436A">
        <w:trPr>
          <w:trHeight w:val="625"/>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b.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rPr>
                <w:rFonts w:ascii="Times New Roman" w:hAnsi="Times New Roman" w:cs="Times New Roman"/>
                <w:b/>
                <w:i/>
                <w:szCs w:val="24"/>
              </w:rPr>
            </w:pPr>
            <w:r w:rsidRPr="002F041F">
              <w:rPr>
                <w:rFonts w:ascii="Times New Roman" w:hAnsi="Times New Roman"/>
                <w:b/>
                <w:i/>
              </w:rPr>
              <w:t xml:space="preserve"> </w:t>
            </w:r>
          </w:p>
        </w:tc>
      </w:tr>
      <w:tr w:rsidR="007233AC" w:rsidRPr="002F041F" w:rsidTr="00C6436A">
        <w:trPr>
          <w:trHeight w:val="63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c. </w:t>
            </w:r>
          </w:p>
        </w:tc>
        <w:tc>
          <w:tcPr>
            <w:tcW w:w="1537"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ind w:left="2"/>
              <w:rPr>
                <w:rFonts w:ascii="Times New Roman" w:hAnsi="Times New Roman" w:cs="Times New Roman"/>
                <w:b/>
                <w:i/>
                <w:szCs w:val="24"/>
              </w:rPr>
            </w:pPr>
            <w:r w:rsidRPr="002F041F">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spacing w:line="254" w:lineRule="auto"/>
              <w:rPr>
                <w:rFonts w:ascii="Times New Roman" w:hAnsi="Times New Roman" w:cs="Times New Roman"/>
                <w:b/>
                <w:i/>
                <w:szCs w:val="24"/>
              </w:rPr>
            </w:pPr>
            <w:r w:rsidRPr="002F041F">
              <w:rPr>
                <w:rFonts w:ascii="Times New Roman" w:hAnsi="Times New Roman"/>
                <w:b/>
                <w:i/>
              </w:rPr>
              <w:t xml:space="preserve"> </w:t>
            </w:r>
          </w:p>
        </w:tc>
      </w:tr>
    </w:tbl>
    <w:p w:rsidR="00C6436A" w:rsidRPr="002F041F" w:rsidRDefault="00C6436A" w:rsidP="00C6436A">
      <w:pPr>
        <w:pStyle w:val="Normal12Italic"/>
        <w:jc w:val="right"/>
        <w:rPr>
          <w:noProof w:val="0"/>
        </w:rPr>
      </w:pPr>
    </w:p>
    <w:p w:rsidR="00C6436A" w:rsidRPr="002F041F" w:rsidRDefault="002F041F" w:rsidP="00C6436A">
      <w:pPr>
        <w:pStyle w:val="Normal12Italic"/>
        <w:jc w:val="right"/>
        <w:rPr>
          <w:i w:val="0"/>
          <w:noProof w:val="0"/>
        </w:rPr>
      </w:pPr>
      <w:r w:rsidRPr="002F041F">
        <w:rPr>
          <w:i w:val="0"/>
          <w:noProof w:val="0"/>
        </w:rPr>
        <w:t xml:space="preserve">Or. </w:t>
      </w:r>
      <w:r w:rsidRPr="002F041F">
        <w:rPr>
          <w:rStyle w:val="HideTWBExt"/>
          <w:i w:val="0"/>
          <w:noProof w:val="0"/>
        </w:rPr>
        <w:t>&lt;Original&gt;</w:t>
      </w:r>
      <w:r w:rsidRPr="002F041F">
        <w:rPr>
          <w:rStyle w:val="HideTWBInt"/>
          <w:noProof w:val="0"/>
        </w:rPr>
        <w:t>{EN}</w:t>
      </w:r>
      <w:r w:rsidRPr="002F041F">
        <w:rPr>
          <w:i w:val="0"/>
          <w:noProof w:val="0"/>
        </w:rPr>
        <w:t>en</w:t>
      </w:r>
      <w:r w:rsidRPr="002F041F">
        <w:rPr>
          <w:rStyle w:val="HideTWBExt"/>
          <w:i w:val="0"/>
          <w:noProof w:val="0"/>
        </w:rPr>
        <w:t>&lt;/Original&gt;</w:t>
      </w:r>
    </w:p>
    <w:p w:rsidR="00C6436A" w:rsidRPr="002F041F" w:rsidRDefault="002F041F" w:rsidP="00C6436A">
      <w:r w:rsidRPr="002F041F">
        <w:rPr>
          <w:rStyle w:val="HideTWBExt"/>
          <w:noProof w:val="0"/>
        </w:rPr>
        <w:t>&lt;/Amend&gt;</w:t>
      </w:r>
    </w:p>
    <w:p w:rsidR="00C6436A" w:rsidRPr="002F041F" w:rsidRDefault="002F041F" w:rsidP="00C6436A">
      <w:pPr>
        <w:pStyle w:val="AMNumberTabs0"/>
        <w:keepNext/>
      </w:pPr>
      <w:r w:rsidRPr="002F041F">
        <w:rPr>
          <w:rStyle w:val="HideTWBExt"/>
          <w:noProof w:val="0"/>
        </w:rPr>
        <w:t>&lt;Amend&gt;</w:t>
      </w:r>
      <w:r w:rsidRPr="002F041F">
        <w:t>Ændringsforslag</w:t>
      </w:r>
      <w:r w:rsidRPr="002F041F">
        <w:tab/>
      </w:r>
      <w:r w:rsidRPr="002F041F">
        <w:tab/>
      </w:r>
      <w:r w:rsidRPr="002F041F">
        <w:rPr>
          <w:rStyle w:val="HideTWBExt"/>
          <w:noProof w:val="0"/>
        </w:rPr>
        <w:t>&lt;NumAm&gt;</w:t>
      </w:r>
      <w:r w:rsidRPr="002F041F">
        <w:t>126</w:t>
      </w:r>
      <w:r w:rsidRPr="002F041F">
        <w:rPr>
          <w:rStyle w:val="HideTWBExt"/>
          <w:noProof w:val="0"/>
        </w:rPr>
        <w:t>&lt;/NumAm&gt;</w:t>
      </w:r>
    </w:p>
    <w:p w:rsidR="00C6436A" w:rsidRPr="002F041F" w:rsidRDefault="002F041F" w:rsidP="00C6436A">
      <w:pPr>
        <w:pStyle w:val="NormalBold12b"/>
        <w:keepNext/>
      </w:pPr>
      <w:r w:rsidRPr="002F041F">
        <w:rPr>
          <w:rStyle w:val="HideTWBExt"/>
          <w:noProof w:val="0"/>
        </w:rPr>
        <w:t>&lt;DocAmend&gt;</w:t>
      </w:r>
      <w:r w:rsidRPr="002F041F">
        <w:t>Forslag til forordning</w:t>
      </w:r>
      <w:r w:rsidRPr="002F041F">
        <w:rPr>
          <w:rStyle w:val="HideTWBExt"/>
          <w:noProof w:val="0"/>
        </w:rPr>
        <w:t>&lt;/DocAmend&gt;</w:t>
      </w:r>
    </w:p>
    <w:p w:rsidR="00C6436A" w:rsidRPr="002F041F" w:rsidRDefault="002F041F" w:rsidP="00C6436A">
      <w:pPr>
        <w:pStyle w:val="NormalBold"/>
      </w:pPr>
      <w:r w:rsidRPr="002F041F">
        <w:rPr>
          <w:rStyle w:val="HideTWBExt"/>
          <w:noProof w:val="0"/>
        </w:rPr>
        <w:t>&lt;Article&gt;</w:t>
      </w:r>
      <w:r w:rsidRPr="002F041F">
        <w:t>Bilag I – nr. 2</w:t>
      </w:r>
      <w:r w:rsidRPr="002F041F">
        <w:rPr>
          <w:rStyle w:val="HideTWBExt"/>
          <w:noProof w:val="0"/>
        </w:rPr>
        <w:t>&lt;/Article&gt;</w:t>
      </w:r>
    </w:p>
    <w:p w:rsidR="00C6436A" w:rsidRPr="002F041F" w:rsidRDefault="002F041F" w:rsidP="00C6436A">
      <w:pPr>
        <w:keepNext/>
      </w:pPr>
      <w:r w:rsidRPr="002F041F">
        <w:rPr>
          <w:rStyle w:val="HideTWBExt"/>
          <w:noProof w:val="0"/>
        </w:rPr>
        <w:t>&lt;DocAmend2&gt;</w:t>
      </w:r>
      <w:r w:rsidRPr="002F041F">
        <w:t>Forordning (EU) nr. 2023/2124</w:t>
      </w:r>
      <w:r w:rsidRPr="002F041F">
        <w:rPr>
          <w:rStyle w:val="HideTWBExt"/>
          <w:noProof w:val="0"/>
        </w:rPr>
        <w:t>&lt;/DocAmend2&gt;</w:t>
      </w:r>
    </w:p>
    <w:p w:rsidR="00C6436A" w:rsidRPr="002F041F" w:rsidRDefault="002F041F" w:rsidP="00C6436A">
      <w:pPr>
        <w:pStyle w:val="Normal12Italic"/>
        <w:rPr>
          <w:noProof w:val="0"/>
        </w:rPr>
      </w:pPr>
      <w:r w:rsidRPr="002F041F">
        <w:rPr>
          <w:rStyle w:val="HideTWBExt"/>
          <w:noProof w:val="0"/>
        </w:rPr>
        <w:t>&lt;Article2&gt;</w:t>
      </w:r>
      <w:r w:rsidRPr="002F041F">
        <w:rPr>
          <w:i w:val="0"/>
          <w:noProof w:val="0"/>
        </w:rPr>
        <w:t>Bilag XXV (nyt)</w:t>
      </w:r>
      <w:r w:rsidRPr="002F041F">
        <w:rPr>
          <w:rStyle w:val="HideTWBExt"/>
          <w:noProof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233AC" w:rsidRPr="002F041F" w:rsidTr="00C6436A">
        <w:trPr>
          <w:jc w:val="center"/>
        </w:trPr>
        <w:tc>
          <w:tcPr>
            <w:tcW w:w="5387" w:type="dxa"/>
            <w:hideMark/>
          </w:tcPr>
          <w:p w:rsidR="00C6436A" w:rsidRPr="002F041F" w:rsidRDefault="002F041F">
            <w:pPr>
              <w:pStyle w:val="ColumnHeading"/>
              <w:keepNext/>
              <w:rPr>
                <w:color w:val="70AD47" w:themeColor="accent6"/>
              </w:rPr>
            </w:pPr>
            <w:r w:rsidRPr="002F041F">
              <w:rPr>
                <w:color w:val="70AD47" w:themeColor="accent6"/>
              </w:rPr>
              <w:lastRenderedPageBreak/>
              <w:t>Kommissionens forslag</w:t>
            </w:r>
          </w:p>
        </w:tc>
        <w:tc>
          <w:tcPr>
            <w:tcW w:w="4365" w:type="dxa"/>
            <w:hideMark/>
          </w:tcPr>
          <w:p w:rsidR="00C6436A" w:rsidRPr="002F041F" w:rsidRDefault="00C6436A">
            <w:pPr>
              <w:rPr>
                <w:color w:val="70AD47" w:themeColor="accent6"/>
              </w:rPr>
            </w:pPr>
          </w:p>
        </w:tc>
      </w:tr>
    </w:tbl>
    <w:p w:rsidR="00C6436A" w:rsidRPr="002F041F" w:rsidRDefault="00C6436A" w:rsidP="00C6436A">
      <w:pPr>
        <w:pStyle w:val="Normal12Italic"/>
        <w:rPr>
          <w:noProof w:val="0"/>
          <w:color w:val="70AD47" w:themeColor="accent6"/>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7233AC" w:rsidRPr="002F041F" w:rsidTr="00C6436A">
        <w:trPr>
          <w:trHeight w:val="511"/>
          <w:jc w:val="center"/>
        </w:trPr>
        <w:tc>
          <w:tcPr>
            <w:tcW w:w="5387" w:type="dxa"/>
            <w:hideMark/>
          </w:tcPr>
          <w:p w:rsidR="00C6436A" w:rsidRPr="002F041F" w:rsidRDefault="002F041F">
            <w:pPr>
              <w:pStyle w:val="Normal6"/>
              <w:jc w:val="center"/>
              <w:rPr>
                <w:i/>
                <w:color w:val="70AD47" w:themeColor="accent6"/>
                <w:szCs w:val="24"/>
              </w:rPr>
            </w:pPr>
            <w:r w:rsidRPr="002F041F">
              <w:rPr>
                <w:i/>
                <w:color w:val="70AD47" w:themeColor="accent6"/>
              </w:rPr>
              <w:t>Ændringsforslag</w:t>
            </w:r>
          </w:p>
        </w:tc>
        <w:tc>
          <w:tcPr>
            <w:tcW w:w="4365" w:type="dxa"/>
          </w:tcPr>
          <w:p w:rsidR="00C6436A" w:rsidRPr="002F041F" w:rsidRDefault="00C6436A">
            <w:pPr>
              <w:pStyle w:val="TableParagraph"/>
              <w:spacing w:before="154" w:line="252" w:lineRule="exact"/>
              <w:ind w:left="110"/>
              <w:rPr>
                <w:color w:val="70AD47" w:themeColor="accent6"/>
                <w:sz w:val="24"/>
                <w:szCs w:val="24"/>
              </w:rPr>
            </w:pPr>
          </w:p>
        </w:tc>
      </w:tr>
      <w:tr w:rsidR="007233AC" w:rsidRPr="002F041F" w:rsidTr="00C6436A">
        <w:trPr>
          <w:trHeight w:val="511"/>
          <w:jc w:val="center"/>
        </w:trPr>
        <w:tc>
          <w:tcPr>
            <w:tcW w:w="9752" w:type="dxa"/>
            <w:gridSpan w:val="2"/>
            <w:hideMark/>
          </w:tcPr>
          <w:p w:rsidR="00C6436A" w:rsidRPr="002F041F" w:rsidRDefault="002F041F">
            <w:pPr>
              <w:spacing w:line="254" w:lineRule="auto"/>
              <w:jc w:val="center"/>
              <w:rPr>
                <w:b/>
                <w:i/>
              </w:rPr>
            </w:pPr>
            <w:r w:rsidRPr="002F041F">
              <w:rPr>
                <w:b/>
                <w:i/>
              </w:rPr>
              <w:t>BILAG XXV (nyt)</w:t>
            </w:r>
          </w:p>
        </w:tc>
      </w:tr>
      <w:tr w:rsidR="007233AC" w:rsidRPr="002F041F" w:rsidTr="00C6436A">
        <w:trPr>
          <w:trHeight w:val="511"/>
          <w:jc w:val="center"/>
        </w:trPr>
        <w:tc>
          <w:tcPr>
            <w:tcW w:w="9752" w:type="dxa"/>
            <w:gridSpan w:val="2"/>
            <w:hideMark/>
          </w:tcPr>
          <w:p w:rsidR="00C6436A" w:rsidRPr="002F041F" w:rsidRDefault="002F041F">
            <w:pPr>
              <w:spacing w:line="254" w:lineRule="auto"/>
              <w:jc w:val="center"/>
              <w:rPr>
                <w:b/>
                <w:bCs/>
                <w:i/>
              </w:rPr>
            </w:pPr>
            <w:r w:rsidRPr="002F041F">
              <w:rPr>
                <w:b/>
                <w:i/>
              </w:rPr>
              <w:t>Datavariabler at indberette til GFCM's sekretariat efter vejledning fra SAC og i overensstemmelse med DCRF-håndbogen, herunder feltdefinitioner</w:t>
            </w:r>
          </w:p>
        </w:tc>
      </w:tr>
    </w:tbl>
    <w:p w:rsidR="00C6436A" w:rsidRPr="002F041F" w:rsidRDefault="00C6436A" w:rsidP="00C6436A">
      <w:pPr>
        <w:tabs>
          <w:tab w:val="left" w:pos="834"/>
        </w:tabs>
        <w:ind w:right="449"/>
        <w:rPr>
          <w:rFonts w:cstheme="minorHAnsi"/>
          <w:b/>
          <w:i/>
        </w:rPr>
      </w:pPr>
    </w:p>
    <w:tbl>
      <w:tblPr>
        <w:tblW w:w="9009" w:type="dxa"/>
        <w:tblInd w:w="6" w:type="dxa"/>
        <w:tblCellMar>
          <w:top w:w="47" w:type="dxa"/>
          <w:right w:w="59" w:type="dxa"/>
        </w:tblCellMar>
        <w:tblLook w:val="04A0" w:firstRow="1" w:lastRow="0" w:firstColumn="1" w:lastColumn="0" w:noHBand="0" w:noVBand="1"/>
      </w:tblPr>
      <w:tblGrid>
        <w:gridCol w:w="2517"/>
        <w:gridCol w:w="819"/>
        <w:gridCol w:w="2390"/>
        <w:gridCol w:w="3283"/>
      </w:tblGrid>
      <w:tr w:rsidR="007233AC" w:rsidRPr="002F041F" w:rsidTr="00C6436A">
        <w:trPr>
          <w:trHeight w:val="785"/>
        </w:trPr>
        <w:tc>
          <w:tcPr>
            <w:tcW w:w="3002" w:type="dxa"/>
            <w:tcBorders>
              <w:top w:val="single" w:sz="4" w:space="0" w:color="000000"/>
              <w:left w:val="single" w:sz="4" w:space="0" w:color="000000"/>
              <w:bottom w:val="single" w:sz="4" w:space="0" w:color="000000"/>
              <w:right w:val="single" w:sz="4" w:space="0" w:color="000000"/>
            </w:tcBorders>
            <w:shd w:val="clear" w:color="auto" w:fill="E7E6E6"/>
            <w:hideMark/>
          </w:tcPr>
          <w:p w:rsidR="00C6436A" w:rsidRPr="002F041F" w:rsidRDefault="002F041F">
            <w:pPr>
              <w:tabs>
                <w:tab w:val="left" w:pos="834"/>
              </w:tabs>
              <w:ind w:right="449"/>
              <w:jc w:val="center"/>
              <w:rPr>
                <w:rFonts w:cstheme="minorHAnsi"/>
                <w:b/>
                <w:i/>
              </w:rPr>
            </w:pPr>
            <w:r w:rsidRPr="002F041F">
              <w:rPr>
                <w:b/>
                <w:i/>
              </w:rPr>
              <w:t xml:space="preserve">DATAFELTER </w:t>
            </w:r>
          </w:p>
        </w:tc>
        <w:tc>
          <w:tcPr>
            <w:tcW w:w="881" w:type="dxa"/>
            <w:tcBorders>
              <w:top w:val="single" w:sz="4" w:space="0" w:color="000000"/>
              <w:left w:val="single" w:sz="4" w:space="0" w:color="000000"/>
              <w:bottom w:val="single" w:sz="4" w:space="0" w:color="000000"/>
              <w:right w:val="nil"/>
            </w:tcBorders>
            <w:shd w:val="clear" w:color="auto" w:fill="E7E6E6"/>
          </w:tcPr>
          <w:p w:rsidR="00C6436A" w:rsidRPr="002F041F" w:rsidRDefault="00C6436A">
            <w:pPr>
              <w:tabs>
                <w:tab w:val="left" w:pos="834"/>
              </w:tabs>
              <w:ind w:right="449"/>
              <w:jc w:val="center"/>
              <w:rPr>
                <w:rFonts w:cstheme="minorHAnsi"/>
                <w:b/>
                <w:i/>
              </w:rPr>
            </w:pPr>
          </w:p>
        </w:tc>
        <w:tc>
          <w:tcPr>
            <w:tcW w:w="2123" w:type="dxa"/>
            <w:tcBorders>
              <w:top w:val="single" w:sz="4" w:space="0" w:color="000000"/>
              <w:left w:val="nil"/>
              <w:bottom w:val="single" w:sz="4" w:space="0" w:color="000000"/>
              <w:right w:val="single" w:sz="4" w:space="0" w:color="000000"/>
            </w:tcBorders>
            <w:shd w:val="clear" w:color="auto" w:fill="E7E6E6"/>
            <w:hideMark/>
          </w:tcPr>
          <w:p w:rsidR="00C6436A" w:rsidRPr="002F041F" w:rsidRDefault="002F041F">
            <w:pPr>
              <w:tabs>
                <w:tab w:val="left" w:pos="834"/>
              </w:tabs>
              <w:ind w:right="449"/>
              <w:jc w:val="center"/>
              <w:rPr>
                <w:rFonts w:cstheme="minorHAnsi"/>
                <w:b/>
                <w:i/>
              </w:rPr>
            </w:pPr>
            <w:r w:rsidRPr="002F041F">
              <w:rPr>
                <w:b/>
                <w:i/>
              </w:rPr>
              <w:t>OBLIGATORISK</w:t>
            </w:r>
            <w:r w:rsidR="0065437A" w:rsidRPr="002F041F">
              <w:rPr>
                <w:b/>
                <w:i/>
              </w:rPr>
              <w:t xml:space="preserve"> </w:t>
            </w:r>
          </w:p>
          <w:p w:rsidR="00C6436A" w:rsidRPr="002F041F" w:rsidRDefault="002F041F">
            <w:pPr>
              <w:tabs>
                <w:tab w:val="left" w:pos="834"/>
              </w:tabs>
              <w:ind w:right="449"/>
              <w:jc w:val="center"/>
              <w:rPr>
                <w:rFonts w:cstheme="minorHAnsi"/>
                <w:b/>
                <w:i/>
              </w:rPr>
            </w:pPr>
            <w:r w:rsidRPr="002F041F">
              <w:rPr>
                <w:b/>
                <w:i/>
              </w:rPr>
              <w:t xml:space="preserve">(X) </w:t>
            </w:r>
          </w:p>
        </w:tc>
        <w:tc>
          <w:tcPr>
            <w:tcW w:w="3003" w:type="dxa"/>
            <w:tcBorders>
              <w:top w:val="single" w:sz="4" w:space="0" w:color="000000"/>
              <w:left w:val="single" w:sz="4" w:space="0" w:color="000000"/>
              <w:bottom w:val="single" w:sz="4" w:space="0" w:color="000000"/>
              <w:right w:val="single" w:sz="4" w:space="0" w:color="000000"/>
            </w:tcBorders>
            <w:shd w:val="clear" w:color="auto" w:fill="E7E6E6"/>
            <w:hideMark/>
          </w:tcPr>
          <w:p w:rsidR="00C6436A" w:rsidRPr="002F041F" w:rsidRDefault="002F041F">
            <w:pPr>
              <w:tabs>
                <w:tab w:val="left" w:pos="834"/>
              </w:tabs>
              <w:ind w:right="449"/>
              <w:jc w:val="center"/>
              <w:rPr>
                <w:rFonts w:cstheme="minorHAnsi"/>
                <w:b/>
                <w:i/>
              </w:rPr>
            </w:pPr>
            <w:r w:rsidRPr="002F041F">
              <w:rPr>
                <w:b/>
                <w:i/>
              </w:rPr>
              <w:t xml:space="preserve">STATUS FOR </w:t>
            </w:r>
            <w:r w:rsidRPr="002F041F">
              <w:rPr>
                <w:b/>
                <w:i/>
              </w:rPr>
              <w:t xml:space="preserve">DATAFORTROLIGHED* </w:t>
            </w:r>
          </w:p>
        </w:tc>
      </w:tr>
      <w:tr w:rsidR="007233AC" w:rsidRPr="002F041F" w:rsidTr="00C6436A">
        <w:trPr>
          <w:trHeight w:val="400"/>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Land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P </w:t>
            </w:r>
          </w:p>
        </w:tc>
      </w:tr>
      <w:tr w:rsidR="007233AC" w:rsidRPr="002F041F"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Referenceår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P </w:t>
            </w:r>
          </w:p>
        </w:tc>
      </w:tr>
      <w:tr w:rsidR="007233AC" w:rsidRPr="002F041F"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Fangstperiode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P </w:t>
            </w:r>
          </w:p>
        </w:tc>
      </w:tr>
      <w:tr w:rsidR="007233AC" w:rsidRPr="002F041F"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Geografiske underområder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P </w:t>
            </w:r>
          </w:p>
        </w:tc>
      </w:tr>
      <w:tr w:rsidR="007233AC" w:rsidRPr="002F041F" w:rsidTr="00C6436A">
        <w:trPr>
          <w:trHeight w:val="399"/>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Landinger i alt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P </w:t>
            </w:r>
          </w:p>
        </w:tc>
      </w:tr>
      <w:tr w:rsidR="007233AC" w:rsidRPr="002F041F"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Antal fartøjer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P </w:t>
            </w:r>
          </w:p>
        </w:tc>
      </w:tr>
      <w:tr w:rsidR="007233AC" w:rsidRPr="002F041F"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Fartøjernes samlede BT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P </w:t>
            </w:r>
          </w:p>
        </w:tc>
      </w:tr>
      <w:tr w:rsidR="007233AC" w:rsidRPr="002F041F"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Længdeinterval for fartøjer (m)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P </w:t>
            </w:r>
          </w:p>
        </w:tc>
      </w:tr>
      <w:tr w:rsidR="007233AC" w:rsidRPr="002F041F"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Gennemsnitlig </w:t>
            </w:r>
            <w:r w:rsidRPr="002F041F">
              <w:rPr>
                <w:b/>
                <w:i/>
              </w:rPr>
              <w:t xml:space="preserve">fartøjslængde (m)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P </w:t>
            </w:r>
          </w:p>
        </w:tc>
      </w:tr>
      <w:tr w:rsidR="007233AC" w:rsidRPr="002F041F"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Samlet antal FAD'er efter type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S </w:t>
            </w:r>
          </w:p>
        </w:tc>
      </w:tr>
      <w:tr w:rsidR="007233AC" w:rsidRPr="002F041F" w:rsidTr="00C6436A">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Samlet antal fangstrejser efter type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S </w:t>
            </w:r>
          </w:p>
        </w:tc>
      </w:tr>
      <w:tr w:rsidR="007233AC" w:rsidRPr="002F041F" w:rsidTr="00C6436A">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Antal FAD'er inspiceret pr. fangstrejse, efter type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S </w:t>
            </w:r>
          </w:p>
        </w:tc>
      </w:tr>
      <w:tr w:rsidR="007233AC" w:rsidRPr="002F041F" w:rsidTr="00C6436A">
        <w:trPr>
          <w:trHeight w:val="668"/>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Antal besøgte FAD'er pr. </w:t>
            </w:r>
          </w:p>
          <w:p w:rsidR="00C6436A" w:rsidRPr="002F041F" w:rsidRDefault="002F041F">
            <w:pPr>
              <w:tabs>
                <w:tab w:val="left" w:pos="834"/>
              </w:tabs>
              <w:ind w:right="449"/>
              <w:jc w:val="center"/>
              <w:rPr>
                <w:rFonts w:cstheme="minorHAnsi"/>
                <w:b/>
                <w:i/>
              </w:rPr>
            </w:pPr>
            <w:r w:rsidRPr="002F041F">
              <w:rPr>
                <w:b/>
                <w:i/>
              </w:rPr>
              <w:t xml:space="preserve">fangstrejse, efter type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X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S </w:t>
            </w:r>
          </w:p>
        </w:tc>
      </w:tr>
      <w:tr w:rsidR="007233AC" w:rsidRPr="002F041F" w:rsidTr="00C6436A">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Gennemsnitlig størrelse </w:t>
            </w:r>
            <w:r w:rsidRPr="002F041F">
              <w:rPr>
                <w:b/>
                <w:i/>
              </w:rPr>
              <w:t xml:space="preserve">af fisk fanget i fangstperioden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S </w:t>
            </w:r>
          </w:p>
        </w:tc>
      </w:tr>
      <w:tr w:rsidR="007233AC" w:rsidRPr="002F041F" w:rsidTr="00C6436A">
        <w:trPr>
          <w:trHeight w:val="936"/>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lastRenderedPageBreak/>
              <w:t xml:space="preserve">System til indsamling og behandling af fangst- og indsatsdata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S </w:t>
            </w:r>
          </w:p>
        </w:tc>
      </w:tr>
      <w:tr w:rsidR="007233AC" w:rsidRPr="002F041F" w:rsidTr="00C6436A">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Omladning </w:t>
            </w:r>
          </w:p>
        </w:tc>
        <w:tc>
          <w:tcPr>
            <w:tcW w:w="881" w:type="dxa"/>
            <w:tcBorders>
              <w:top w:val="single" w:sz="4" w:space="0" w:color="000000"/>
              <w:left w:val="single" w:sz="4" w:space="0" w:color="000000"/>
              <w:bottom w:val="single" w:sz="4" w:space="0" w:color="000000"/>
              <w:right w:val="nil"/>
            </w:tcBorders>
            <w:hideMark/>
          </w:tcPr>
          <w:p w:rsidR="00C6436A" w:rsidRPr="002F041F" w:rsidRDefault="002F041F">
            <w:pPr>
              <w:tabs>
                <w:tab w:val="left" w:pos="834"/>
              </w:tabs>
              <w:ind w:right="449"/>
              <w:jc w:val="center"/>
              <w:rPr>
                <w:rFonts w:cstheme="minorHAnsi"/>
                <w:b/>
                <w:i/>
              </w:rPr>
            </w:pPr>
            <w:r w:rsidRPr="002F041F">
              <w:rPr>
                <w:b/>
                <w:i/>
              </w:rPr>
              <w:t xml:space="preserve"> </w:t>
            </w:r>
          </w:p>
        </w:tc>
        <w:tc>
          <w:tcPr>
            <w:tcW w:w="2123" w:type="dxa"/>
            <w:tcBorders>
              <w:top w:val="single" w:sz="4" w:space="0" w:color="000000"/>
              <w:left w:val="nil"/>
              <w:bottom w:val="single" w:sz="4" w:space="0" w:color="000000"/>
              <w:right w:val="single" w:sz="4" w:space="0" w:color="000000"/>
            </w:tcBorders>
          </w:tcPr>
          <w:p w:rsidR="00C6436A" w:rsidRPr="002F041F" w:rsidRDefault="00C6436A">
            <w:pPr>
              <w:tabs>
                <w:tab w:val="left" w:pos="834"/>
              </w:tabs>
              <w:ind w:right="449"/>
              <w:jc w:val="center"/>
              <w:rPr>
                <w:rFonts w:cstheme="minorHAnsi"/>
                <w:b/>
                <w:i/>
              </w:rPr>
            </w:pPr>
          </w:p>
        </w:tc>
        <w:tc>
          <w:tcPr>
            <w:tcW w:w="3003" w:type="dxa"/>
            <w:tcBorders>
              <w:top w:val="single" w:sz="4" w:space="0" w:color="000000"/>
              <w:left w:val="single" w:sz="4" w:space="0" w:color="000000"/>
              <w:bottom w:val="single" w:sz="4" w:space="0" w:color="000000"/>
              <w:right w:val="single" w:sz="4" w:space="0" w:color="000000"/>
            </w:tcBorders>
            <w:hideMark/>
          </w:tcPr>
          <w:p w:rsidR="00C6436A" w:rsidRPr="002F041F" w:rsidRDefault="002F041F">
            <w:pPr>
              <w:tabs>
                <w:tab w:val="left" w:pos="834"/>
              </w:tabs>
              <w:ind w:right="449"/>
              <w:jc w:val="center"/>
              <w:rPr>
                <w:rFonts w:cstheme="minorHAnsi"/>
                <w:b/>
                <w:i/>
              </w:rPr>
            </w:pPr>
            <w:r w:rsidRPr="002F041F">
              <w:rPr>
                <w:b/>
                <w:i/>
              </w:rPr>
              <w:t xml:space="preserve">S </w:t>
            </w:r>
          </w:p>
        </w:tc>
      </w:tr>
    </w:tbl>
    <w:p w:rsidR="00C6436A" w:rsidRPr="002F041F" w:rsidRDefault="002F041F" w:rsidP="00C6436A">
      <w:pPr>
        <w:tabs>
          <w:tab w:val="left" w:pos="834"/>
        </w:tabs>
        <w:ind w:right="449"/>
        <w:rPr>
          <w:rFonts w:cstheme="minorHAnsi"/>
          <w:b/>
          <w:i/>
          <w:color w:val="000000" w:themeColor="text1"/>
          <w:sz w:val="22"/>
        </w:rPr>
      </w:pPr>
      <w:r w:rsidRPr="002F041F">
        <w:rPr>
          <w:b/>
          <w:i/>
          <w:sz w:val="22"/>
        </w:rPr>
        <w:t xml:space="preserve">* I overensstemmelse med GFCM's politik og procedurer for datafortrolighed angiver "datafortrolighedsstatus" adgangskriterierne </w:t>
      </w:r>
      <w:r w:rsidRPr="002F041F">
        <w:rPr>
          <w:b/>
          <w:i/>
          <w:sz w:val="22"/>
        </w:rPr>
        <w:t>med henblik på dataformidling: offentlig (P), halvprivat (S) eller privat (R).</w:t>
      </w:r>
    </w:p>
    <w:p w:rsidR="00C6436A" w:rsidRPr="002F041F" w:rsidRDefault="002F041F" w:rsidP="00C6436A">
      <w:pPr>
        <w:pStyle w:val="Olang"/>
        <w:rPr>
          <w:noProof w:val="0"/>
        </w:rPr>
      </w:pPr>
      <w:r w:rsidRPr="002F041F">
        <w:rPr>
          <w:noProof w:val="0"/>
        </w:rPr>
        <w:t xml:space="preserve">Or. </w:t>
      </w:r>
      <w:r w:rsidRPr="002F041F">
        <w:rPr>
          <w:rStyle w:val="HideTWBExt"/>
          <w:noProof w:val="0"/>
        </w:rPr>
        <w:t>&lt;Original&gt;</w:t>
      </w:r>
      <w:r w:rsidRPr="002F041F">
        <w:rPr>
          <w:rStyle w:val="HideTWBInt"/>
          <w:noProof w:val="0"/>
        </w:rPr>
        <w:t>{EN}</w:t>
      </w:r>
      <w:r w:rsidRPr="002F041F">
        <w:rPr>
          <w:noProof w:val="0"/>
        </w:rPr>
        <w:t>en</w:t>
      </w:r>
      <w:r w:rsidRPr="002F041F">
        <w:rPr>
          <w:rStyle w:val="HideTWBExt"/>
          <w:noProof w:val="0"/>
        </w:rPr>
        <w:t>&lt;/Original&gt;</w:t>
      </w:r>
    </w:p>
    <w:p w:rsidR="00C6436A" w:rsidRPr="002F041F" w:rsidRDefault="002F041F" w:rsidP="00C6436A">
      <w:pPr>
        <w:rPr>
          <w:b/>
          <w:i/>
        </w:rPr>
      </w:pPr>
      <w:r w:rsidRPr="002F041F">
        <w:rPr>
          <w:rStyle w:val="HideTWBExt"/>
          <w:noProof w:val="0"/>
        </w:rPr>
        <w:t>&lt;/Amend&gt;</w:t>
      </w:r>
    </w:p>
    <w:p w:rsidR="00C6436A" w:rsidRPr="002F041F" w:rsidRDefault="002F041F" w:rsidP="00C6436A">
      <w:r w:rsidRPr="002F041F">
        <w:rPr>
          <w:rStyle w:val="HideTWBExt"/>
          <w:noProof w:val="0"/>
        </w:rPr>
        <w:t>&lt;/RepeatBlock-Amend&gt;</w:t>
      </w:r>
    </w:p>
    <w:p w:rsidR="00C6436A" w:rsidRPr="002F041F" w:rsidRDefault="00C6436A" w:rsidP="00C6436A"/>
    <w:p w:rsidR="00C6436A" w:rsidRPr="002F041F" w:rsidRDefault="00C6436A" w:rsidP="00C6436A">
      <w:pPr>
        <w:widowControl/>
        <w:sectPr w:rsidR="00C6436A" w:rsidRPr="002F041F" w:rsidSect="00D934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C6436A" w:rsidRPr="002F041F" w:rsidRDefault="00C6436A" w:rsidP="00C6436A">
      <w:pPr>
        <w:widowControl/>
        <w:rPr>
          <w:b/>
        </w:rPr>
      </w:pPr>
    </w:p>
    <w:p w:rsidR="00C6436A" w:rsidRPr="002F041F" w:rsidRDefault="002F041F" w:rsidP="00C6436A">
      <w:pPr>
        <w:pStyle w:val="PageHeading"/>
      </w:pPr>
      <w:bookmarkStart w:id="2" w:name="_Toc99625636"/>
      <w:bookmarkStart w:id="3" w:name="_Toc90575036"/>
      <w:bookmarkStart w:id="4" w:name="FootprintPageRR"/>
      <w:bookmarkStart w:id="5" w:name="_Toc192580510"/>
      <w:r w:rsidRPr="002F041F">
        <w:t>BEGRUNDELSE</w:t>
      </w:r>
      <w:bookmarkEnd w:id="2"/>
      <w:bookmarkEnd w:id="3"/>
      <w:bookmarkEnd w:id="5"/>
    </w:p>
    <w:p w:rsidR="00C6436A" w:rsidRPr="002F041F" w:rsidRDefault="002F041F" w:rsidP="002F041F">
      <w:pPr>
        <w:spacing w:after="240"/>
      </w:pPr>
      <w:r w:rsidRPr="002F041F">
        <w:t>Ordføreren anerkender den indsats, som Kommissionen har gjort inden for GFCM for at opnå lige vilkå</w:t>
      </w:r>
      <w:r w:rsidRPr="002F041F">
        <w:t>r i Middelhavet. Disse bestræbelser har bidraget til at fremme en bedre overholdelseskultur blandt alle kontraherende parter. Desuden roser ordføreren EFCA's styrkede rolle med hensyn til at koordinere medlemsstaternes kontrol- og inspektionsaktiviteter på</w:t>
      </w:r>
      <w:r w:rsidRPr="002F041F">
        <w:t xml:space="preserve"> grundlag af internationale kontrol- og inspektionsprogrammer. Ordføreren understreger imidlertid, at eventuelle fremskridt med hensyn til at mindske overfiskning i Middelhavet i vid udstrækning skyldes EU-flådens engagement for at reducere sin fiskeriinds</w:t>
      </w:r>
      <w:r w:rsidRPr="002F041F">
        <w:t>ats. Tilgangen af nordafrikanske og mellemøstlige lande til udnyttelsen af fælles fiskeressourcer har haft økologiske og socioøkonomiske indvirkninger, som ikke afspejles tilstrækkeligt i GFCM's beslutninger. Efter ordførerens opfattelse bør GFCM være et i</w:t>
      </w:r>
      <w:r w:rsidRPr="002F041F">
        <w:t xml:space="preserve">nstrument til at beskytte de europæiske fiskeriers interesser i Middelhavet. </w:t>
      </w:r>
    </w:p>
    <w:p w:rsidR="00C6436A" w:rsidRPr="002F041F" w:rsidRDefault="002F041F" w:rsidP="002F041F">
      <w:pPr>
        <w:spacing w:after="240"/>
      </w:pPr>
      <w:r w:rsidRPr="002F041F">
        <w:t>I løbet af de seneste tyve år har Euro-Middelhavs-fiskerisektoren oplevet et fald i flådens størrelse og fiskeriindsats, hvilket har ført til færre beskæftigelsesmuligheder. Ind</w:t>
      </w:r>
      <w:r w:rsidRPr="002F041F">
        <w:t>satsreduktionspolitikker har resulteret i et mærkbart fald i både produktionsmængde og -værdi inden for alle sektorer. Desuden har flere faktorer bidraget til denne negative tendens i den europæiske fiskerisektor, herunder økonomiske udfordringer (såsom st</w:t>
      </w:r>
      <w:r w:rsidRPr="002F041F">
        <w:t>igende energiomkostninger og virkningerne af coronapandemien), sociale forhold (såsom vanskeligheder med at finde kvalificeret arbejdskraft) og økologiske faktorer (herunder øget fiskeriindsats fra Middelhavslande uden for EU, klimaforandringer og forekoms</w:t>
      </w:r>
      <w:r w:rsidRPr="002F041F">
        <w:t>ten af invasive arter).</w:t>
      </w:r>
    </w:p>
    <w:p w:rsidR="00C6436A" w:rsidRPr="002F041F" w:rsidRDefault="002F041F" w:rsidP="002F041F">
      <w:pPr>
        <w:spacing w:after="240"/>
      </w:pPr>
      <w:r w:rsidRPr="002F041F">
        <w:t>GFCM bør på denne baggrund intensivere sine bestræbelser på at forsvare EU's fiskerisektor og herunder lægge særlig vægt på beskæftigelse, samtidig med at der gøres en indsats for bevarelse og bæredygtig udnyttelse af levende marin</w:t>
      </w:r>
      <w:r w:rsidRPr="002F041F">
        <w:t>e ressourcer. Ordføreren mener, at henstillingerne skal gennemføres nøje i EU-retten, og beklager, at Kommissionen har foreslået visse ændringer, der rækker ud over GFCM-henstillingens anvendelsesområde, og som pålægger medlemsstaterne yderligere restrikti</w:t>
      </w:r>
      <w:r w:rsidRPr="002F041F">
        <w:t>oner, der ikke finder anvendelse på andre kontraherende parter i GFCM (f.eks. Albanien og Montenegro). Ud over potentielt at skade Unionens omdømme som førende inden for bæredygtighed på den globale scene skaber det også betydelig juridisk usikkerhed for E</w:t>
      </w:r>
      <w:r w:rsidRPr="002F041F">
        <w:t>U's operatører i Middelhavet. Kommissionen skal sikre fuldstændig gennemsigtighed i sine forhandlinger og navnlig sikre lige vilkår mellem EU-operatører og andre kontraherende parter i GFCM.</w:t>
      </w:r>
    </w:p>
    <w:p w:rsidR="00C6436A" w:rsidRPr="002F041F" w:rsidRDefault="002F041F" w:rsidP="002F041F">
      <w:pPr>
        <w:spacing w:after="240"/>
      </w:pPr>
      <w:r w:rsidRPr="002F041F">
        <w:t xml:space="preserve">Ordføreren udtrykker desuden sin skuffelse over, at forslaget </w:t>
      </w:r>
      <w:r w:rsidRPr="002F041F">
        <w:t>ikke indbefatter de beslutninger, som GFCM traf i 2023. Selv om hun værdsætter Kommissionens uformelle støtte til at behandle dette spørgsmål, ville hun have foretrukket, at disse anbefalinger var blevet medtaget i Kommissionens oprindelige forslag. Ordfør</w:t>
      </w:r>
      <w:r w:rsidRPr="002F041F">
        <w:t>eren finder det også betænkeligt, at Kommissionen foreslår at gennemføre GFCM's henstillinger fra 2021 og 2022, hvilket betyder, at Unionen ikke har opfyldt sine internationale forpligtelser i næsten fire år. For at sikre overensstemmelse med de seneste GF</w:t>
      </w:r>
      <w:r w:rsidRPr="002F041F">
        <w:t>CM-beslutninger har ordføreren besluttet at medtage henstillingerne fra 2023 i sine ændringsforslag og bemærker, at dette er afgørende for at bevare Unionens troværdighed på den internationale scene.</w:t>
      </w:r>
    </w:p>
    <w:p w:rsidR="00C6436A" w:rsidRPr="002F041F" w:rsidRDefault="002F041F" w:rsidP="002F041F">
      <w:pPr>
        <w:spacing w:after="240"/>
      </w:pPr>
      <w:r w:rsidRPr="002F041F">
        <w:t>Ordføreren opfordrer derfor indtrængende Kommissionen t</w:t>
      </w:r>
      <w:r w:rsidRPr="002F041F">
        <w:t xml:space="preserve">il at forelægge eventuelle </w:t>
      </w:r>
      <w:r w:rsidRPr="002F041F">
        <w:lastRenderedPageBreak/>
        <w:t>fremtidige forslag til gennemførelse af henstillinger fra regionale fiskeriforvaltningsorganisationer (RFFO'er) senest seks måneder efter datoen for deres vedtagelse i RFFO'en. Det er således endnu ikke seks måneder, siden GFCM s</w:t>
      </w:r>
      <w:r w:rsidRPr="002F041F">
        <w:t>enest trådte sammen, i november 2024. Kommissionen skal fastholde sin kurs for at sikre, at der opnås fuldstændig gennemsigtighed om dens holdninger vedrørende forhandlingerne inden for GFCM. Ordføreren ser frem til at modtage Kommissionens forslag til hen</w:t>
      </w:r>
      <w:r w:rsidRPr="002F041F">
        <w:t>stillingerne fra 2024 efter den juridiske gennemgang af dem.</w:t>
      </w:r>
    </w:p>
    <w:p w:rsidR="00C6436A" w:rsidRPr="002F041F" w:rsidRDefault="002F041F" w:rsidP="00C6436A">
      <w:pPr>
        <w:widowControl/>
      </w:pPr>
      <w:r w:rsidRPr="002F041F">
        <w:br w:type="page"/>
      </w:r>
    </w:p>
    <w:p w:rsidR="00C6436A" w:rsidRPr="002F041F" w:rsidRDefault="002F041F" w:rsidP="00C6436A">
      <w:pPr>
        <w:pStyle w:val="PageHeading"/>
      </w:pPr>
      <w:bookmarkStart w:id="6" w:name="_Toc190942593"/>
      <w:bookmarkStart w:id="7" w:name="_Toc192580511"/>
      <w:r w:rsidRPr="002F041F">
        <w:lastRenderedPageBreak/>
        <w:t>BILAG: ENHEDER ELLER PERSONER, SOM ORDFØREREN HAR MODTAGET INPUT FRA</w:t>
      </w:r>
      <w:bookmarkEnd w:id="6"/>
      <w:bookmarkEnd w:id="7"/>
    </w:p>
    <w:p w:rsidR="00C6436A" w:rsidRPr="002F041F" w:rsidRDefault="002F041F" w:rsidP="00C6436A">
      <w:pPr>
        <w:pStyle w:val="Normal24a"/>
        <w:spacing w:after="240"/>
      </w:pPr>
      <w:r w:rsidRPr="002F041F">
        <w:rPr>
          <w:rStyle w:val="HideTWBExt"/>
          <w:noProof w:val="0"/>
        </w:rPr>
        <w:t>&lt;FootprintIntro&gt;</w:t>
      </w:r>
      <w:r w:rsidRPr="002F041F">
        <w:t xml:space="preserve">I henhold til artikel 8 i bilag I til forretningsordenen erklærer ordføreren at have modtaget input fra </w:t>
      </w:r>
      <w:r w:rsidRPr="002F041F">
        <w:t>følgende enheder eller personer som led i udarbejdelsen af udkastet til betænkning:</w:t>
      </w:r>
      <w:r w:rsidRPr="002F041F">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233AC" w:rsidRPr="002F041F" w:rsidTr="00C6436A">
        <w:tc>
          <w:tcPr>
            <w:tcW w:w="9060" w:type="dxa"/>
            <w:tcBorders>
              <w:top w:val="single" w:sz="4" w:space="0" w:color="auto"/>
              <w:left w:val="single" w:sz="4" w:space="0" w:color="auto"/>
              <w:bottom w:val="single" w:sz="4" w:space="0" w:color="auto"/>
              <w:right w:val="single" w:sz="4" w:space="0" w:color="auto"/>
            </w:tcBorders>
            <w:hideMark/>
          </w:tcPr>
          <w:p w:rsidR="00C6436A" w:rsidRPr="002F041F" w:rsidRDefault="002F041F">
            <w:pPr>
              <w:pStyle w:val="NormalBoldCenter"/>
              <w:spacing w:line="254" w:lineRule="auto"/>
            </w:pPr>
            <w:r w:rsidRPr="002F041F">
              <w:t>Enhed og/eller person</w:t>
            </w:r>
          </w:p>
        </w:tc>
      </w:tr>
      <w:tr w:rsidR="007233AC" w:rsidRPr="002F041F" w:rsidTr="00C6436A">
        <w:tc>
          <w:tcPr>
            <w:tcW w:w="9060" w:type="dxa"/>
            <w:tcBorders>
              <w:top w:val="single" w:sz="4" w:space="0" w:color="auto"/>
              <w:left w:val="single" w:sz="4" w:space="0" w:color="auto"/>
              <w:bottom w:val="single" w:sz="4" w:space="0" w:color="auto"/>
              <w:right w:val="single" w:sz="4" w:space="0" w:color="auto"/>
            </w:tcBorders>
            <w:hideMark/>
          </w:tcPr>
          <w:p w:rsidR="00C6436A" w:rsidRPr="002F041F" w:rsidRDefault="002F041F">
            <w:pPr>
              <w:pStyle w:val="NormalSingle"/>
              <w:spacing w:line="254" w:lineRule="auto"/>
            </w:pPr>
            <w:r w:rsidRPr="002F041F">
              <w:t>Kroatiens Faste Repræsentation ved EU</w:t>
            </w:r>
          </w:p>
        </w:tc>
      </w:tr>
      <w:tr w:rsidR="007233AC" w:rsidRPr="002F041F" w:rsidTr="00C6436A">
        <w:tc>
          <w:tcPr>
            <w:tcW w:w="9060" w:type="dxa"/>
            <w:tcBorders>
              <w:top w:val="single" w:sz="4" w:space="0" w:color="auto"/>
              <w:left w:val="single" w:sz="4" w:space="0" w:color="auto"/>
              <w:bottom w:val="single" w:sz="4" w:space="0" w:color="auto"/>
              <w:right w:val="single" w:sz="4" w:space="0" w:color="auto"/>
            </w:tcBorders>
            <w:hideMark/>
          </w:tcPr>
          <w:p w:rsidR="00C6436A" w:rsidRPr="002F041F" w:rsidRDefault="002F041F">
            <w:pPr>
              <w:pStyle w:val="NormalSingle"/>
              <w:spacing w:line="254" w:lineRule="auto"/>
            </w:pPr>
            <w:r w:rsidRPr="002F041F">
              <w:t>Det kroatiske landbrugsministerium</w:t>
            </w:r>
          </w:p>
        </w:tc>
      </w:tr>
    </w:tbl>
    <w:p w:rsidR="00C6436A" w:rsidRPr="002F041F" w:rsidRDefault="002F041F" w:rsidP="00C6436A">
      <w:pPr>
        <w:pStyle w:val="Footprint12b"/>
      </w:pPr>
      <w:r w:rsidRPr="002F041F">
        <w:t>Ordføreren har udarbejdet ovenstående liste på eget ansva</w:t>
      </w:r>
      <w:r w:rsidRPr="002F041F">
        <w:t>r.</w:t>
      </w:r>
    </w:p>
    <w:p w:rsidR="00C6436A" w:rsidRPr="002F041F" w:rsidRDefault="002F041F" w:rsidP="00C6436A">
      <w:pPr>
        <w:pStyle w:val="Footprint12b"/>
      </w:pPr>
      <w:r w:rsidRPr="002F041F">
        <w:t>Når fysiske personer er identificeret på listen ved deres navn, deres funktion eller begge, erklærer ordføreren at have forelagt de pågældende fysiske personer Europa-Parlamentets databeskyttelsesmeddelelse nr. 484 (</w:t>
      </w:r>
      <w:hyperlink r:id="rId15" w:history="1">
        <w:r w:rsidRPr="002F041F">
          <w:rPr>
            <w:rStyle w:val="Hyperlink"/>
          </w:rPr>
          <w:t>https://www.europarl.europa.eu/data-protect/index.do</w:t>
        </w:r>
      </w:hyperlink>
      <w:r w:rsidRPr="002F041F">
        <w:t>), hvori de gældende betingelser for behandling af deres personoplysninger og rettighederne forbundet med denne behandling er fastlagt.</w:t>
      </w:r>
    </w:p>
    <w:p w:rsidR="00C6436A" w:rsidRPr="002F041F" w:rsidRDefault="00C6436A" w:rsidP="00C6436A"/>
    <w:bookmarkEnd w:id="4"/>
    <w:p w:rsidR="00C6436A" w:rsidRPr="002F041F" w:rsidRDefault="00C6436A" w:rsidP="00C6436A">
      <w:pPr>
        <w:pStyle w:val="AmNumberTabs"/>
        <w:keepNext/>
      </w:pPr>
    </w:p>
    <w:p w:rsidR="002669B6" w:rsidRPr="002F041F" w:rsidRDefault="002669B6" w:rsidP="00C6436A"/>
    <w:sectPr w:rsidR="002669B6" w:rsidRPr="002F041F" w:rsidSect="00D548BB">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934A5" w:rsidRDefault="002F041F">
      <w:r w:rsidRPr="00D934A5">
        <w:separator/>
      </w:r>
    </w:p>
  </w:endnote>
  <w:endnote w:type="continuationSeparator" w:id="0">
    <w:p w:rsidR="00000000" w:rsidRPr="00D934A5" w:rsidRDefault="002F041F">
      <w:r w:rsidRPr="00D934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4A5" w:rsidRPr="00D934A5" w:rsidRDefault="00D934A5" w:rsidP="00D934A5">
    <w:pPr>
      <w:pStyle w:val="EPFooter"/>
    </w:pPr>
    <w:r w:rsidRPr="00D934A5">
      <w:t>PE</w:t>
    </w:r>
    <w:r w:rsidRPr="00D934A5">
      <w:rPr>
        <w:rStyle w:val="HideTWBExt"/>
      </w:rPr>
      <w:t>&lt;NoPE&gt;</w:t>
    </w:r>
    <w:r w:rsidRPr="00D934A5">
      <w:t>765.292</w:t>
    </w:r>
    <w:r w:rsidRPr="00D934A5">
      <w:rPr>
        <w:rStyle w:val="HideTWBExt"/>
      </w:rPr>
      <w:t>&lt;/NoPE&gt;&lt;Version&gt;</w:t>
    </w:r>
    <w:r w:rsidRPr="00D934A5">
      <w:t>v01-00</w:t>
    </w:r>
    <w:r w:rsidRPr="00D934A5">
      <w:rPr>
        <w:rStyle w:val="HideTWBExt"/>
      </w:rPr>
      <w:t>&lt;/Version&gt;</w:t>
    </w:r>
    <w:r w:rsidRPr="00D934A5">
      <w:tab/>
    </w:r>
    <w:r w:rsidRPr="00D934A5">
      <w:fldChar w:fldCharType="begin"/>
    </w:r>
    <w:r w:rsidRPr="00D934A5">
      <w:instrText xml:space="preserve"> PAGE  \* MERGEFORMAT </w:instrText>
    </w:r>
    <w:r w:rsidRPr="00D934A5">
      <w:fldChar w:fldCharType="separate"/>
    </w:r>
    <w:r w:rsidR="002F041F">
      <w:rPr>
        <w:noProof/>
      </w:rPr>
      <w:t>6</w:t>
    </w:r>
    <w:r w:rsidRPr="00D934A5">
      <w:fldChar w:fldCharType="end"/>
    </w:r>
    <w:r w:rsidRPr="00D934A5">
      <w:t>/</w:t>
    </w:r>
    <w:fldSimple w:instr=" NUMPAGES  \* MERGEFORMAT ">
      <w:r w:rsidR="002F041F">
        <w:rPr>
          <w:noProof/>
        </w:rPr>
        <w:t>92</w:t>
      </w:r>
    </w:fldSimple>
    <w:r w:rsidRPr="00D934A5">
      <w:tab/>
    </w:r>
    <w:r w:rsidRPr="00D934A5">
      <w:rPr>
        <w:rStyle w:val="HideTWBExt"/>
      </w:rPr>
      <w:t>&lt;PathFdR&gt;</w:t>
    </w:r>
    <w:r w:rsidRPr="00D934A5">
      <w:t>PR\1309819DA.docx</w:t>
    </w:r>
    <w:r w:rsidRPr="00D934A5">
      <w:rPr>
        <w:rStyle w:val="HideTWBExt"/>
      </w:rPr>
      <w:t>&lt;/PathFdR&gt;</w:t>
    </w:r>
  </w:p>
  <w:p w:rsidR="00DA04EE" w:rsidRPr="00D934A5" w:rsidRDefault="00D934A5" w:rsidP="00D934A5">
    <w:pPr>
      <w:pStyle w:val="EPFooter2"/>
    </w:pPr>
    <w:r w:rsidRPr="00D934A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4A5" w:rsidRPr="00D934A5" w:rsidRDefault="00D934A5" w:rsidP="00D934A5">
    <w:pPr>
      <w:pStyle w:val="EPFooter"/>
    </w:pPr>
    <w:r w:rsidRPr="00D934A5">
      <w:rPr>
        <w:rStyle w:val="HideTWBExt"/>
      </w:rPr>
      <w:t>&lt;PathFdR&gt;</w:t>
    </w:r>
    <w:r w:rsidRPr="00D934A5">
      <w:t>PR\1309819DA.docx</w:t>
    </w:r>
    <w:r w:rsidRPr="00D934A5">
      <w:rPr>
        <w:rStyle w:val="HideTWBExt"/>
      </w:rPr>
      <w:t>&lt;/PathFdR&gt;</w:t>
    </w:r>
    <w:r w:rsidRPr="00D934A5">
      <w:tab/>
    </w:r>
    <w:r w:rsidRPr="00D934A5">
      <w:fldChar w:fldCharType="begin"/>
    </w:r>
    <w:r w:rsidRPr="00D934A5">
      <w:instrText xml:space="preserve"> PAGE  \* MERGEFORMAT </w:instrText>
    </w:r>
    <w:r w:rsidRPr="00D934A5">
      <w:fldChar w:fldCharType="separate"/>
    </w:r>
    <w:r w:rsidR="002F041F">
      <w:rPr>
        <w:noProof/>
      </w:rPr>
      <w:t>5</w:t>
    </w:r>
    <w:r w:rsidRPr="00D934A5">
      <w:fldChar w:fldCharType="end"/>
    </w:r>
    <w:r w:rsidRPr="00D934A5">
      <w:t>/</w:t>
    </w:r>
    <w:fldSimple w:instr=" NUMPAGES  \* MERGEFORMAT ">
      <w:r w:rsidR="002F041F">
        <w:rPr>
          <w:noProof/>
        </w:rPr>
        <w:t>92</w:t>
      </w:r>
    </w:fldSimple>
    <w:r w:rsidRPr="00D934A5">
      <w:tab/>
      <w:t>PE</w:t>
    </w:r>
    <w:r w:rsidRPr="00D934A5">
      <w:rPr>
        <w:rStyle w:val="HideTWBExt"/>
      </w:rPr>
      <w:t>&lt;NoPE&gt;</w:t>
    </w:r>
    <w:r w:rsidRPr="00D934A5">
      <w:t>765.292</w:t>
    </w:r>
    <w:r w:rsidRPr="00D934A5">
      <w:rPr>
        <w:rStyle w:val="HideTWBExt"/>
      </w:rPr>
      <w:t>&lt;/NoPE&gt;&lt;Version&gt;</w:t>
    </w:r>
    <w:r w:rsidRPr="00D934A5">
      <w:t>v01-00</w:t>
    </w:r>
    <w:r w:rsidRPr="00D934A5">
      <w:rPr>
        <w:rStyle w:val="HideTWBExt"/>
      </w:rPr>
      <w:t>&lt;/Version&gt;</w:t>
    </w:r>
  </w:p>
  <w:p w:rsidR="00DA04EE" w:rsidRPr="00D934A5" w:rsidRDefault="00D934A5" w:rsidP="00D934A5">
    <w:pPr>
      <w:pStyle w:val="EPFooter2"/>
    </w:pPr>
    <w:r w:rsidRPr="00D934A5">
      <w:tab/>
    </w:r>
    <w:r w:rsidRPr="00D934A5">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4A5" w:rsidRPr="00D934A5" w:rsidRDefault="00D934A5" w:rsidP="00D934A5">
    <w:pPr>
      <w:pStyle w:val="EPFooter"/>
    </w:pPr>
    <w:r w:rsidRPr="00D934A5">
      <w:rPr>
        <w:rStyle w:val="HideTWBExt"/>
      </w:rPr>
      <w:t>&lt;PathFdR&gt;</w:t>
    </w:r>
    <w:r w:rsidRPr="00D934A5">
      <w:t>PR\1309819DA.docx</w:t>
    </w:r>
    <w:r w:rsidRPr="00D934A5">
      <w:rPr>
        <w:rStyle w:val="HideTWBExt"/>
      </w:rPr>
      <w:t>&lt;/PathFdR&gt;</w:t>
    </w:r>
    <w:r w:rsidRPr="00D934A5">
      <w:tab/>
    </w:r>
    <w:r w:rsidRPr="00D934A5">
      <w:tab/>
      <w:t>PE</w:t>
    </w:r>
    <w:r w:rsidRPr="00D934A5">
      <w:rPr>
        <w:rStyle w:val="HideTWBExt"/>
      </w:rPr>
      <w:t>&lt;NoPE&gt;</w:t>
    </w:r>
    <w:r w:rsidRPr="00D934A5">
      <w:t>765.292</w:t>
    </w:r>
    <w:r w:rsidRPr="00D934A5">
      <w:rPr>
        <w:rStyle w:val="HideTWBExt"/>
      </w:rPr>
      <w:t>&lt;/NoPE&gt;&lt;Version&gt;</w:t>
    </w:r>
    <w:r w:rsidRPr="00D934A5">
      <w:t>v01-00</w:t>
    </w:r>
    <w:r w:rsidRPr="00D934A5">
      <w:rPr>
        <w:rStyle w:val="HideTWBExt"/>
      </w:rPr>
      <w:t>&lt;/Version&gt;</w:t>
    </w:r>
  </w:p>
  <w:p w:rsidR="00DA04EE" w:rsidRPr="00D934A5" w:rsidRDefault="00D934A5" w:rsidP="00D934A5">
    <w:pPr>
      <w:pStyle w:val="EPFooter2"/>
    </w:pPr>
    <w:r w:rsidRPr="00D934A5">
      <w:t>DA</w:t>
    </w:r>
    <w:r w:rsidRPr="00D934A5">
      <w:tab/>
    </w:r>
    <w:r w:rsidRPr="00D934A5">
      <w:rPr>
        <w:b w:val="0"/>
        <w:i/>
        <w:color w:val="C0C0C0"/>
        <w:sz w:val="22"/>
      </w:rPr>
      <w:t>Forenet i mangfoldighed</w:t>
    </w:r>
    <w:r w:rsidRPr="00D934A5">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D934A5" w:rsidRDefault="002F041F" w:rsidP="00F07062">
    <w:pPr>
      <w:pStyle w:val="EPFooter"/>
    </w:pPr>
    <w:r w:rsidRPr="00D934A5">
      <w:rPr>
        <w:rStyle w:val="HideTWBExt"/>
      </w:rPr>
      <w:t>&lt;PathFdR&gt;</w:t>
    </w:r>
    <w:r w:rsidRPr="00D934A5">
      <w:t>PR\1309819EN.docx</w:t>
    </w:r>
    <w:r w:rsidRPr="00D934A5">
      <w:rPr>
        <w:rStyle w:val="HideTWBExt"/>
      </w:rPr>
      <w:t>&lt;/</w:t>
    </w:r>
    <w:r w:rsidRPr="00D934A5">
      <w:rPr>
        <w:rStyle w:val="HideTWBExt"/>
      </w:rPr>
      <w:t>PathFdR&gt;</w:t>
    </w:r>
    <w:r w:rsidRPr="00D934A5">
      <w:tab/>
    </w:r>
    <w:r w:rsidRPr="00D934A5">
      <w:tab/>
      <w:t>PE</w:t>
    </w:r>
    <w:r w:rsidRPr="00D934A5">
      <w:rPr>
        <w:rStyle w:val="HideTWBExt"/>
      </w:rPr>
      <w:t>&lt;NoPE&gt;</w:t>
    </w:r>
    <w:r w:rsidRPr="00D934A5">
      <w:t>765.292</w:t>
    </w:r>
    <w:r w:rsidRPr="00D934A5">
      <w:rPr>
        <w:rStyle w:val="HideTWBExt"/>
      </w:rPr>
      <w:t>&lt;/NoPE&gt;&lt;Version&gt;</w:t>
    </w:r>
    <w:r w:rsidRPr="00D934A5">
      <w:t>v01-00</w:t>
    </w:r>
    <w:r w:rsidRPr="00D934A5">
      <w:rPr>
        <w:rStyle w:val="HideTWBExt"/>
      </w:rPr>
      <w:t>&lt;/Version&gt;</w:t>
    </w:r>
  </w:p>
  <w:p w:rsidR="00DA04EE" w:rsidRPr="00D934A5" w:rsidRDefault="002F041F" w:rsidP="00461601">
    <w:pPr>
      <w:pStyle w:val="EPFooter2"/>
      <w:tabs>
        <w:tab w:val="clear" w:pos="4535"/>
        <w:tab w:val="center" w:pos="4536"/>
      </w:tabs>
    </w:pPr>
    <w:r w:rsidRPr="00D934A5">
      <w:fldChar w:fldCharType="begin"/>
    </w:r>
    <w:r w:rsidRPr="00D934A5">
      <w:instrText xml:space="preserve"> DOCPROPERTY "&lt;Extension&gt;" </w:instrText>
    </w:r>
    <w:r w:rsidRPr="00D934A5">
      <w:fldChar w:fldCharType="separate"/>
    </w:r>
    <w:r w:rsidR="00D934A5" w:rsidRPr="00D934A5">
      <w:t>DA</w:t>
    </w:r>
    <w:r w:rsidRPr="00D934A5">
      <w:fldChar w:fldCharType="end"/>
    </w:r>
    <w:r w:rsidRPr="00D934A5">
      <w:tab/>
    </w:r>
    <w:r w:rsidRPr="00D934A5">
      <w:rPr>
        <w:b w:val="0"/>
        <w:i/>
        <w:color w:val="C0C0C0"/>
        <w:sz w:val="22"/>
        <w:szCs w:val="22"/>
      </w:rPr>
      <w:t>United in diversity</w:t>
    </w:r>
    <w:r w:rsidRPr="00D934A5">
      <w:tab/>
    </w:r>
    <w:r w:rsidRPr="00D934A5">
      <w:fldChar w:fldCharType="begin"/>
    </w:r>
    <w:r w:rsidRPr="00D934A5">
      <w:instrText xml:space="preserve"> DOCPROPERTY "&lt;Extension&gt;" </w:instrText>
    </w:r>
    <w:r w:rsidRPr="00D934A5">
      <w:fldChar w:fldCharType="separate"/>
    </w:r>
    <w:r w:rsidR="00D934A5" w:rsidRPr="00D934A5">
      <w:t>DA</w:t>
    </w:r>
    <w:r w:rsidRPr="00D934A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2A0" w:rsidRPr="00D934A5" w:rsidRDefault="002F041F">
      <w:r w:rsidRPr="00D934A5">
        <w:separator/>
      </w:r>
    </w:p>
  </w:footnote>
  <w:footnote w:type="continuationSeparator" w:id="0">
    <w:p w:rsidR="002A12A0" w:rsidRPr="00D934A5" w:rsidRDefault="002F041F">
      <w:r w:rsidRPr="00D934A5">
        <w:continuationSeparator/>
      </w:r>
    </w:p>
  </w:footnote>
  <w:footnote w:id="1">
    <w:p w:rsidR="00DA04EE" w:rsidRPr="00D934A5" w:rsidRDefault="002F041F">
      <w:pPr>
        <w:pStyle w:val="FootnoteText"/>
      </w:pPr>
      <w:r w:rsidRPr="00D934A5">
        <w:rPr>
          <w:rStyle w:val="FootnoteReference"/>
        </w:rPr>
        <w:footnoteRef/>
      </w:r>
      <w:r w:rsidRPr="00D934A5">
        <w:t xml:space="preserve"> EUT C, C/2024/6023, 23.10.2024, ELI: http://data.europa.eu/eli/C/2024/6023/oj.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41F" w:rsidRDefault="002F04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41F" w:rsidRDefault="002F04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41F" w:rsidRDefault="002F04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4EE" w:rsidRPr="00865E5A" w:rsidRDefault="00DA0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PECH"/>
    <w:docVar w:name="CONTRIBUTIONMNU" w:val=" 1"/>
    <w:docVar w:name="CopyToNetwork" w:val="-1"/>
    <w:docVar w:name="CVar" w:val="33"/>
    <w:docVar w:name="DOCDT" w:val="10/12/2024"/>
    <w:docVar w:name="DOCMNU" w:val=" 1"/>
    <w:docVar w:name="EPSTATMNU" w:val=" 5"/>
    <w:docVar w:name="EVABUDGMNU" w:val=" 2"/>
    <w:docVar w:name="iNoAmend" w:val="33"/>
    <w:docVar w:name="INSTITUTIONSMNU" w:val=" 2"/>
    <w:docVar w:name="JURI1MNU" w:val=" 2"/>
    <w:docVar w:name="JURI2MNU" w:val=" 2"/>
    <w:docVar w:name="LastEditedSection" w:val=" 1"/>
    <w:docVar w:name="NVAR1" w:val="0"/>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29037 HideTWBExt;}{\*\cs18 \additive \v\f1\fs20\cf15 _x000d__x000a_\spriority0 \styrsid12729037 HideTWBInt;}{\s19\ql \li0\ri0\sa120\nowidctlpar\wrapdefault\aspalpha\aspnum\faauto\adjustright\rin0\lin0\itap0 \rtlch\fcs1 \af0\afs20\alang1025 \ltrch\fcs0 \fs24\lang2057\langfe2057\cgrid\langnp2057\langfenp2057 _x000d__x000a_\sbasedon0 \snext19 \spriority0 \styrsid12729037 Normal6a;}{\s20\ql \li0\ri0\nowidctlpar\wrapdefault\aspalpha\aspnum\faauto\adjustright\rin0\lin0\itap0 \rtlch\fcs1 \af0\afs20\alang1025 \ltrch\fcs0 \b\fs24\lang2057\langfe2057\cgrid\langnp2057\langfenp2057 _x000d__x000a_\sbasedon0 \snext20 \spriority0 \styrsid12729037 NormalBold;}{\s21\ql \li0\ri0\sa240\nowidctlpar\wrapdefault\aspalpha\aspnum\faauto\adjustright\rin0\lin0\itap0 \rtlch\fcs1 \af0\afs20\alang1025 \ltrch\fcs0 _x000d__x000a_\i\fs24\lang2057\langfe2057\cgrid\langnp2057\langfenp2057 \sbasedon0 \snext21 \spriority0 \styrsid12729037 AmJustText;}{\s22\qc \li0\ri0\sb240\sa240\nowidctlpar\wrapdefault\aspalpha\aspnum\faauto\adjustright\rin0\lin0\itap0 \rtlch\fcs1 _x000d__x000a_\af0\afs20\alang1025 \ltrch\fcs0 \i\fs24\lang2057\langfe2057\cgrid\langnp2057\langfenp2057 \sbasedon0 \snext22 \spriority0 \styrsid12729037 AmCrossRef;}{_x000d__x000a_\s23\qc \li0\ri0\sb240\sa240\keepn\nowidctlpar\wrapdefault\aspalpha\aspnum\faauto\adjustright\rin0\lin0\itap0 \rtlch\fcs1 \af0\afs20\alang1025 \ltrch\fcs0 \i\fs24\lang2057\langfe2057\cgrid\langnp2057\langfenp2057 _x000d__x000a_\sbasedon0 \snext21 \spriority0 \styrsid12729037 AmJustTitle;}{\s24\qr \li0\ri0\sb240\sa240\nowidctlpar\wrapdefault\aspalpha\aspnum\faauto\adjustright\rin0\lin0\itap0 \rtlch\fcs1 \af0\afs20\alang1025 \ltrch\fcs0 _x000d__x000a_\fs24\lang2057\langfe2057\cgrid\langnp2057\langfenp2057 \sbasedon0 \snext24 \spriority0 \styrsid12729037 AmOrLang;}{\s25\qc \li0\ri0\sa240\nowidctlpar\wrapdefault\aspalpha\aspnum\faauto\adjustright\rin0\lin0\itap0 \rtlch\fcs1 \af0\afs20\alang1025 _x000d__x000a_\ltrch\fcs0 \i\fs24\lang2057\langfe2057\cgrid\langnp2057\langfenp2057 \sbasedon0 \snext25 \spriority0 \styrsid127290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729037 AmNumberTabs;}{\s27\ql \li0\ri0\sb240\nowidctlpar\wrapdefault\aspalpha\aspnum\faauto\adjustright\rin0\lin0\itap0 \rtlch\fcs1 _x000d__x000a_\af0\afs20\alang1025 \ltrch\fcs0 \b\fs24\lang2057\langfe2057\cgrid\langnp2057\langfenp2057 \sbasedon0 \snext27 \spriority0 \styrsid12729037 NormalBold12b;}}{\*\rsidtbl \rsid24658\rsid223860\rsid735077\rsid1718133\rsid2892074\rsid3565327\rsid4666813_x000d__x000a_\rsid6641733\rsid7739349\rsid7823322\rsid9636012\rsid10377208\rsid11215221\rsid11549030\rsid12154954\rsid12729037\rsid14382809\rsid14424199\rsid15204470\rsid15285974\rsid15950462\rsid16324206\rsid16662270}{\mmathPr\mmathFont34\mbrkBin0\mbrkBinSub0_x000d__x000a_\msmallFrac0\mdispDef1\mlMargin0\mrMargin0\mdefJc1\mwrapIndent1440\mintLim0\mnaryLim1}{\info{\author NENICKOVA Sylvia}{\operator NENICKOVA Sylvia}{\creatim\yr2024\mo11\dy7\hr13}{\revtim\yr2024\mo11\dy7\hr13}{\version1}{\edmins0}{\nofpages1}{\nofwords104}_x000d__x000a_{\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29037\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7739349 \chftnsep _x000d__x000a_\par }}{\*\ftnsepc \ltrpar \pard\plain \ltrpar\ql \li0\ri0\widctlpar\wrapdefault\aspalpha\aspnum\faauto\adjustright\rin0\lin0\itap0 \rtlch\fcs1 \af0\afs20\alang1025 \ltrch\fcs0 \fs24\lang2057\langfe2057\cgrid\langnp2057\langfenp2057 {\rtlch\fcs1 \af0 _x000d__x000a_\ltrch\fcs0 \insrsid7739349 \chftnsepc _x000d__x000a_\par }}{\*\aftnsep \ltrpar \pard\plain \ltrpar\ql \li0\ri0\widctlpar\wrapdefault\aspalpha\aspnum\faauto\adjustright\rin0\lin0\itap0 \rtlch\fcs1 \af0\afs20\alang1025 \ltrch\fcs0 \fs24\lang2057\langfe2057\cgrid\langnp2057\langfenp2057 {\rtlch\fcs1 \af0 _x000d__x000a_\ltrch\fcs0 \insrsid7739349 \chftnsep _x000d__x000a_\par }}{\*\aftnsepc \ltrpar \pard\plain \ltrpar\ql \li0\ri0\widctlpar\wrapdefault\aspalpha\aspnum\faauto\adjustright\rin0\lin0\itap0 \rtlch\fcs1 \af0\afs20\alang1025 \ltrch\fcs0 \fs24\lang2057\langfe2057\cgrid\langnp2057\langfenp2057 {\rtlch\fcs1 \af0 _x000d__x000a_\ltrch\fcs0 \insrsid77393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729037 \rtlch\fcs1 _x000d__x000a_\af0\afs20\alang1025 \ltrch\fcs0 \b\fs24\lang2057\langfe2057\cgrid\langnp2057\langfenp2057 {\rtlch\fcs1 \af0 \ltrch\fcs0 \cs17\b0\v\fs20\cf9\lang1024\langfe1024\loch\af1\hich\af1\dbch\af31501\noproof\insrsid12729037\charrsid8550218 {\*\bkmkstart restart}_x000d__x000a_\hich\af1\dbch\af31501\loch\f1 &lt;Amend&gt;}{\rtlch\fcs1 \af0 \ltrch\fcs0 \insrsid12729037\charrsid8550218 Amendment\tab \tab }{\rtlch\fcs1 \af0 \ltrch\fcs0 _x000d__x000a_\cs17\b0\v\fs20\cf9\lang1024\langfe1024\loch\af1\hich\af1\dbch\af31501\noproof\insrsid12729037\charrsid8550218 \hich\af1\dbch\af31501\loch\f1 &lt;NumAm&gt;}{\rtlch\fcs1 \af0 \ltrch\fcs0 \insrsid12729037\charrsid8550218 #}{\rtlch\fcs1 \af1 \ltrch\fcs0 _x000d__x000a_\cs18\v\f1\fs20\cf15\insrsid12729037\charrsid8550218 ENMIENDA@NRAM@}{\rtlch\fcs1 \af0 \ltrch\fcs0 \insrsid12729037\charrsid8550218 #}{\rtlch\fcs1 \af0 \ltrch\fcs0 _x000d__x000a_\cs17\b0\v\fs20\cf9\lang1024\langfe1024\loch\af1\hich\af1\dbch\af31501\noproof\insrsid12729037\charrsid8550218 \hich\af1\dbch\af31501\loch\f1 &lt;/NumAm&gt;}{\rtlch\fcs1 \af0 \ltrch\fcs0 \insrsid12729037\charrsid8550218 _x000d__x000a_\par }\pard\plain \ltrpar\s27\ql \li0\ri0\sb240\keepn\nowidctlpar\wrapdefault\aspalpha\aspnum\faauto\adjustright\rin0\lin0\itap0\pararsid12729037 \rtlch\fcs1 \af0\afs20\alang1025 \ltrch\fcs0 \b\fs24\lang2057\langfe2057\cgrid\langnp2057\langfenp2057 {_x000d__x000a_\rtlch\fcs1 \af0 \ltrch\fcs0 \cs17\b0\v\fs20\cf9\lang1024\langfe1024\loch\af1\hich\af1\dbch\af31501\noproof\insrsid12729037\charrsid8550218 \hich\af1\dbch\af31501\loch\f1 &lt;DocAmend&gt;}{\rtlch\fcs1 \af0 \ltrch\fcs0 \insrsid12729037\charrsid8550218 _x000d__x000a_Proposal for a #}{\rtlch\fcs1 \af1 \ltrch\fcs0 \cs18\v\f1\fs20\cf15\insrsid12729037\charrsid8550218 MNU[DOC1][DOC2][DOC3]@DOCMSG@DOCMNU}{\rtlch\fcs1 \af0 \ltrch\fcs0 \insrsid12729037\charrsid8550218 ##}{\rtlch\fcs1 \af1 \ltrch\fcs0 _x000d__x000a_\cs18\v\f1\fs20\cf15\insrsid12729037\charrsid8550218 MNU[AMACTYES][NOTAPP]@CHOICE@AMACTMNU}{\rtlch\fcs1 \af0 \ltrch\fcs0 \insrsid12729037\charrsid8550218 #}{\rtlch\fcs1 \af0 \ltrch\fcs0 _x000d__x000a_\cs17\b0\v\fs20\cf9\lang1024\langfe1024\loch\af1\hich\af1\dbch\af31501\noproof\insrsid12729037\charrsid8550218 \hich\af1\dbch\af31501\loch\f1 &lt;/DocAmend&gt;}{\rtlch\fcs1 \af0 \ltrch\fcs0 \insrsid12729037\charrsid8550218 _x000d__x000a_\par }\pard\plain \ltrpar\s20\ql \li0\ri0\keepn\nowidctlpar\wrapdefault\aspalpha\aspnum\faauto\adjustright\rin0\lin0\itap0\pararsid12729037 \rtlch\fcs1 \af0\afs20\alang1025 \ltrch\fcs0 \b\fs24\lang2057\langfe2057\cgrid\langnp2057\langfenp2057 {\rtlch\fcs1 _x000d__x000a_\af0 \ltrch\fcs0 \cs17\b0\v\fs20\cf9\lang1024\langfe1024\loch\af1\hich\af1\dbch\af31501\noproof\insrsid12729037\charrsid8550218 \hich\af1\dbch\af31501\loch\f1 &lt;Article&gt;}{\rtlch\fcs1 \af0 \ltrch\fcs0 \insrsid12729037\charrsid8550218 #}{\rtlch\fcs1 \af1 _x000d__x000a_\ltrch\fcs0 \cs18\v\f1\fs20\cf15\insrsid12729037\charrsid8550218 MNU[AMACTPARTYES][AMACTPARTNO]@CHOICE@AMACTMNU}{\rtlch\fcs1 \af0 \ltrch\fcs0 \insrsid12729037\charrsid8550218 #}{\rtlch\fcs1 \af0 \ltrch\fcs0 _x000d__x000a_\cs17\b0\v\fs20\cf9\lang1024\langfe1024\loch\af1\hich\af1\dbch\af31501\noproof\insrsid12729037\charrsid8550218 \hich\af1\dbch\af31501\loch\f1 &lt;/Article&gt;}{\rtlch\fcs1 \af0 \ltrch\fcs0 \insrsid12729037\charrsid8550218 _x000d__x000a_\par }\pard\plain \ltrpar\ql \li0\ri0\keepn\widctlpar\wrapdefault\aspalpha\aspnum\faauto\adjustright\rin0\lin0\itap0\pararsid12729037 \rtlch\fcs1 \af0\afs20\alang1025 \ltrch\fcs0 \fs24\lang2057\langfe2057\cgrid\langnp2057\langfenp2057 {\rtlch\fcs1 \af0 _x000d__x000a_\ltrch\fcs0 \cs17\v\fs20\cf9\lang1024\langfe1024\loch\af1\hich\af1\dbch\af31501\noproof\insrsid12729037\charrsid8550218 \hich\af1\dbch\af31501\loch\f1 &lt;DocAmend2&gt;&lt;OptDel&gt;}{\rtlch\fcs1 \af0 \ltrch\fcs0 \insrsid12729037\charrsid8550218 #}{\rtlch\fcs1 \af1 _x000d__x000a_\ltrch\fcs0 \cs18\v\f1\fs20\cf15\insrsid12729037\charrsid8550218 MNU[OPTNRACTYES][NOTAPP]@CHOICE@AMACTMNU}{\rtlch\fcs1 \af0 \ltrch\fcs0 \insrsid12729037\charrsid8550218 #}{\rtlch\fcs1 \af0 \ltrch\fcs0 _x000d__x000a_\cs17\v\fs20\cf9\lang1024\langfe1024\loch\af1\hich\af1\dbch\af31501\noproof\insrsid12729037\charrsid8550218 \hich\af1\dbch\af31501\loch\f1 &lt;/OptDel&gt;&lt;/DocAmend2&gt;}{\rtlch\fcs1 \af0 \ltrch\fcs0 \insrsid12729037\charrsid8550218 _x000d__x000a_\par }\pard \ltrpar\ql \li0\ri0\widctlpar\wrapdefault\aspalpha\aspnum\faauto\adjustright\rin0\lin0\itap0\pararsid12729037 {\rtlch\fcs1 \af0 \ltrch\fcs0 \cs17\v\fs20\cf9\lang1024\langfe1024\loch\af1\hich\af1\dbch\af31501\noproof\insrsid12729037\charrsid8550218 _x000d__x000a_\hich\af1\dbch\af31501\loch\f1 &lt;Article2&gt;&lt;OptDel&gt;}{\rtlch\fcs1 \af0 \ltrch\fcs0 \insrsid12729037\charrsid8550218 #}{\rtlch\fcs1 \af1 \ltrch\fcs0 \cs18\v\f1\fs20\cf15\insrsid12729037\charrsid8550218 MNU[OPTACTPARTYES][NOTAPP]@CHOICE@AMACTMNU}{\rtlch\fcs1 _x000d__x000a_\af0 \ltrch\fcs0 \insrsid12729037\charrsid8550218 #}{\rtlch\fcs1 \af0 \ltrch\fcs0 \cs17\v\fs20\cf9\lang1024\langfe1024\loch\af1\hich\af1\dbch\af31501\noproof\insrsid12729037\charrsid8550218 \hich\af1\dbch\af31501\loch\f1 &lt;/OptDel&gt;&lt;/Article2&gt;}{\rtlch\fcs1 _x000d__x000a_\af0 \ltrch\fcs0 \insrsid12729037\charrsid855021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2729037\charrsid8550218 \cell }\pard\plain \ltrpar\ql \li0\ri0\widctlpar\intbl\wrapdefault\aspalpha\aspnum\faauto\adjustright\rin0\lin0 \rtlch\fcs1 _x000d__x000a_\af0\afs20\alang1025 \ltrch\fcs0 \fs24\lang2057\langfe2057\cgrid\langnp2057\langfenp2057 {\rtlch\fcs1 \af0 \ltrch\fcs0 \insrsid12729037\charrsid855021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2729037\charrsid8550218 #}{\rtlch\fcs1 \af1 \ltrch\fcs0 \cs18\v\f1\fs20\cf15\insrsid12729037\charrsid8550218 MNU[OPTLEFTAMACT][LEFTPROP]@CHOICE@AMACTMNU}{\rtlch\fcs1 \af0 \ltrch\fcs0 \insrsid12729037\charrsid8550218 #\cell Amendment\cell _x000d__x000a_}\pard\plain \ltrpar\ql \li0\ri0\widctlpar\intbl\wrapdefault\aspalpha\aspnum\faauto\adjustright\rin0\lin0 \rtlch\fcs1 \af0\afs20\alang1025 \ltrch\fcs0 \fs24\lang2057\langfe2057\cgrid\langnp2057\langfenp2057 {\rtlch\fcs1 \af0 \ltrch\fcs0 _x000d__x000a_\insrsid12729037\charrsid855021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2729037\charrsid8550218 ##\cell ##}{\rtlch\fcs1 \af0\afs24 \ltrch\fcs0 \insrsid12729037\charrsid8550218 \cell }\pard\plain \ltrpar\ql \li0\ri0\widctlpar\intbl\wrapdefault\aspalpha\aspnum\faauto\adjustright\rin0\lin0 \rtlch\fcs1 _x000d__x000a_\af0\afs20\alang1025 \ltrch\fcs0 \fs24\lang2057\langfe2057\cgrid\langnp2057\langfenp2057 {\rtlch\fcs1 \af0 \ltrch\fcs0 \insrsid12729037\charrsid855021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729037 \rtlch\fcs1 \af0\afs20\alang1025 \ltrch\fcs0 \fs24\lang2057\langfe2057\cgrid\langnp2057\langfenp2057 {\rtlch\fcs1 \af0 \ltrch\fcs0 _x000d__x000a_\insrsid12729037\charrsid8550218 Or. }{\rtlch\fcs1 \af0 \ltrch\fcs0 \cs17\v\fs20\cf9\lang1024\langfe1024\loch\af1\hich\af1\dbch\af31501\noproof\insrsid12729037\charrsid8550218 \hich\af1\dbch\af31501\loch\f1 &lt;Original&gt;}{\rtlch\fcs1 \af0 \ltrch\fcs0 _x000d__x000a_\insrsid12729037\charrsid8550218 #}{\rtlch\fcs1 \af1 \ltrch\fcs0 \cs18\v\f1\fs20\cf15\insrsid12729037\charrsid8550218 MNU[ORLANGONE][ORLANGMORE]@CHOICE@ORLANGMNU}{\rtlch\fcs1 \af0 \ltrch\fcs0 \insrsid12729037\charrsid8550218 #}{\rtlch\fcs1 \af0 _x000d__x000a_\ltrch\fcs0 \cs17\v\fs20\cf9\lang1024\langfe1024\loch\af1\hich\af1\dbch\af31501\noproof\insrsid12729037\charrsid8550218 \hich\af1\dbch\af31501\loch\f1 &lt;/Original&gt;}{\rtlch\fcs1 \af0 \ltrch\fcs0 \insrsid12729037\charrsid8550218 _x000d__x000a_\par }\pard\plain \ltrpar\s22\qc \li0\ri0\sb240\sa240\nowidctlpar\wrapdefault\aspalpha\aspnum\faauto\adjustright\rin0\lin0\itap0\pararsid12729037 \rtlch\fcs1 \af0\afs20\alang1025 \ltrch\fcs0 \i\fs24\lang2057\langfe2057\cgrid\langnp2057\langfenp2057 {_x000d__x000a_\rtlch\fcs1 \af0 \ltrch\fcs0 \cs17\i0\v\fs20\cf9\lang1024\langfe1024\loch\af1\hich\af1\dbch\af31501\noproof\insrsid12729037\charrsid8550218 \hich\af1\dbch\af31501\loch\f1 &lt;OptDel&gt;}{\rtlch\fcs1 \af0 \ltrch\fcs0 \insrsid12729037\charrsid8550218 #}{_x000d__x000a_\rtlch\fcs1 \af1 \ltrch\fcs0 \cs18\v\f1\fs20\cf15\insrsid12729037\charrsid8550218 MNU[CROSSREFNO][CROSSREFYES]@CHOICE@}{\rtlch\fcs1 \af0 \ltrch\fcs0 \insrsid12729037\charrsid8550218 #}{\rtlch\fcs1 \af0 \ltrch\fcs0 _x000d__x000a_\cs17\i0\v\fs20\cf9\lang1024\langfe1024\loch\af1\hich\af1\dbch\af31501\noproof\insrsid12729037\charrsid8550218 \hich\af1\dbch\af31501\loch\f1 &lt;/OptDel&gt;}{\rtlch\fcs1 \af0 \ltrch\fcs0 \insrsid12729037\charrsid8550218 _x000d__x000a_\par }\pard\plain \ltrpar\s23\qc \li0\ri0\sb240\sa240\keepn\nowidctlpar\wrapdefault\aspalpha\aspnum\faauto\adjustright\rin0\lin0\itap0\pararsid12729037 \rtlch\fcs1 \af0\afs20\alang1025 \ltrch\fcs0 \i\fs24\lang2057\langfe2057\cgrid\langnp2057\langfenp2057 {_x000d__x000a_\rtlch\fcs1 \af0 \ltrch\fcs0 \cs17\i0\v\fs20\cf9\lang1024\langfe1024\loch\af1\hich\af1\dbch\af31501\noproof\insrsid12729037\charrsid8550218 \hich\af1\dbch\af31501\loch\f1 &lt;TitreJust&gt;}{\rtlch\fcs1 \af0 \ltrch\fcs0 \insrsid12729037\charrsid8550218 _x000d__x000a_Justification}{\rtlch\fcs1 \af0 \ltrch\fcs0 \cs17\i0\v\fs20\cf9\lang1024\langfe1024\loch\af1\hich\af1\dbch\af31501\noproof\insrsid12729037\charrsid8550218 \hich\af1\dbch\af31501\loch\f1 &lt;/TitreJust&gt;}{\rtlch\fcs1 \af0 \ltrch\fcs0 _x000d__x000a_\insrsid12729037\charrsid8550218 _x000d__x000a_\par }\pard\plain \ltrpar\s21\ql \li0\ri0\sa240\nowidctlpar\wrapdefault\aspalpha\aspnum\faauto\adjustright\rin0\lin0\itap0\pararsid12729037 \rtlch\fcs1 \af0\afs20\alang1025 \ltrch\fcs0 \i\fs24\lang2057\langfe2057\cgrid\langnp2057\langfenp2057 {\rtlch\fcs1 _x000d__x000a_\af0 \ltrch\fcs0 \cs17\i0\v\fs20\cf9\lang1024\langfe1024\loch\af1\hich\af1\dbch\af31501\noproof\insrsid12729037\charrsid8550218 \hich\af1\dbch\af31501\loch\f1 &lt;OptDelPrev&gt;}{\rtlch\fcs1 \af0 \ltrch\fcs0 \insrsid12729037\charrsid8550218 #}{\rtlch\fcs1 \af1 _x000d__x000a_\ltrch\fcs0 \cs18\v\f1\fs20\cf15\insrsid12729037\charrsid8550218 MNU[TEXTJUSTYES][TEXTJUSTNO]@CHOICE@}{\rtlch\fcs1 \af0 \ltrch\fcs0 \insrsid12729037\charrsid8550218 #}{\rtlch\fcs1 \af0 \ltrch\fcs0 _x000d__x000a_\cs17\i0\v\fs20\cf9\lang1024\langfe1024\loch\af1\hich\af1\dbch\af31501\noproof\insrsid12729037\charrsid8550218 \hich\af1\dbch\af31501\loch\f1 &lt;/OptDelPrev&gt;}{\rtlch\fcs1 \af0 \ltrch\fcs0 \insrsid12729037\charrsid8550218 _x000d__x000a_\par }\pard\plain \ltrpar\ql \li0\ri0\widctlpar\wrapdefault\aspalpha\aspnum\faauto\adjustright\rin0\lin0\itap0\pararsid12729037 \rtlch\fcs1 \af0\afs20\alang1025 \ltrch\fcs0 \fs24\lang2057\langfe2057\cgrid\langnp2057\langfenp2057 {\rtlch\fcs1 \af0 \ltrch\fcs0 _x000d__x000a_\cs17\v\fs20\cf9\lang1024\langfe1024\loch\af1\hich\af1\dbch\af31501\noproof\insrsid12729037\charrsid855021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6_x000d__x000a_c4980c3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09"/>
    <w:docVar w:name="TXTLANGUE" w:val="DA"/>
    <w:docVar w:name="TXTLANGUEMIN" w:val="da"/>
    <w:docVar w:name="TXTNRC" w:val="xxxx"/>
    <w:docVar w:name="TXTNRCOD" w:val="2024/0098"/>
    <w:docVar w:name="TXTNRCOM" w:val="(2024)183"/>
    <w:docVar w:name="TXTNRFIRSTAM" w:val="1"/>
    <w:docVar w:name="TXTNRLASTAM" w:val="126"/>
    <w:docVar w:name="TXTNRPE" w:val="765.292"/>
    <w:docVar w:name="TXTPEorAP" w:val="PE"/>
    <w:docVar w:name="TXTROUTE" w:val="PR\1309819DA.docx"/>
    <w:docVar w:name="TXTTITLE" w:val="amending Regulation (EU) No 2023/2124 of the European Parliament and of the Council of 4 October 2023 on certain provisions for fishing in the GFCM (General Fisheries Commission for the Mediterranean) Agreement area"/>
    <w:docVar w:name="TXTVERSION" w:val="01-00"/>
  </w:docVars>
  <w:rsids>
    <w:rsidRoot w:val="006F3CBE"/>
    <w:rsid w:val="00011AAB"/>
    <w:rsid w:val="00012351"/>
    <w:rsid w:val="000139E5"/>
    <w:rsid w:val="000162E6"/>
    <w:rsid w:val="00070A9E"/>
    <w:rsid w:val="00084DD2"/>
    <w:rsid w:val="00084E89"/>
    <w:rsid w:val="000B62B6"/>
    <w:rsid w:val="000B7489"/>
    <w:rsid w:val="000C5776"/>
    <w:rsid w:val="000E2622"/>
    <w:rsid w:val="000F1096"/>
    <w:rsid w:val="000F61F0"/>
    <w:rsid w:val="00104E2D"/>
    <w:rsid w:val="00120948"/>
    <w:rsid w:val="00123DD5"/>
    <w:rsid w:val="001277AE"/>
    <w:rsid w:val="00133656"/>
    <w:rsid w:val="00142215"/>
    <w:rsid w:val="00156D23"/>
    <w:rsid w:val="001767E2"/>
    <w:rsid w:val="00183BAE"/>
    <w:rsid w:val="00185D25"/>
    <w:rsid w:val="00187008"/>
    <w:rsid w:val="001B3829"/>
    <w:rsid w:val="001C5592"/>
    <w:rsid w:val="001C5B44"/>
    <w:rsid w:val="001C6FFC"/>
    <w:rsid w:val="001D0647"/>
    <w:rsid w:val="001F5EC3"/>
    <w:rsid w:val="001F7C7C"/>
    <w:rsid w:val="002003E3"/>
    <w:rsid w:val="00212B84"/>
    <w:rsid w:val="002346B0"/>
    <w:rsid w:val="00235674"/>
    <w:rsid w:val="00252CA6"/>
    <w:rsid w:val="002667C3"/>
    <w:rsid w:val="002669B6"/>
    <w:rsid w:val="00290BED"/>
    <w:rsid w:val="002A12A0"/>
    <w:rsid w:val="002A32EC"/>
    <w:rsid w:val="002D13EE"/>
    <w:rsid w:val="002D261A"/>
    <w:rsid w:val="002D4270"/>
    <w:rsid w:val="002E33EE"/>
    <w:rsid w:val="002F041F"/>
    <w:rsid w:val="002F316B"/>
    <w:rsid w:val="002F40BB"/>
    <w:rsid w:val="002F4B02"/>
    <w:rsid w:val="00305CD9"/>
    <w:rsid w:val="00323EF8"/>
    <w:rsid w:val="003316DD"/>
    <w:rsid w:val="003322C9"/>
    <w:rsid w:val="00366A46"/>
    <w:rsid w:val="00370AC3"/>
    <w:rsid w:val="003824EE"/>
    <w:rsid w:val="00390661"/>
    <w:rsid w:val="003A78B1"/>
    <w:rsid w:val="003B4689"/>
    <w:rsid w:val="003C2068"/>
    <w:rsid w:val="003C37CF"/>
    <w:rsid w:val="003D6F81"/>
    <w:rsid w:val="003F6772"/>
    <w:rsid w:val="003F71E4"/>
    <w:rsid w:val="004100B1"/>
    <w:rsid w:val="004133B6"/>
    <w:rsid w:val="00416980"/>
    <w:rsid w:val="00426E47"/>
    <w:rsid w:val="00455743"/>
    <w:rsid w:val="00461601"/>
    <w:rsid w:val="00473E3A"/>
    <w:rsid w:val="004A5900"/>
    <w:rsid w:val="004B2EE4"/>
    <w:rsid w:val="004B7199"/>
    <w:rsid w:val="004C0915"/>
    <w:rsid w:val="004D424E"/>
    <w:rsid w:val="004E42C8"/>
    <w:rsid w:val="004E733D"/>
    <w:rsid w:val="004F3FA5"/>
    <w:rsid w:val="004F62B9"/>
    <w:rsid w:val="00510CEC"/>
    <w:rsid w:val="0051271F"/>
    <w:rsid w:val="00521F46"/>
    <w:rsid w:val="00543BCF"/>
    <w:rsid w:val="00551111"/>
    <w:rsid w:val="00551123"/>
    <w:rsid w:val="00567E12"/>
    <w:rsid w:val="00570A6A"/>
    <w:rsid w:val="00586E50"/>
    <w:rsid w:val="0059583D"/>
    <w:rsid w:val="005A1C15"/>
    <w:rsid w:val="005A42D9"/>
    <w:rsid w:val="005C2BEF"/>
    <w:rsid w:val="005D1A99"/>
    <w:rsid w:val="005D2552"/>
    <w:rsid w:val="005D7609"/>
    <w:rsid w:val="005D7EE8"/>
    <w:rsid w:val="005F1A7E"/>
    <w:rsid w:val="00642325"/>
    <w:rsid w:val="0065437A"/>
    <w:rsid w:val="006A2F5D"/>
    <w:rsid w:val="006F3CBE"/>
    <w:rsid w:val="006F7907"/>
    <w:rsid w:val="007233AC"/>
    <w:rsid w:val="00742346"/>
    <w:rsid w:val="00743189"/>
    <w:rsid w:val="00743D33"/>
    <w:rsid w:val="00786B7A"/>
    <w:rsid w:val="007932B3"/>
    <w:rsid w:val="00793EA9"/>
    <w:rsid w:val="00796F71"/>
    <w:rsid w:val="007A4FF2"/>
    <w:rsid w:val="007A7D9E"/>
    <w:rsid w:val="007D6F68"/>
    <w:rsid w:val="007E47FF"/>
    <w:rsid w:val="00812124"/>
    <w:rsid w:val="00815B1B"/>
    <w:rsid w:val="00823E6B"/>
    <w:rsid w:val="00826780"/>
    <w:rsid w:val="00837CCD"/>
    <w:rsid w:val="00857E18"/>
    <w:rsid w:val="008633CC"/>
    <w:rsid w:val="00865190"/>
    <w:rsid w:val="00865E5A"/>
    <w:rsid w:val="008719B9"/>
    <w:rsid w:val="00873C87"/>
    <w:rsid w:val="00893113"/>
    <w:rsid w:val="00894ECE"/>
    <w:rsid w:val="00896BB4"/>
    <w:rsid w:val="008A7FB8"/>
    <w:rsid w:val="008B724D"/>
    <w:rsid w:val="008C62F9"/>
    <w:rsid w:val="009022B8"/>
    <w:rsid w:val="00914537"/>
    <w:rsid w:val="0091726D"/>
    <w:rsid w:val="00917CC4"/>
    <w:rsid w:val="00917E30"/>
    <w:rsid w:val="009241EE"/>
    <w:rsid w:val="0093264F"/>
    <w:rsid w:val="0096324F"/>
    <w:rsid w:val="009763DA"/>
    <w:rsid w:val="009778B7"/>
    <w:rsid w:val="009975B3"/>
    <w:rsid w:val="009A216D"/>
    <w:rsid w:val="009B4B93"/>
    <w:rsid w:val="009C1B1C"/>
    <w:rsid w:val="009C7A89"/>
    <w:rsid w:val="009E2F79"/>
    <w:rsid w:val="009F24BE"/>
    <w:rsid w:val="009F6C2F"/>
    <w:rsid w:val="009F767A"/>
    <w:rsid w:val="009F767F"/>
    <w:rsid w:val="00A061C1"/>
    <w:rsid w:val="00A079CA"/>
    <w:rsid w:val="00A20006"/>
    <w:rsid w:val="00A22533"/>
    <w:rsid w:val="00A26F46"/>
    <w:rsid w:val="00A34FD3"/>
    <w:rsid w:val="00A36929"/>
    <w:rsid w:val="00A472B4"/>
    <w:rsid w:val="00A50548"/>
    <w:rsid w:val="00A577F9"/>
    <w:rsid w:val="00A60EE7"/>
    <w:rsid w:val="00A910C9"/>
    <w:rsid w:val="00AA35B0"/>
    <w:rsid w:val="00AC7816"/>
    <w:rsid w:val="00AD18C8"/>
    <w:rsid w:val="00AD7FA6"/>
    <w:rsid w:val="00AE4643"/>
    <w:rsid w:val="00AF0416"/>
    <w:rsid w:val="00AF340C"/>
    <w:rsid w:val="00B10CB4"/>
    <w:rsid w:val="00B13D6F"/>
    <w:rsid w:val="00B203FA"/>
    <w:rsid w:val="00B23B72"/>
    <w:rsid w:val="00B3565C"/>
    <w:rsid w:val="00B42702"/>
    <w:rsid w:val="00B433E1"/>
    <w:rsid w:val="00B57B8B"/>
    <w:rsid w:val="00B85407"/>
    <w:rsid w:val="00B95702"/>
    <w:rsid w:val="00BB5657"/>
    <w:rsid w:val="00BB5825"/>
    <w:rsid w:val="00BB74B0"/>
    <w:rsid w:val="00BC6489"/>
    <w:rsid w:val="00BD480C"/>
    <w:rsid w:val="00BF20D2"/>
    <w:rsid w:val="00BF517C"/>
    <w:rsid w:val="00C20954"/>
    <w:rsid w:val="00C23324"/>
    <w:rsid w:val="00C326E3"/>
    <w:rsid w:val="00C34BCB"/>
    <w:rsid w:val="00C42A41"/>
    <w:rsid w:val="00C47E74"/>
    <w:rsid w:val="00C57A72"/>
    <w:rsid w:val="00C6436A"/>
    <w:rsid w:val="00C72F81"/>
    <w:rsid w:val="00C73602"/>
    <w:rsid w:val="00CB0189"/>
    <w:rsid w:val="00CD36CB"/>
    <w:rsid w:val="00CE014B"/>
    <w:rsid w:val="00CF1B18"/>
    <w:rsid w:val="00CF60C8"/>
    <w:rsid w:val="00D30DE2"/>
    <w:rsid w:val="00D32924"/>
    <w:rsid w:val="00D503A3"/>
    <w:rsid w:val="00D548BB"/>
    <w:rsid w:val="00D55785"/>
    <w:rsid w:val="00D84F8F"/>
    <w:rsid w:val="00D932A1"/>
    <w:rsid w:val="00D934A5"/>
    <w:rsid w:val="00D97385"/>
    <w:rsid w:val="00DA04EE"/>
    <w:rsid w:val="00DA6ED0"/>
    <w:rsid w:val="00DB004B"/>
    <w:rsid w:val="00DC5011"/>
    <w:rsid w:val="00E12DA0"/>
    <w:rsid w:val="00E1319E"/>
    <w:rsid w:val="00E171B6"/>
    <w:rsid w:val="00E61780"/>
    <w:rsid w:val="00E72695"/>
    <w:rsid w:val="00EB1753"/>
    <w:rsid w:val="00EB6CFF"/>
    <w:rsid w:val="00ED2CA8"/>
    <w:rsid w:val="00EE3996"/>
    <w:rsid w:val="00F01F68"/>
    <w:rsid w:val="00F07062"/>
    <w:rsid w:val="00F23CFC"/>
    <w:rsid w:val="00F258E8"/>
    <w:rsid w:val="00F433E2"/>
    <w:rsid w:val="00F71CCF"/>
    <w:rsid w:val="00F818C7"/>
    <w:rsid w:val="00F904AE"/>
    <w:rsid w:val="00F934F8"/>
    <w:rsid w:val="00FB52FE"/>
    <w:rsid w:val="00FB5B7B"/>
    <w:rsid w:val="00FC0A34"/>
    <w:rsid w:val="00FD1D3D"/>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23B983"/>
  <w15:chartTrackingRefBased/>
  <w15:docId w15:val="{C0390256-89EC-4F28-861B-85F65CFE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E5A"/>
    <w:rPr>
      <w:rFonts w:ascii="Arial" w:hAnsi="Arial"/>
      <w:b/>
      <w:kern w:val="28"/>
      <w:sz w:val="28"/>
    </w:rPr>
  </w:style>
  <w:style w:type="character" w:customStyle="1" w:styleId="Heading2Char">
    <w:name w:val="Heading 2 Char"/>
    <w:basedOn w:val="DefaultParagraphFont"/>
    <w:link w:val="Heading2"/>
    <w:semiHidden/>
    <w:rsid w:val="00865E5A"/>
    <w:rPr>
      <w:rFonts w:ascii="Arial" w:hAnsi="Arial"/>
      <w:b/>
      <w:i/>
      <w:sz w:val="24"/>
    </w:rPr>
  </w:style>
  <w:style w:type="character" w:customStyle="1" w:styleId="Heading3Char">
    <w:name w:val="Heading 3 Char"/>
    <w:basedOn w:val="DefaultParagraphFont"/>
    <w:link w:val="Heading3"/>
    <w:semiHidden/>
    <w:rsid w:val="00865E5A"/>
    <w:rPr>
      <w:rFonts w:ascii="Arial" w:hAnsi="Arial"/>
      <w:sz w:val="24"/>
    </w:rPr>
  </w:style>
  <w:style w:type="character" w:customStyle="1" w:styleId="Heading4Char">
    <w:name w:val="Heading 4 Char"/>
    <w:basedOn w:val="DefaultParagraphFont"/>
    <w:link w:val="Heading4"/>
    <w:semiHidden/>
    <w:rsid w:val="00865E5A"/>
    <w:rPr>
      <w:rFonts w:ascii="Arial" w:hAnsi="Arial"/>
      <w:b/>
      <w:sz w:val="24"/>
    </w:rPr>
  </w:style>
  <w:style w:type="character" w:customStyle="1" w:styleId="Heading5Char">
    <w:name w:val="Heading 5 Char"/>
    <w:basedOn w:val="DefaultParagraphFont"/>
    <w:link w:val="Heading5"/>
    <w:semiHidden/>
    <w:rsid w:val="00865E5A"/>
    <w:rPr>
      <w:sz w:val="22"/>
    </w:rPr>
  </w:style>
  <w:style w:type="character" w:customStyle="1" w:styleId="Heading6Char">
    <w:name w:val="Heading 6 Char"/>
    <w:basedOn w:val="DefaultParagraphFont"/>
    <w:link w:val="Heading6"/>
    <w:semiHidden/>
    <w:rsid w:val="00865E5A"/>
    <w:rPr>
      <w:i/>
      <w:sz w:val="22"/>
    </w:rPr>
  </w:style>
  <w:style w:type="character" w:customStyle="1" w:styleId="Heading7Char">
    <w:name w:val="Heading 7 Char"/>
    <w:basedOn w:val="DefaultParagraphFont"/>
    <w:link w:val="Heading7"/>
    <w:semiHidden/>
    <w:rsid w:val="00865E5A"/>
    <w:rPr>
      <w:rFonts w:ascii="Arial" w:hAnsi="Arial"/>
      <w:sz w:val="24"/>
    </w:rPr>
  </w:style>
  <w:style w:type="character" w:customStyle="1" w:styleId="Heading8Char">
    <w:name w:val="Heading 8 Char"/>
    <w:basedOn w:val="DefaultParagraphFont"/>
    <w:link w:val="Heading8"/>
    <w:semiHidden/>
    <w:rsid w:val="00865E5A"/>
    <w:rPr>
      <w:rFonts w:ascii="Arial" w:hAnsi="Arial"/>
      <w:i/>
      <w:sz w:val="24"/>
    </w:rPr>
  </w:style>
  <w:style w:type="character" w:customStyle="1" w:styleId="Heading9Char">
    <w:name w:val="Heading 9 Char"/>
    <w:basedOn w:val="DefaultParagraphFont"/>
    <w:link w:val="Heading9"/>
    <w:semiHidden/>
    <w:rsid w:val="00865E5A"/>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C72F81"/>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A78B1"/>
    <w:pPr>
      <w:tabs>
        <w:tab w:val="right" w:pos="454"/>
        <w:tab w:val="left" w:pos="737"/>
      </w:tabs>
      <w:ind w:left="737" w:hanging="737"/>
    </w:pPr>
    <w:rPr>
      <w:snapToGrid w:val="0"/>
      <w:sz w:val="18"/>
      <w:lang w:eastAsia="en-US"/>
    </w:rPr>
  </w:style>
  <w:style w:type="paragraph" w:customStyle="1" w:styleId="Lgendetitre">
    <w:name w:val="Légende titre"/>
    <w:basedOn w:val="Normal"/>
    <w:rsid w:val="003A78B1"/>
    <w:pPr>
      <w:spacing w:before="240" w:after="240"/>
    </w:pPr>
    <w:rPr>
      <w:b/>
      <w:i/>
      <w:snapToGrid w:val="0"/>
      <w:lang w:eastAsia="en-US"/>
    </w:rPr>
  </w:style>
  <w:style w:type="paragraph" w:customStyle="1" w:styleId="Lgendestandard">
    <w:name w:val="Légende standard"/>
    <w:basedOn w:val="Normal"/>
    <w:rsid w:val="003A78B1"/>
    <w:rPr>
      <w:sz w:val="18"/>
    </w:rPr>
  </w:style>
  <w:style w:type="character" w:customStyle="1" w:styleId="FooterChar">
    <w:name w:val="Footer Char"/>
    <w:basedOn w:val="DefaultParagraphFont"/>
    <w:link w:val="Footer"/>
    <w:rsid w:val="00C72F81"/>
    <w:rPr>
      <w:sz w:val="22"/>
    </w:rPr>
  </w:style>
  <w:style w:type="paragraph" w:styleId="Footer">
    <w:name w:val="footer"/>
    <w:link w:val="FooterChar"/>
    <w:unhideWhenUsed/>
    <w:rsid w:val="00C72F8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C72F81"/>
    <w:rPr>
      <w:noProof/>
      <w:sz w:val="24"/>
    </w:rPr>
  </w:style>
  <w:style w:type="paragraph" w:customStyle="1" w:styleId="Normal12">
    <w:name w:val="Normal12"/>
    <w:basedOn w:val="Normal"/>
    <w:link w:val="Normal12Char"/>
    <w:rsid w:val="00C72F81"/>
    <w:pPr>
      <w:spacing w:after="240"/>
    </w:pPr>
    <w:rPr>
      <w:noProof/>
    </w:rPr>
  </w:style>
  <w:style w:type="character" w:customStyle="1" w:styleId="Normal6Char">
    <w:name w:val="Normal6 Char"/>
    <w:basedOn w:val="DefaultParagraphFont"/>
    <w:link w:val="Normal6"/>
    <w:locked/>
    <w:rsid w:val="00C72F81"/>
    <w:rPr>
      <w:sz w:val="24"/>
      <w:lang w:val="da-DK"/>
    </w:rPr>
  </w:style>
  <w:style w:type="paragraph" w:customStyle="1" w:styleId="Normal6">
    <w:name w:val="Normal6"/>
    <w:basedOn w:val="Normal"/>
    <w:link w:val="Normal6Char"/>
    <w:rsid w:val="00C72F81"/>
    <w:pPr>
      <w:spacing w:after="120"/>
    </w:pPr>
  </w:style>
  <w:style w:type="paragraph" w:customStyle="1" w:styleId="Normal12Italic">
    <w:name w:val="Normal12Italic"/>
    <w:basedOn w:val="Normal12"/>
    <w:rsid w:val="00C72F81"/>
    <w:rPr>
      <w:i/>
    </w:rPr>
  </w:style>
  <w:style w:type="paragraph" w:customStyle="1" w:styleId="Footer2">
    <w:name w:val="Footer2"/>
    <w:basedOn w:val="Normal12"/>
    <w:rsid w:val="00C72F81"/>
    <w:pPr>
      <w:tabs>
        <w:tab w:val="center" w:pos="4535"/>
        <w:tab w:val="right" w:pos="9923"/>
      </w:tabs>
      <w:spacing w:line="480" w:lineRule="auto"/>
      <w:ind w:left="-851"/>
    </w:pPr>
    <w:rPr>
      <w:rFonts w:ascii="Arial" w:cs="Arial"/>
      <w:b/>
      <w:sz w:val="48"/>
    </w:rPr>
  </w:style>
  <w:style w:type="paragraph" w:customStyle="1" w:styleId="EntPE">
    <w:name w:val="EntPE"/>
    <w:basedOn w:val="Normal12"/>
    <w:rsid w:val="00C72F81"/>
    <w:pPr>
      <w:jc w:val="center"/>
    </w:pPr>
    <w:rPr>
      <w:noProof w:val="0"/>
      <w:sz w:val="56"/>
    </w:rPr>
  </w:style>
  <w:style w:type="paragraph" w:customStyle="1" w:styleId="AMNumberTabs0">
    <w:name w:val="AMNumberTabs"/>
    <w:basedOn w:val="Normal"/>
    <w:rsid w:val="00C72F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72F81"/>
    <w:pPr>
      <w:spacing w:after="240"/>
      <w:jc w:val="center"/>
    </w:pPr>
    <w:rPr>
      <w:i/>
    </w:rPr>
  </w:style>
  <w:style w:type="paragraph" w:customStyle="1" w:styleId="Olang">
    <w:name w:val="Olang"/>
    <w:basedOn w:val="Normal"/>
    <w:rsid w:val="00C72F81"/>
    <w:pPr>
      <w:spacing w:before="240" w:after="240"/>
      <w:jc w:val="right"/>
    </w:pPr>
    <w:rPr>
      <w:noProof/>
      <w:szCs w:val="24"/>
    </w:rPr>
  </w:style>
  <w:style w:type="paragraph" w:customStyle="1" w:styleId="JustificationTitle">
    <w:name w:val="JustificationTitle"/>
    <w:basedOn w:val="Normal"/>
    <w:next w:val="Normal12"/>
    <w:rsid w:val="00C72F81"/>
    <w:pPr>
      <w:keepNext/>
      <w:spacing w:before="240" w:after="240"/>
      <w:jc w:val="center"/>
    </w:pPr>
    <w:rPr>
      <w:i/>
      <w:noProof/>
    </w:rPr>
  </w:style>
  <w:style w:type="paragraph" w:customStyle="1" w:styleId="Normal24a">
    <w:name w:val="Normal24a"/>
    <w:basedOn w:val="Normal"/>
    <w:rsid w:val="00D548BB"/>
    <w:pPr>
      <w:spacing w:after="480"/>
    </w:pPr>
  </w:style>
  <w:style w:type="paragraph" w:customStyle="1" w:styleId="NormalBoldCenter">
    <w:name w:val="NormalBoldCenter"/>
    <w:basedOn w:val="Normal"/>
    <w:rsid w:val="00D548BB"/>
    <w:pPr>
      <w:jc w:val="center"/>
    </w:pPr>
    <w:rPr>
      <w:b/>
    </w:rPr>
  </w:style>
  <w:style w:type="paragraph" w:customStyle="1" w:styleId="Footprint12b">
    <w:name w:val="Footprint12b"/>
    <w:basedOn w:val="Normal"/>
    <w:rsid w:val="00D548BB"/>
    <w:pPr>
      <w:spacing w:before="240"/>
    </w:pPr>
    <w:rPr>
      <w:szCs w:val="24"/>
    </w:rPr>
  </w:style>
  <w:style w:type="paragraph" w:customStyle="1" w:styleId="NormalSingle">
    <w:name w:val="NormalSingle"/>
    <w:basedOn w:val="Normal"/>
    <w:qFormat/>
    <w:rsid w:val="00D548BB"/>
    <w:rPr>
      <w:szCs w:val="24"/>
    </w:rPr>
  </w:style>
  <w:style w:type="character" w:styleId="Hyperlink">
    <w:name w:val="Hyperlink"/>
    <w:basedOn w:val="DefaultParagraphFont"/>
    <w:rsid w:val="003D6F81"/>
    <w:rPr>
      <w:color w:val="0563C1" w:themeColor="hyperlink"/>
      <w:u w:val="single"/>
    </w:rPr>
  </w:style>
  <w:style w:type="paragraph" w:customStyle="1" w:styleId="TableParagraph">
    <w:name w:val="Table Paragraph"/>
    <w:basedOn w:val="Normal"/>
    <w:uiPriority w:val="1"/>
    <w:qFormat/>
    <w:rsid w:val="00873C87"/>
    <w:pPr>
      <w:spacing w:line="256" w:lineRule="auto"/>
    </w:pPr>
    <w:rPr>
      <w:sz w:val="22"/>
      <w:szCs w:val="22"/>
      <w:lang w:eastAsia="en-US"/>
    </w:rPr>
  </w:style>
  <w:style w:type="paragraph" w:customStyle="1" w:styleId="NormalCentered">
    <w:name w:val="Normal Centered"/>
    <w:basedOn w:val="Normal"/>
    <w:rsid w:val="0096324F"/>
    <w:pPr>
      <w:widowControl/>
      <w:spacing w:before="120" w:after="120"/>
      <w:jc w:val="center"/>
    </w:pPr>
    <w:rPr>
      <w:rFonts w:eastAsiaTheme="minorHAnsi"/>
      <w:szCs w:val="22"/>
      <w:lang w:eastAsia="en-US"/>
    </w:rPr>
  </w:style>
  <w:style w:type="table" w:customStyle="1" w:styleId="TableGrid0">
    <w:name w:val="TableGrid"/>
    <w:rsid w:val="0096324F"/>
    <w:rPr>
      <w:rFonts w:asciiTheme="minorHAnsi" w:eastAsiaTheme="minorEastAsia" w:hAnsiTheme="minorHAnsi" w:cstheme="minorBidi"/>
      <w:kern w:val="2"/>
      <w:sz w:val="22"/>
      <w:szCs w:val="22"/>
      <w:lang w:eastAsia="en-IE"/>
      <w14:ligatures w14:val="standardContextual"/>
    </w:rPr>
    <w:tblPr>
      <w:tblCellMar>
        <w:top w:w="0" w:type="dxa"/>
        <w:left w:w="0" w:type="dxa"/>
        <w:bottom w:w="0" w:type="dxa"/>
        <w:right w:w="0" w:type="dxa"/>
      </w:tblCellMar>
    </w:tblPr>
  </w:style>
  <w:style w:type="character" w:customStyle="1" w:styleId="highlight-diff">
    <w:name w:val="highlight-diff"/>
    <w:basedOn w:val="DefaultParagraphFont"/>
    <w:rsid w:val="00F818C7"/>
  </w:style>
  <w:style w:type="character" w:styleId="FollowedHyperlink">
    <w:name w:val="FollowedHyperlink"/>
    <w:basedOn w:val="DefaultParagraphFont"/>
    <w:uiPriority w:val="99"/>
    <w:unhideWhenUsed/>
    <w:rsid w:val="00C6436A"/>
    <w:rPr>
      <w:color w:val="954F72" w:themeColor="followedHyperlink"/>
      <w:u w:val="single"/>
    </w:rPr>
  </w:style>
  <w:style w:type="paragraph" w:customStyle="1" w:styleId="msonormal0">
    <w:name w:val="msonormal"/>
    <w:basedOn w:val="Normal"/>
    <w:rsid w:val="00C6436A"/>
    <w:pPr>
      <w:widowControl/>
      <w:spacing w:before="100" w:beforeAutospacing="1" w:after="100" w:afterAutospacing="1"/>
    </w:pPr>
    <w:rPr>
      <w:szCs w:val="24"/>
    </w:rPr>
  </w:style>
  <w:style w:type="character" w:customStyle="1" w:styleId="FooterChar1">
    <w:name w:val="Footer Char1"/>
    <w:basedOn w:val="DefaultParagraphFont"/>
    <w:semiHidden/>
    <w:rsid w:val="00C6436A"/>
    <w:rPr>
      <w:sz w:val="24"/>
    </w:rPr>
  </w:style>
  <w:style w:type="paragraph" w:styleId="FootnoteText">
    <w:name w:val="footnote text"/>
    <w:basedOn w:val="Normal"/>
    <w:link w:val="FootnoteTextChar"/>
    <w:rsid w:val="00857E18"/>
    <w:rPr>
      <w:sz w:val="20"/>
    </w:rPr>
  </w:style>
  <w:style w:type="character" w:customStyle="1" w:styleId="FootnoteTextChar">
    <w:name w:val="Footnote Text Char"/>
    <w:basedOn w:val="DefaultParagraphFont"/>
    <w:link w:val="FootnoteText"/>
    <w:rsid w:val="00857E18"/>
  </w:style>
  <w:style w:type="character" w:styleId="FootnoteReference">
    <w:name w:val="footnote reference"/>
    <w:basedOn w:val="DefaultParagraphFont"/>
    <w:rsid w:val="00857E18"/>
    <w:rPr>
      <w:vertAlign w:val="superscript"/>
    </w:rPr>
  </w:style>
  <w:style w:type="paragraph" w:styleId="BalloonText">
    <w:name w:val="Balloon Text"/>
    <w:basedOn w:val="Normal"/>
    <w:link w:val="BalloonTextChar"/>
    <w:semiHidden/>
    <w:unhideWhenUsed/>
    <w:rsid w:val="003F71E4"/>
    <w:rPr>
      <w:rFonts w:ascii="Segoe UI" w:hAnsi="Segoe UI" w:cs="Segoe UI"/>
      <w:sz w:val="18"/>
      <w:szCs w:val="18"/>
    </w:rPr>
  </w:style>
  <w:style w:type="character" w:customStyle="1" w:styleId="BalloonTextChar">
    <w:name w:val="Balloon Text Char"/>
    <w:basedOn w:val="DefaultParagraphFont"/>
    <w:link w:val="BalloonText"/>
    <w:semiHidden/>
    <w:rsid w:val="003F71E4"/>
    <w:rPr>
      <w:rFonts w:ascii="Segoe UI" w:hAnsi="Segoe UI" w:cs="Segoe UI"/>
      <w:sz w:val="18"/>
      <w:szCs w:val="18"/>
    </w:rPr>
  </w:style>
  <w:style w:type="character" w:styleId="CommentReference">
    <w:name w:val="annotation reference"/>
    <w:basedOn w:val="DefaultParagraphFont"/>
    <w:rsid w:val="00C326E3"/>
    <w:rPr>
      <w:sz w:val="16"/>
      <w:szCs w:val="16"/>
    </w:rPr>
  </w:style>
  <w:style w:type="paragraph" w:styleId="CommentText">
    <w:name w:val="annotation text"/>
    <w:basedOn w:val="Normal"/>
    <w:link w:val="CommentTextChar"/>
    <w:rsid w:val="00C326E3"/>
    <w:rPr>
      <w:sz w:val="20"/>
    </w:rPr>
  </w:style>
  <w:style w:type="character" w:customStyle="1" w:styleId="CommentTextChar">
    <w:name w:val="Comment Text Char"/>
    <w:basedOn w:val="DefaultParagraphFont"/>
    <w:link w:val="CommentText"/>
    <w:rsid w:val="00C326E3"/>
  </w:style>
  <w:style w:type="paragraph" w:styleId="CommentSubject">
    <w:name w:val="annotation subject"/>
    <w:basedOn w:val="CommentText"/>
    <w:next w:val="CommentText"/>
    <w:link w:val="CommentSubjectChar"/>
    <w:semiHidden/>
    <w:unhideWhenUsed/>
    <w:rsid w:val="00C326E3"/>
    <w:rPr>
      <w:b/>
      <w:bCs/>
    </w:rPr>
  </w:style>
  <w:style w:type="character" w:customStyle="1" w:styleId="CommentSubjectChar">
    <w:name w:val="Comment Subject Char"/>
    <w:basedOn w:val="CommentTextChar"/>
    <w:link w:val="CommentSubject"/>
    <w:semiHidden/>
    <w:rsid w:val="00C32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0C878-4762-420F-9BF0-A6ED28245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18959</Words>
  <Characters>119636</Characters>
  <Application>Microsoft Office Word</Application>
  <DocSecurity>0</DocSecurity>
  <Lines>5201</Lines>
  <Paragraphs>2474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NENICKOVA Sylvia</dc:creator>
  <cp:lastModifiedBy>HEINSOEE Katja</cp:lastModifiedBy>
  <cp:revision>2</cp:revision>
  <cp:lastPrinted>2004-11-04T09:41:00Z</cp:lastPrinted>
  <dcterms:created xsi:type="dcterms:W3CDTF">2025-03-11T09:15:00Z</dcterms:created>
  <dcterms:modified xsi:type="dcterms:W3CDTF">2025-03-11T09:15:00Z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1309819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[20241115]</vt:lpwstr>
  </property>
  <property fmtid="{D5CDD505-2E9C-101B-9397-08002B2CF9AE}" pid="9" name="FooterPath">
    <vt:lpwstr>PR\1309819DA.docx</vt:lpwstr>
  </property>
  <property fmtid="{D5CDD505-2E9C-101B-9397-08002B2CF9AE}" pid="10" name="LastEdited with">
    <vt:lpwstr>10.0.1 Build [20250114]</vt:lpwstr>
  </property>
  <property fmtid="{D5CDD505-2E9C-101B-9397-08002B2CF9AE}" pid="11" name="PE number">
    <vt:lpwstr>765.292</vt:lpwstr>
  </property>
  <property fmtid="{D5CDD505-2E9C-101B-9397-08002B2CF9AE}" pid="12" name="SDLStudio">
    <vt:lpwstr/>
  </property>
  <property fmtid="{D5CDD505-2E9C-101B-9397-08002B2CF9AE}" pid="13" name="SendToEpades">
    <vt:lpwstr>OK(AMNUM) - 2025/02/25 14:46</vt:lpwstr>
  </property>
  <property fmtid="{D5CDD505-2E9C-101B-9397-08002B2CF9AE}" pid="14" name="Bookout">
    <vt:lpwstr>OK - 2025/03/11 10:14</vt:lpwstr>
  </property>
</Properties>
</file>