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17F65" w:rsidRPr="00BA08AB" w:rsidTr="00C6436A">
        <w:trPr>
          <w:trHeight w:hRule="exact" w:val="1418"/>
        </w:trPr>
        <w:tc>
          <w:tcPr>
            <w:tcW w:w="6804" w:type="dxa"/>
            <w:vAlign w:val="center"/>
            <w:hideMark/>
          </w:tcPr>
          <w:p w:rsidR="00C6436A" w:rsidRPr="00BA08AB" w:rsidRDefault="00774DE8">
            <w:pPr>
              <w:pStyle w:val="EPName"/>
            </w:pPr>
            <w:r w:rsidRPr="00BA08AB">
              <w:t>Parlament Europejski</w:t>
            </w:r>
          </w:p>
          <w:p w:rsidR="00C6436A" w:rsidRPr="00BA08AB" w:rsidRDefault="00774DE8">
            <w:pPr>
              <w:pStyle w:val="EPTerm"/>
            </w:pPr>
            <w:r w:rsidRPr="00BA08AB">
              <w:t>2024–2029</w:t>
            </w:r>
          </w:p>
        </w:tc>
        <w:tc>
          <w:tcPr>
            <w:tcW w:w="2268" w:type="dxa"/>
            <w:hideMark/>
          </w:tcPr>
          <w:p w:rsidR="00C6436A" w:rsidRPr="00BA08AB" w:rsidRDefault="00774DE8">
            <w:pPr>
              <w:pStyle w:val="EPLogo"/>
            </w:pPr>
            <w:r w:rsidRPr="00BA08AB">
              <w:rPr>
                <w:noProof/>
                <w:lang w:eastAsia="pl-PL"/>
              </w:rPr>
              <w:drawing>
                <wp:inline distT="0" distB="0" distL="0" distR="0">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C6436A" w:rsidRPr="00BA08AB" w:rsidRDefault="00C6436A" w:rsidP="00C6436A">
      <w:pPr>
        <w:pStyle w:val="LineTop"/>
      </w:pPr>
    </w:p>
    <w:p w:rsidR="00C6436A" w:rsidRPr="00BA08AB" w:rsidRDefault="00774DE8" w:rsidP="00C6436A">
      <w:pPr>
        <w:pStyle w:val="EPBody"/>
      </w:pPr>
      <w:r w:rsidRPr="00BA08AB">
        <w:rPr>
          <w:rStyle w:val="HideTWBExt"/>
        </w:rPr>
        <w:t>&lt;</w:t>
      </w:r>
      <w:r w:rsidRPr="00BA08AB">
        <w:rPr>
          <w:rStyle w:val="HideTWBExt"/>
          <w:i w:val="0"/>
        </w:rPr>
        <w:t>Commission</w:t>
      </w:r>
      <w:r w:rsidRPr="00BA08AB">
        <w:rPr>
          <w:rStyle w:val="HideTWBExt"/>
        </w:rPr>
        <w:t>&gt;</w:t>
      </w:r>
      <w:r w:rsidRPr="00BA08AB">
        <w:rPr>
          <w:rStyle w:val="HideTWBInt"/>
          <w:color w:val="auto"/>
        </w:rPr>
        <w:t>{PECH}</w:t>
      </w:r>
      <w:r w:rsidRPr="00BA08AB">
        <w:t>Komisja Rybołówstwa</w:t>
      </w:r>
      <w:r w:rsidRPr="00BA08AB">
        <w:rPr>
          <w:rStyle w:val="HideTWBExt"/>
        </w:rPr>
        <w:t>&lt;/</w:t>
      </w:r>
      <w:r w:rsidRPr="00BA08AB">
        <w:rPr>
          <w:rStyle w:val="HideTWBExt"/>
          <w:i w:val="0"/>
        </w:rPr>
        <w:t>Commission</w:t>
      </w:r>
      <w:r w:rsidRPr="00BA08AB">
        <w:rPr>
          <w:rStyle w:val="HideTWBExt"/>
        </w:rPr>
        <w:t>&gt;</w:t>
      </w:r>
    </w:p>
    <w:p w:rsidR="00C6436A" w:rsidRPr="00BA08AB" w:rsidRDefault="00C6436A" w:rsidP="00C6436A">
      <w:pPr>
        <w:pStyle w:val="LineBottom"/>
      </w:pPr>
    </w:p>
    <w:p w:rsidR="00C6436A" w:rsidRPr="00BA08AB" w:rsidRDefault="00774DE8" w:rsidP="00C6436A">
      <w:pPr>
        <w:pStyle w:val="CoverReference"/>
      </w:pPr>
      <w:r w:rsidRPr="00BA08AB">
        <w:rPr>
          <w:rStyle w:val="HideTWBExt"/>
        </w:rPr>
        <w:t>&lt;RefProc&gt;</w:t>
      </w:r>
      <w:r w:rsidRPr="00BA08AB">
        <w:t>2024/0098</w:t>
      </w:r>
      <w:r w:rsidRPr="00BA08AB">
        <w:rPr>
          <w:rStyle w:val="HideTWBExt"/>
        </w:rPr>
        <w:t>&lt;/RefProc&gt;&lt;RefTypeProc&gt;</w:t>
      </w:r>
      <w:r w:rsidRPr="00BA08AB">
        <w:t>(COD)</w:t>
      </w:r>
      <w:r w:rsidRPr="00BA08AB">
        <w:rPr>
          <w:rStyle w:val="HideTWBExt"/>
        </w:rPr>
        <w:t>&lt;/RefTypeProc&gt;</w:t>
      </w:r>
    </w:p>
    <w:p w:rsidR="00C6436A" w:rsidRPr="00BA08AB" w:rsidRDefault="00774DE8" w:rsidP="00C6436A">
      <w:pPr>
        <w:pStyle w:val="CoverDate"/>
      </w:pPr>
      <w:r w:rsidRPr="00BA08AB">
        <w:rPr>
          <w:rStyle w:val="HideTWBExt"/>
        </w:rPr>
        <w:t>&lt;Date&gt;</w:t>
      </w:r>
      <w:r w:rsidRPr="00BA08AB">
        <w:rPr>
          <w:rStyle w:val="HideTWBInt"/>
          <w:color w:val="auto"/>
        </w:rPr>
        <w:t>{25/02/2025}</w:t>
      </w:r>
      <w:r w:rsidRPr="00BA08AB">
        <w:t>25.02.2025</w:t>
      </w:r>
      <w:r w:rsidRPr="00BA08AB">
        <w:rPr>
          <w:rStyle w:val="HideTWBExt"/>
        </w:rPr>
        <w:t>&lt;/Date&gt;</w:t>
      </w:r>
    </w:p>
    <w:p w:rsidR="00C6436A" w:rsidRPr="00BA08AB" w:rsidRDefault="00774DE8" w:rsidP="00C6436A">
      <w:pPr>
        <w:pStyle w:val="CoverDocType"/>
      </w:pPr>
      <w:r w:rsidRPr="00BA08AB">
        <w:rPr>
          <w:rStyle w:val="HideTWBExt"/>
        </w:rPr>
        <w:t>&lt;RefProcLect&gt;</w:t>
      </w:r>
      <w:r w:rsidRPr="00BA08AB">
        <w:t>***I</w:t>
      </w:r>
      <w:r w:rsidRPr="00BA08AB">
        <w:rPr>
          <w:rStyle w:val="HideTWBExt"/>
        </w:rPr>
        <w:t>&lt;/RefProcLect&gt;</w:t>
      </w:r>
    </w:p>
    <w:p w:rsidR="00C6436A" w:rsidRPr="00BA08AB" w:rsidRDefault="00774DE8" w:rsidP="00C6436A">
      <w:pPr>
        <w:pStyle w:val="CoverDocType24a"/>
      </w:pPr>
      <w:r w:rsidRPr="00BA08AB">
        <w:rPr>
          <w:rStyle w:val="HideTWBExt"/>
        </w:rPr>
        <w:t>&lt;TitreType&gt;</w:t>
      </w:r>
      <w:r w:rsidRPr="00BA08AB">
        <w:t>PROJEKT SPRAWOZDANIA</w:t>
      </w:r>
      <w:r w:rsidRPr="00BA08AB">
        <w:rPr>
          <w:rStyle w:val="HideTWBExt"/>
        </w:rPr>
        <w:t>&lt;/TitreType&gt;</w:t>
      </w:r>
    </w:p>
    <w:p w:rsidR="00C6436A" w:rsidRPr="00BA08AB" w:rsidRDefault="00774DE8" w:rsidP="00C6436A">
      <w:pPr>
        <w:pStyle w:val="CoverNormal"/>
      </w:pPr>
      <w:r w:rsidRPr="00BA08AB">
        <w:rPr>
          <w:rStyle w:val="HideTWBExt"/>
        </w:rPr>
        <w:t>&lt;Titre&gt;</w:t>
      </w:r>
      <w:r w:rsidRPr="00BA08AB">
        <w:t>w sprawie wniosku dotyczącego rozporządzenia Parlamentu Europejskiego i Rady zmieniającego rozporządzenie Parlamentu Europejskiego i Rady (UE) 2023/2124 z dnia 4 października 2023 r. w sprawie niektórych przepisów dotyczących połowów na</w:t>
      </w:r>
      <w:r w:rsidRPr="00BA08AB">
        <w:t xml:space="preserve"> obszarze objętym porozumieniem GFCM (Generalnej Komisji Rybołówstwa Morza Śródziemnego)</w:t>
      </w:r>
      <w:r w:rsidRPr="00BA08AB">
        <w:rPr>
          <w:rStyle w:val="HideTWBExt"/>
        </w:rPr>
        <w:t>&lt;/Titre&gt;</w:t>
      </w:r>
    </w:p>
    <w:p w:rsidR="00C6436A" w:rsidRPr="00BA08AB" w:rsidRDefault="00774DE8" w:rsidP="00C6436A">
      <w:pPr>
        <w:pStyle w:val="CoverNormal24a"/>
      </w:pPr>
      <w:r w:rsidRPr="00BA08AB">
        <w:rPr>
          <w:rStyle w:val="HideTWBExt"/>
        </w:rPr>
        <w:t>&lt;DocRef&gt;</w:t>
      </w:r>
      <w:r w:rsidRPr="00BA08AB">
        <w:t>(COM(2024)0183 – C10-0006/2024 – 2024/0098(COD))</w:t>
      </w:r>
      <w:r w:rsidRPr="00BA08AB">
        <w:rPr>
          <w:rStyle w:val="HideTWBExt"/>
        </w:rPr>
        <w:t>&lt;/DocRef&gt;</w:t>
      </w:r>
    </w:p>
    <w:p w:rsidR="00C6436A" w:rsidRPr="00BA08AB" w:rsidRDefault="00774DE8" w:rsidP="00C6436A">
      <w:pPr>
        <w:pStyle w:val="CoverNormal24a"/>
      </w:pPr>
      <w:r w:rsidRPr="00BA08AB">
        <w:rPr>
          <w:rStyle w:val="HideTWBExt"/>
        </w:rPr>
        <w:t>&lt;Commission&gt;</w:t>
      </w:r>
      <w:r w:rsidRPr="00BA08AB">
        <w:rPr>
          <w:rStyle w:val="HideTWBInt"/>
          <w:color w:val="auto"/>
        </w:rPr>
        <w:t>{PECH}</w:t>
      </w:r>
      <w:r w:rsidRPr="00BA08AB">
        <w:t>Komisja Rybołówstwa</w:t>
      </w:r>
      <w:r w:rsidRPr="00BA08AB">
        <w:rPr>
          <w:rStyle w:val="HideTWBExt"/>
        </w:rPr>
        <w:t>&lt;/Commission&gt;</w:t>
      </w:r>
    </w:p>
    <w:p w:rsidR="00C6436A" w:rsidRPr="00BA08AB" w:rsidRDefault="00774DE8" w:rsidP="00C6436A">
      <w:pPr>
        <w:pStyle w:val="CoverNormal24a"/>
      </w:pPr>
      <w:r w:rsidRPr="00BA08AB">
        <w:t xml:space="preserve">Sprawozdawczyni komisji opiniodawczej: </w:t>
      </w:r>
      <w:r w:rsidRPr="00BA08AB">
        <w:rPr>
          <w:rStyle w:val="HideTWBExt"/>
        </w:rPr>
        <w:t>&lt;Depute&gt;</w:t>
      </w:r>
      <w:r w:rsidRPr="00BA08AB">
        <w:t>Željana Zovko</w:t>
      </w:r>
      <w:r w:rsidRPr="00BA08AB">
        <w:rPr>
          <w:rStyle w:val="HideTWBExt"/>
        </w:rPr>
        <w:t>&lt;/Depute&gt;</w:t>
      </w:r>
    </w:p>
    <w:p w:rsidR="00C6436A" w:rsidRPr="00BA08AB" w:rsidRDefault="00C6436A" w:rsidP="00C6436A">
      <w:pPr>
        <w:pStyle w:val="CoverNormal"/>
      </w:pPr>
    </w:p>
    <w:p w:rsidR="00C6436A" w:rsidRPr="00BA08AB" w:rsidRDefault="00774DE8" w:rsidP="00C6436A">
      <w:r w:rsidRPr="00BA08AB">
        <w:br w:type="page"/>
      </w:r>
      <w:fldSimple w:instr=" TITLE  \* MERGEFORMAT ">
        <w:r>
          <w:t>PR_COD_1amCom</w:t>
        </w:r>
      </w:fldSimple>
    </w:p>
    <w:p w:rsidR="00C6436A" w:rsidRPr="00BA08AB" w:rsidRDefault="00C6436A" w:rsidP="00C6436A"/>
    <w:p w:rsidR="00C6436A" w:rsidRPr="00BA08AB" w:rsidRDefault="00C6436A" w:rsidP="00C6436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F17F65" w:rsidRPr="00BA08AB" w:rsidTr="00C6436A">
        <w:tc>
          <w:tcPr>
            <w:tcW w:w="5811" w:type="dxa"/>
            <w:tcBorders>
              <w:top w:val="single" w:sz="4" w:space="0" w:color="auto"/>
              <w:left w:val="single" w:sz="4" w:space="0" w:color="auto"/>
              <w:bottom w:val="nil"/>
              <w:right w:val="single" w:sz="4" w:space="0" w:color="auto"/>
            </w:tcBorders>
            <w:hideMark/>
          </w:tcPr>
          <w:p w:rsidR="00C6436A" w:rsidRPr="00BA08AB" w:rsidRDefault="00774DE8">
            <w:pPr>
              <w:pStyle w:val="Lgendetitre"/>
            </w:pPr>
            <w:r w:rsidRPr="00BA08AB">
              <w:t>Objaśnienie używanych znaków</w:t>
            </w:r>
          </w:p>
        </w:tc>
      </w:tr>
      <w:tr w:rsidR="00F17F65" w:rsidRPr="00BA08AB" w:rsidTr="00C6436A">
        <w:trPr>
          <w:cantSplit/>
          <w:trHeight w:val="1807"/>
        </w:trPr>
        <w:tc>
          <w:tcPr>
            <w:tcW w:w="5811" w:type="dxa"/>
            <w:tcBorders>
              <w:top w:val="nil"/>
              <w:left w:val="single" w:sz="4" w:space="0" w:color="auto"/>
              <w:bottom w:val="single" w:sz="4" w:space="0" w:color="auto"/>
              <w:right w:val="single" w:sz="4" w:space="0" w:color="auto"/>
            </w:tcBorders>
          </w:tcPr>
          <w:p w:rsidR="00C6436A" w:rsidRPr="00BA08AB" w:rsidRDefault="00774DE8">
            <w:pPr>
              <w:pStyle w:val="Lgendesigne"/>
            </w:pPr>
            <w:r w:rsidRPr="00BA08AB">
              <w:tab/>
              <w:t>*</w:t>
            </w:r>
            <w:r w:rsidRPr="00BA08AB">
              <w:tab/>
              <w:t>Procedura konsultacji</w:t>
            </w:r>
          </w:p>
          <w:p w:rsidR="00C6436A" w:rsidRPr="00BA08AB" w:rsidRDefault="00774DE8">
            <w:pPr>
              <w:pStyle w:val="Lgendesigne"/>
            </w:pPr>
            <w:r w:rsidRPr="00BA08AB">
              <w:tab/>
              <w:t>***</w:t>
            </w:r>
            <w:r w:rsidRPr="00BA08AB">
              <w:tab/>
              <w:t>Procedura zgody</w:t>
            </w:r>
          </w:p>
          <w:p w:rsidR="00C6436A" w:rsidRPr="00BA08AB" w:rsidRDefault="00774DE8">
            <w:pPr>
              <w:pStyle w:val="Lgendesigne"/>
            </w:pPr>
            <w:r w:rsidRPr="00BA08AB">
              <w:tab/>
              <w:t>***I</w:t>
            </w:r>
            <w:r w:rsidRPr="00BA08AB">
              <w:tab/>
              <w:t>Zwykła procedura ustawodawcza (pierwsze czytanie)</w:t>
            </w:r>
          </w:p>
          <w:p w:rsidR="00C6436A" w:rsidRPr="00BA08AB" w:rsidRDefault="00774DE8">
            <w:pPr>
              <w:pStyle w:val="Lgendesigne"/>
            </w:pPr>
            <w:r w:rsidRPr="00BA08AB">
              <w:tab/>
              <w:t>***II</w:t>
            </w:r>
            <w:r w:rsidRPr="00BA08AB">
              <w:tab/>
              <w:t>Zwykła procedura ustawodawcza (drugie czyt</w:t>
            </w:r>
            <w:r w:rsidRPr="00BA08AB">
              <w:t>anie)</w:t>
            </w:r>
          </w:p>
          <w:p w:rsidR="00C6436A" w:rsidRPr="00BA08AB" w:rsidRDefault="00774DE8">
            <w:pPr>
              <w:pStyle w:val="Lgendesigne"/>
            </w:pPr>
            <w:r w:rsidRPr="00BA08AB">
              <w:tab/>
              <w:t>***III</w:t>
            </w:r>
            <w:r w:rsidRPr="00BA08AB">
              <w:tab/>
              <w:t>Zwykła procedura ustawodawcza (trzecie czytanie)</w:t>
            </w:r>
          </w:p>
          <w:p w:rsidR="00C6436A" w:rsidRPr="00BA08AB" w:rsidRDefault="00C6436A">
            <w:pPr>
              <w:pStyle w:val="Lgendestandard"/>
            </w:pPr>
          </w:p>
          <w:p w:rsidR="00C6436A" w:rsidRPr="00BA08AB" w:rsidRDefault="00774DE8">
            <w:pPr>
              <w:pStyle w:val="Lgendestandard"/>
            </w:pPr>
            <w:r w:rsidRPr="00BA08AB">
              <w:t>(Wskazana procedura opiera się na podstawie prawnej zaproponowanej w projekcie aktu.)</w:t>
            </w:r>
          </w:p>
          <w:p w:rsidR="00C6436A" w:rsidRPr="00BA08AB" w:rsidRDefault="00C6436A">
            <w:pPr>
              <w:pStyle w:val="Lgendestandard"/>
            </w:pPr>
          </w:p>
        </w:tc>
      </w:tr>
    </w:tbl>
    <w:p w:rsidR="00C6436A" w:rsidRPr="00BA08AB" w:rsidRDefault="00C6436A" w:rsidP="00C6436A"/>
    <w:p w:rsidR="00C6436A" w:rsidRPr="00BA08AB" w:rsidRDefault="00C6436A" w:rsidP="00C6436A"/>
    <w:p w:rsidR="00C6436A" w:rsidRPr="00BA08AB" w:rsidRDefault="00C6436A" w:rsidP="00C6436A"/>
    <w:p w:rsidR="00C6436A" w:rsidRPr="00BA08AB" w:rsidRDefault="00C6436A" w:rsidP="00C6436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F17F65" w:rsidRPr="00BA08AB" w:rsidTr="00C6436A">
        <w:tc>
          <w:tcPr>
            <w:tcW w:w="5811" w:type="dxa"/>
            <w:tcBorders>
              <w:top w:val="single" w:sz="4" w:space="0" w:color="auto"/>
              <w:left w:val="single" w:sz="4" w:space="0" w:color="auto"/>
              <w:bottom w:val="nil"/>
              <w:right w:val="single" w:sz="4" w:space="0" w:color="auto"/>
            </w:tcBorders>
            <w:hideMark/>
          </w:tcPr>
          <w:p w:rsidR="00C6436A" w:rsidRPr="00BA08AB" w:rsidRDefault="00774DE8">
            <w:pPr>
              <w:pStyle w:val="Lgendetitre"/>
            </w:pPr>
            <w:r w:rsidRPr="00BA08AB">
              <w:t>Poprawki do projektu aktu</w:t>
            </w:r>
          </w:p>
        </w:tc>
      </w:tr>
      <w:tr w:rsidR="00F17F65" w:rsidRPr="00BA08AB" w:rsidTr="00C6436A">
        <w:trPr>
          <w:trHeight w:val="4496"/>
        </w:trPr>
        <w:tc>
          <w:tcPr>
            <w:tcW w:w="5811" w:type="dxa"/>
            <w:tcBorders>
              <w:top w:val="nil"/>
              <w:left w:val="single" w:sz="4" w:space="0" w:color="auto"/>
              <w:bottom w:val="single" w:sz="4" w:space="0" w:color="auto"/>
              <w:right w:val="single" w:sz="4" w:space="0" w:color="auto"/>
            </w:tcBorders>
          </w:tcPr>
          <w:p w:rsidR="00C6436A" w:rsidRPr="00BA08AB" w:rsidRDefault="00774DE8">
            <w:pPr>
              <w:pStyle w:val="Lgendestandard"/>
              <w:rPr>
                <w:szCs w:val="24"/>
              </w:rPr>
            </w:pPr>
            <w:r w:rsidRPr="00BA08AB">
              <w:rPr>
                <w:b/>
              </w:rPr>
              <w:t>Poprawki Parlamentu w postaci dwóch kolumn</w:t>
            </w:r>
          </w:p>
          <w:p w:rsidR="00C6436A" w:rsidRPr="00BA08AB" w:rsidRDefault="00C6436A">
            <w:pPr>
              <w:pStyle w:val="Lgendestandard"/>
              <w:rPr>
                <w:szCs w:val="24"/>
              </w:rPr>
            </w:pPr>
          </w:p>
          <w:p w:rsidR="00C6436A" w:rsidRPr="00BA08AB" w:rsidRDefault="00774DE8">
            <w:pPr>
              <w:pStyle w:val="Lgendestandard"/>
              <w:rPr>
                <w:szCs w:val="24"/>
              </w:rPr>
            </w:pPr>
            <w:r w:rsidRPr="00BA08AB">
              <w:t xml:space="preserve">Skreślenia zaznacza się </w:t>
            </w:r>
            <w:r w:rsidRPr="00BA08AB">
              <w:t>wytłuszczonym drukiem i kursywą w lewej kolumnie. Zmianę brzmienia zaznacza się wytłuszczonym drukiem i kursywą w obu kolumnach. Nowy tekst zaznacza się wytłuszczonym drukiem i kursywą w prawej kolumnie.</w:t>
            </w:r>
          </w:p>
          <w:p w:rsidR="00C6436A" w:rsidRPr="00BA08AB" w:rsidRDefault="00C6436A">
            <w:pPr>
              <w:pStyle w:val="Lgendestandard"/>
              <w:rPr>
                <w:szCs w:val="24"/>
              </w:rPr>
            </w:pPr>
          </w:p>
          <w:p w:rsidR="00C6436A" w:rsidRPr="00BA08AB" w:rsidRDefault="00774DE8">
            <w:pPr>
              <w:pStyle w:val="Lgendestandard"/>
              <w:rPr>
                <w:szCs w:val="24"/>
              </w:rPr>
            </w:pPr>
            <w:r w:rsidRPr="00BA08AB">
              <w:t>Pierwszy i drugi wiersz nagłówka każdej poprawki ws</w:t>
            </w:r>
            <w:r w:rsidRPr="00BA08AB">
              <w:t>kazuje element rozpatrywanego projektu aktu, którego dotyczy poprawka. Jeżeli poprawka odnosi się do obowiązującego aktu, do którego zmiany zmierza projekt aktu, nagłówek zawiera dodatkowo trzeci wiersz wskazujący obowiązujący akt i czwarty wiersz wskazują</w:t>
            </w:r>
            <w:r w:rsidRPr="00BA08AB">
              <w:t>cy przepis tego aktu, którego dotyczy poprawka.</w:t>
            </w:r>
          </w:p>
          <w:p w:rsidR="00C6436A" w:rsidRPr="00BA08AB" w:rsidRDefault="00C6436A">
            <w:pPr>
              <w:pStyle w:val="Lgendestandard"/>
              <w:rPr>
                <w:szCs w:val="24"/>
              </w:rPr>
            </w:pPr>
          </w:p>
          <w:p w:rsidR="00C6436A" w:rsidRPr="00BA08AB" w:rsidRDefault="00774DE8">
            <w:pPr>
              <w:pStyle w:val="Lgendestandard"/>
              <w:rPr>
                <w:b/>
                <w:szCs w:val="24"/>
              </w:rPr>
            </w:pPr>
            <w:r w:rsidRPr="00BA08AB">
              <w:rPr>
                <w:b/>
              </w:rPr>
              <w:t>Poprawki Parlamentu w postaci tekstu skonsolidowanego</w:t>
            </w:r>
          </w:p>
          <w:p w:rsidR="00C6436A" w:rsidRPr="00BA08AB" w:rsidRDefault="00C6436A">
            <w:pPr>
              <w:pStyle w:val="Lgendestandard"/>
              <w:rPr>
                <w:szCs w:val="24"/>
              </w:rPr>
            </w:pPr>
          </w:p>
          <w:p w:rsidR="00C6436A" w:rsidRPr="00BA08AB" w:rsidRDefault="00774DE8">
            <w:pPr>
              <w:pStyle w:val="Lgendestandard"/>
              <w:rPr>
                <w:szCs w:val="24"/>
              </w:rPr>
            </w:pPr>
            <w:r w:rsidRPr="00BA08AB">
              <w:t>Nowe fragmenty tekstu zaznacza się wytłuszczonym drukiem i kursywą. Fragmenty tekstu, które zostały skreślone, zaznacza się za pomocą symbolu ▌ lub prze</w:t>
            </w:r>
            <w:r w:rsidRPr="00BA08AB">
              <w:t xml:space="preserve">kreśla. Zmianę brzmienia zaznacza się przez wyróżnienie nowego tekstu wytłuszczonym drukiem i kursywą i usunięcie lub przekreślenie zastąpionego tekstu. </w:t>
            </w:r>
          </w:p>
          <w:p w:rsidR="00C6436A" w:rsidRPr="00BA08AB" w:rsidRDefault="00774DE8">
            <w:pPr>
              <w:pStyle w:val="Lgendestandard"/>
            </w:pPr>
            <w:r w:rsidRPr="00BA08AB">
              <w:t>Tytułem wyjątku nie zaznacza się zmian o charakterze ściśle technicznym wprowadzonych przez służby w c</w:t>
            </w:r>
            <w:r w:rsidRPr="00BA08AB">
              <w:t>elu opracowania końcowej wersji tekstu.</w:t>
            </w:r>
          </w:p>
          <w:p w:rsidR="00C6436A" w:rsidRPr="00BA08AB" w:rsidRDefault="00C6436A">
            <w:pPr>
              <w:pStyle w:val="Lgendestandard"/>
            </w:pPr>
          </w:p>
        </w:tc>
      </w:tr>
    </w:tbl>
    <w:p w:rsidR="00C6436A" w:rsidRPr="00BA08AB" w:rsidRDefault="00C6436A" w:rsidP="00C6436A"/>
    <w:p w:rsidR="00C6436A" w:rsidRPr="00BA08AB" w:rsidRDefault="00C6436A" w:rsidP="00C6436A">
      <w:pPr>
        <w:widowControl/>
        <w:tabs>
          <w:tab w:val="center" w:pos="4677"/>
        </w:tabs>
      </w:pPr>
    </w:p>
    <w:p w:rsidR="00C6436A" w:rsidRPr="00BA08AB" w:rsidRDefault="00774DE8" w:rsidP="00C6436A">
      <w:pPr>
        <w:pStyle w:val="TOCHeading"/>
      </w:pPr>
      <w:r w:rsidRPr="00BA08AB">
        <w:br w:type="page"/>
      </w:r>
      <w:r w:rsidRPr="00BA08AB">
        <w:lastRenderedPageBreak/>
        <w:t>SPIS TREŚCI</w:t>
      </w:r>
    </w:p>
    <w:p w:rsidR="00C6436A" w:rsidRPr="00BA08AB" w:rsidRDefault="00774DE8" w:rsidP="00C6436A">
      <w:pPr>
        <w:pStyle w:val="TOCPage"/>
      </w:pPr>
      <w:r w:rsidRPr="00BA08AB">
        <w:t>Strona</w:t>
      </w:r>
    </w:p>
    <w:p w:rsidR="00774DE8" w:rsidRDefault="00774DE8">
      <w:pPr>
        <w:pStyle w:val="TOC1"/>
        <w:tabs>
          <w:tab w:val="right" w:leader="dot" w:pos="9060"/>
        </w:tabs>
        <w:rPr>
          <w:rFonts w:asciiTheme="minorHAnsi" w:eastAsiaTheme="minorEastAsia" w:hAnsiTheme="minorHAnsi" w:cstheme="minorBidi"/>
          <w:noProof/>
          <w:sz w:val="22"/>
          <w:szCs w:val="22"/>
          <w:lang w:eastAsia="pl-PL"/>
        </w:rPr>
      </w:pPr>
      <w:r w:rsidRPr="00BA08AB">
        <w:rPr>
          <w:b/>
        </w:rPr>
        <w:fldChar w:fldCharType="begin"/>
      </w:r>
      <w:r w:rsidRPr="00BA08AB">
        <w:rPr>
          <w:b/>
        </w:rPr>
        <w:instrText xml:space="preserve"> TOC \t "PageHeading</w:instrText>
      </w:r>
      <w:r w:rsidR="000C5776" w:rsidRPr="00BA08AB">
        <w:rPr>
          <w:b/>
        </w:rPr>
        <w:instrText>;</w:instrText>
      </w:r>
      <w:r w:rsidRPr="00BA08AB">
        <w:rPr>
          <w:b/>
        </w:rPr>
        <w:instrText xml:space="preserve">1" </w:instrText>
      </w:r>
      <w:r w:rsidRPr="00BA08AB">
        <w:rPr>
          <w:b/>
        </w:rPr>
        <w:fldChar w:fldCharType="separate"/>
      </w:r>
      <w:r>
        <w:rPr>
          <w:noProof/>
        </w:rPr>
        <w:t>PROJEKT REZOLUCJI USTAWODAWCZEJ PARLAMENTU EUROPEJSKIEGO</w:t>
      </w:r>
      <w:r>
        <w:rPr>
          <w:noProof/>
        </w:rPr>
        <w:tab/>
      </w:r>
      <w:r>
        <w:rPr>
          <w:noProof/>
        </w:rPr>
        <w:fldChar w:fldCharType="begin"/>
      </w:r>
      <w:r>
        <w:rPr>
          <w:noProof/>
        </w:rPr>
        <w:instrText xml:space="preserve"> PAGEREF _Toc192599589 \h </w:instrText>
      </w:r>
      <w:r>
        <w:rPr>
          <w:noProof/>
        </w:rPr>
      </w:r>
      <w:r>
        <w:rPr>
          <w:noProof/>
        </w:rPr>
        <w:fldChar w:fldCharType="separate"/>
      </w:r>
      <w:r>
        <w:rPr>
          <w:noProof/>
        </w:rPr>
        <w:t>5</w:t>
      </w:r>
      <w:r>
        <w:rPr>
          <w:noProof/>
        </w:rPr>
        <w:fldChar w:fldCharType="end"/>
      </w:r>
    </w:p>
    <w:p w:rsidR="00774DE8" w:rsidRDefault="00774DE8">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_Toc192599590 \h </w:instrText>
      </w:r>
      <w:r>
        <w:rPr>
          <w:noProof/>
        </w:rPr>
      </w:r>
      <w:r>
        <w:rPr>
          <w:noProof/>
        </w:rPr>
        <w:fldChar w:fldCharType="separate"/>
      </w:r>
      <w:r>
        <w:rPr>
          <w:noProof/>
        </w:rPr>
        <w:t>95</w:t>
      </w:r>
      <w:r>
        <w:rPr>
          <w:noProof/>
        </w:rPr>
        <w:fldChar w:fldCharType="end"/>
      </w:r>
    </w:p>
    <w:p w:rsidR="00774DE8" w:rsidRDefault="00774DE8">
      <w:pPr>
        <w:pStyle w:val="TOC1"/>
        <w:tabs>
          <w:tab w:val="right" w:leader="dot" w:pos="9060"/>
        </w:tabs>
        <w:rPr>
          <w:rFonts w:asciiTheme="minorHAnsi" w:eastAsiaTheme="minorEastAsia" w:hAnsiTheme="minorHAnsi" w:cstheme="minorBidi"/>
          <w:noProof/>
          <w:sz w:val="22"/>
          <w:szCs w:val="22"/>
          <w:lang w:eastAsia="pl-PL"/>
        </w:rPr>
      </w:pPr>
      <w:r>
        <w:rPr>
          <w:noProof/>
        </w:rPr>
        <w:t>ZAŁĄCZNIK: PODMIOTY LUB OSOBY, OD KTÓRYCH SPRAWOZDAWCZYNI OTRZYMAŁA INFORMACJE</w:t>
      </w:r>
      <w:r>
        <w:rPr>
          <w:noProof/>
        </w:rPr>
        <w:tab/>
      </w:r>
      <w:r>
        <w:rPr>
          <w:noProof/>
        </w:rPr>
        <w:fldChar w:fldCharType="begin"/>
      </w:r>
      <w:r>
        <w:rPr>
          <w:noProof/>
        </w:rPr>
        <w:instrText xml:space="preserve"> PAGEREF _Toc192599591 \h </w:instrText>
      </w:r>
      <w:r>
        <w:rPr>
          <w:noProof/>
        </w:rPr>
      </w:r>
      <w:r>
        <w:rPr>
          <w:noProof/>
        </w:rPr>
        <w:fldChar w:fldCharType="separate"/>
      </w:r>
      <w:r>
        <w:rPr>
          <w:noProof/>
        </w:rPr>
        <w:t>97</w:t>
      </w:r>
      <w:r>
        <w:rPr>
          <w:noProof/>
        </w:rPr>
        <w:fldChar w:fldCharType="end"/>
      </w:r>
    </w:p>
    <w:p w:rsidR="00C6436A" w:rsidRPr="00BA08AB" w:rsidRDefault="00774DE8" w:rsidP="00C6436A">
      <w:r w:rsidRPr="00BA08AB">
        <w:rPr>
          <w:b/>
        </w:rPr>
        <w:fldChar w:fldCharType="end"/>
      </w:r>
    </w:p>
    <w:p w:rsidR="00C6436A" w:rsidRPr="00BA08AB" w:rsidRDefault="00774DE8" w:rsidP="00C6436A">
      <w:pPr>
        <w:pStyle w:val="PageHeading"/>
      </w:pPr>
      <w:r w:rsidRPr="00BA08AB">
        <w:br w:type="page"/>
      </w:r>
      <w:r w:rsidRPr="00BA08AB">
        <w:lastRenderedPageBreak/>
        <w:br w:type="page"/>
      </w:r>
      <w:bookmarkStart w:id="0" w:name="_Toc192599589"/>
      <w:r w:rsidRPr="00BA08AB">
        <w:lastRenderedPageBreak/>
        <w:t>PROJEKT REZOLUCJI USTAWODAWCZEJ PARLAMENTU EUROPEJSKIEGO</w:t>
      </w:r>
      <w:bookmarkEnd w:id="0"/>
    </w:p>
    <w:p w:rsidR="00C6436A" w:rsidRPr="00BA08AB" w:rsidRDefault="00774DE8" w:rsidP="00C6436A">
      <w:pPr>
        <w:pStyle w:val="NormalBold"/>
      </w:pPr>
      <w:r w:rsidRPr="00BA08AB">
        <w:t>w sprawie wniosku dotyczącego rozporządzenia Parlamentu Europejskiego i Rady zmieniającego rozporz</w:t>
      </w:r>
      <w:r w:rsidRPr="00BA08AB">
        <w:t>ądzenie Parlamentu Europejskiego i Rady (UE) 2023/2124 z dnia 4 października 2023 r. w sprawie niektórych przepisów dotyczących połowów na obszarze objętym porozumieniem GFCM (Generalnej Komisji Rybołówstwa Morza Śródziemnego)</w:t>
      </w:r>
    </w:p>
    <w:p w:rsidR="00C6436A" w:rsidRPr="00BA08AB" w:rsidRDefault="00774DE8" w:rsidP="00C6436A">
      <w:pPr>
        <w:pStyle w:val="NormalBold12a"/>
      </w:pPr>
      <w:r w:rsidRPr="00BA08AB">
        <w:t>(COM(2024)0183 – C10</w:t>
      </w:r>
      <w:r w:rsidRPr="00BA08AB">
        <w:noBreakHyphen/>
        <w:t>0006/202</w:t>
      </w:r>
      <w:r w:rsidRPr="00BA08AB">
        <w:t>4 – 2024/0098(COD))</w:t>
      </w:r>
    </w:p>
    <w:p w:rsidR="00C6436A" w:rsidRPr="00BA08AB" w:rsidRDefault="00774DE8" w:rsidP="00C6436A">
      <w:pPr>
        <w:pStyle w:val="NormalBold"/>
      </w:pPr>
      <w:r w:rsidRPr="00BA08AB">
        <w:t>(Zwykła procedura ustawodawcza: pierwsze czytanie)</w:t>
      </w:r>
    </w:p>
    <w:p w:rsidR="00C6436A" w:rsidRPr="00BA08AB" w:rsidRDefault="00774DE8" w:rsidP="00C6436A">
      <w:pPr>
        <w:pStyle w:val="EPComma"/>
      </w:pPr>
      <w:r w:rsidRPr="00BA08AB">
        <w:t>Parlament Europejski,</w:t>
      </w:r>
    </w:p>
    <w:p w:rsidR="00C6436A" w:rsidRPr="00BA08AB" w:rsidRDefault="00774DE8" w:rsidP="00C6436A">
      <w:pPr>
        <w:pStyle w:val="NormalHanging12a"/>
      </w:pPr>
      <w:r w:rsidRPr="00BA08AB">
        <w:t>–</w:t>
      </w:r>
      <w:r w:rsidRPr="00BA08AB">
        <w:tab/>
        <w:t>uwzględniając wniosek Komisji przedstawiony Parlamentowi Europejskiemu i Radzie (COM(2024)0183),</w:t>
      </w:r>
    </w:p>
    <w:p w:rsidR="00C6436A" w:rsidRPr="00BA08AB" w:rsidRDefault="00774DE8" w:rsidP="00C6436A">
      <w:pPr>
        <w:pStyle w:val="NormalHanging12a"/>
      </w:pPr>
      <w:r w:rsidRPr="00BA08AB">
        <w:t>–</w:t>
      </w:r>
      <w:r w:rsidRPr="00BA08AB">
        <w:tab/>
        <w:t xml:space="preserve">uwzględniając art. 294 ust. 2 i art. 43 ust. 2 Traktatu o </w:t>
      </w:r>
      <w:r w:rsidRPr="00BA08AB">
        <w:t>funkcjonowaniu Unii Europejskiej, zgodnie z którymi wniosek został przedstawiony Parlamentowi przez Komisję (C10-0006/2024),</w:t>
      </w:r>
    </w:p>
    <w:p w:rsidR="00C6436A" w:rsidRPr="00BA08AB" w:rsidRDefault="00774DE8" w:rsidP="00C6436A">
      <w:pPr>
        <w:pStyle w:val="NormalHanging12a"/>
      </w:pPr>
      <w:r w:rsidRPr="00BA08AB">
        <w:t>–</w:t>
      </w:r>
      <w:r w:rsidRPr="00BA08AB">
        <w:tab/>
        <w:t>uwzględniając art. 294 ust. 3 Traktatu o funkcjonowaniu Unii Europejskiej,</w:t>
      </w:r>
    </w:p>
    <w:p w:rsidR="00857E18" w:rsidRPr="00BA08AB" w:rsidRDefault="00774DE8" w:rsidP="00C6436A">
      <w:pPr>
        <w:pStyle w:val="NormalHanging12a"/>
      </w:pPr>
      <w:r w:rsidRPr="00BA08AB">
        <w:t>–</w:t>
      </w:r>
      <w:r w:rsidRPr="00BA08AB">
        <w:tab/>
        <w:t xml:space="preserve">uwzględniając opinię Europejskiego Komitetu </w:t>
      </w:r>
      <w:r w:rsidRPr="00BA08AB">
        <w:t>Ekonomiczno-Społecznego</w:t>
      </w:r>
      <w:r w:rsidRPr="00BA08AB">
        <w:rPr>
          <w:rStyle w:val="FootnoteReference"/>
        </w:rPr>
        <w:footnoteReference w:id="1"/>
      </w:r>
      <w:r w:rsidRPr="00BA08AB">
        <w:t>,</w:t>
      </w:r>
    </w:p>
    <w:p w:rsidR="00C6436A" w:rsidRPr="00BA08AB" w:rsidRDefault="00774DE8" w:rsidP="00C6436A">
      <w:pPr>
        <w:pStyle w:val="NormalHanging12a"/>
      </w:pPr>
      <w:r w:rsidRPr="00BA08AB">
        <w:t>–</w:t>
      </w:r>
      <w:r w:rsidRPr="00BA08AB">
        <w:tab/>
        <w:t>uwzględniając art. 60 Regulaminu,</w:t>
      </w:r>
    </w:p>
    <w:p w:rsidR="00C6436A" w:rsidRPr="00BA08AB" w:rsidRDefault="00774DE8" w:rsidP="00C6436A">
      <w:pPr>
        <w:pStyle w:val="NormalHanging12a"/>
      </w:pPr>
      <w:r w:rsidRPr="00BA08AB">
        <w:t>–</w:t>
      </w:r>
      <w:r w:rsidRPr="00BA08AB">
        <w:tab/>
        <w:t>uwzględniając sprawozdanie Komisji Rybołówstwa (A10</w:t>
      </w:r>
      <w:r w:rsidRPr="00BA08AB">
        <w:noBreakHyphen/>
        <w:t>0000/2024),</w:t>
      </w:r>
    </w:p>
    <w:p w:rsidR="00C6436A" w:rsidRPr="00BA08AB" w:rsidRDefault="00774DE8" w:rsidP="00C6436A">
      <w:pPr>
        <w:pStyle w:val="NormalHanging12a"/>
      </w:pPr>
      <w:r w:rsidRPr="00BA08AB">
        <w:t>1.</w:t>
      </w:r>
      <w:r w:rsidRPr="00BA08AB">
        <w:tab/>
        <w:t>przyjmuje poniższe stanowisko w pierwszym czytaniu;</w:t>
      </w:r>
    </w:p>
    <w:p w:rsidR="00C6436A" w:rsidRPr="00BA08AB" w:rsidRDefault="00774DE8" w:rsidP="00C6436A">
      <w:pPr>
        <w:pStyle w:val="NormalHanging12a"/>
      </w:pPr>
      <w:r w:rsidRPr="00BA08AB">
        <w:t>2.</w:t>
      </w:r>
      <w:r w:rsidRPr="00BA08AB">
        <w:tab/>
        <w:t>zwraca się do Komisji o ponowne przekazanie mu sprawy, jeśli zastąpi o</w:t>
      </w:r>
      <w:r w:rsidRPr="00BA08AB">
        <w:t>na pierwotny wniosek, wprowadzi w nim istotne zmiany lub planuje ich wprowadzenie;</w:t>
      </w:r>
    </w:p>
    <w:p w:rsidR="00C6436A" w:rsidRPr="00BA08AB" w:rsidRDefault="00774DE8" w:rsidP="00C6436A">
      <w:pPr>
        <w:pStyle w:val="NormalHanging12a"/>
      </w:pPr>
      <w:r w:rsidRPr="00BA08AB">
        <w:t>3.</w:t>
      </w:r>
      <w:r w:rsidRPr="00BA08AB">
        <w:tab/>
        <w:t>zobowiązuje swoją przewodniczącą do przekazania stanowiska Parlamentu Radzie i Komisji oraz parlamentom narodowym.</w:t>
      </w:r>
    </w:p>
    <w:p w:rsidR="00C6436A" w:rsidRPr="00BA08AB" w:rsidRDefault="00C6436A" w:rsidP="00C6436A"/>
    <w:p w:rsidR="00C6436A" w:rsidRPr="00BA08AB" w:rsidRDefault="00774DE8" w:rsidP="00C6436A">
      <w:pPr>
        <w:pStyle w:val="AMNumberTabs0"/>
        <w:keepNext/>
      </w:pPr>
      <w:r w:rsidRPr="00BA08AB">
        <w:rPr>
          <w:rStyle w:val="HideTWBExt"/>
        </w:rPr>
        <w:t>&lt;RepeatBlock-Amend&gt;&lt;Amend&gt;</w:t>
      </w:r>
      <w:r w:rsidRPr="00BA08AB">
        <w:t>Poprawka</w:t>
      </w:r>
      <w:r w:rsidRPr="00BA08AB">
        <w:tab/>
      </w:r>
      <w:r w:rsidRPr="00BA08AB">
        <w:tab/>
      </w:r>
      <w:r w:rsidRPr="00BA08AB">
        <w:rPr>
          <w:rStyle w:val="HideTWBExt"/>
        </w:rPr>
        <w:t>&lt;NumAm&gt;</w:t>
      </w:r>
      <w:r w:rsidRPr="00774DE8">
        <w:t>1</w:t>
      </w:r>
      <w:r w:rsidRPr="00BA08AB">
        <w:rPr>
          <w:rStyle w:val="HideTWBExt"/>
        </w:rPr>
        <w:t>&lt;/NumAm&gt;</w:t>
      </w:r>
    </w:p>
    <w:p w:rsidR="00C6436A" w:rsidRPr="00BA08AB" w:rsidRDefault="00774DE8" w:rsidP="00C6436A">
      <w:pPr>
        <w:pStyle w:val="NormalBold12b"/>
        <w:keepNext/>
      </w:pPr>
      <w:r w:rsidRPr="00BA08AB">
        <w:rPr>
          <w:rStyle w:val="HideTWBExt"/>
        </w:rPr>
        <w:t>&lt;</w:t>
      </w:r>
      <w:r w:rsidRPr="00BA08AB">
        <w:rPr>
          <w:rStyle w:val="HideTWBExt"/>
        </w:rPr>
        <w: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7</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(7)</w:t>
            </w:r>
            <w:r w:rsidRPr="00BA08AB">
              <w:tab/>
            </w:r>
            <w:r w:rsidRPr="00BA08AB">
              <w:t xml:space="preserve">Na corocznym posiedzeniu w 2021 r. GFCM przyjęła zalecenie GFCM/44/2021/2 w sprawie ustanowienia </w:t>
            </w:r>
            <w:r w:rsidRPr="00BA08AB">
              <w:lastRenderedPageBreak/>
              <w:t xml:space="preserve">obszaru ograniczonych połowów na obszarze głębia </w:t>
            </w:r>
            <w:r w:rsidRPr="00BA08AB">
              <w:rPr>
                <w:b/>
                <w:bCs/>
                <w:i/>
                <w:iCs/>
              </w:rPr>
              <w:t>jabuka/pomo</w:t>
            </w:r>
            <w:r w:rsidRPr="00BA08AB">
              <w:t xml:space="preserve"> w Morzu Adriatyckim, zmieniające zalecenie GFCM/41/2017/3</w:t>
            </w:r>
            <w:r w:rsidRPr="00BA08AB">
              <w:rPr>
                <w:b/>
                <w:bCs/>
                <w:i/>
                <w:iCs/>
              </w:rPr>
              <w:t>, i zalecenie GFCM/44/2021/5 w sprawie us</w:t>
            </w:r>
            <w:r w:rsidRPr="00BA08AB">
              <w:rPr>
                <w:b/>
                <w:bCs/>
                <w:i/>
                <w:iCs/>
              </w:rPr>
              <w:t>tanowienia obszaru ograniczonych połowów w Zatoce Lwiej w celu ochrony skupisk tarłowych i wrażliwych siedlisk głębinowych, uchylające zalecenie GFCM/33/2009/1</w:t>
            </w:r>
            <w:r w:rsidRPr="00BA08AB">
              <w:t>.</w:t>
            </w:r>
          </w:p>
        </w:tc>
        <w:tc>
          <w:tcPr>
            <w:tcW w:w="4876" w:type="dxa"/>
            <w:hideMark/>
          </w:tcPr>
          <w:p w:rsidR="00C6436A" w:rsidRPr="00BA08AB" w:rsidRDefault="00774DE8">
            <w:pPr>
              <w:pStyle w:val="Normal6"/>
              <w:rPr>
                <w:szCs w:val="24"/>
              </w:rPr>
            </w:pPr>
            <w:r w:rsidRPr="00BA08AB">
              <w:lastRenderedPageBreak/>
              <w:t>(7)</w:t>
            </w:r>
            <w:r w:rsidRPr="00BA08AB">
              <w:tab/>
              <w:t>Na corocznym posiedzeniu w 2021 r. GFCM przyjęła zalecenie GFCM/44/2021/2 w sprawie ustanow</w:t>
            </w:r>
            <w:r w:rsidRPr="00BA08AB">
              <w:t xml:space="preserve">ienia </w:t>
            </w:r>
            <w:r w:rsidRPr="00BA08AB">
              <w:lastRenderedPageBreak/>
              <w:t xml:space="preserve">obszaru ograniczonych połowów na obszarze głębia </w:t>
            </w:r>
            <w:r w:rsidRPr="00BA08AB">
              <w:rPr>
                <w:b/>
                <w:bCs/>
                <w:i/>
                <w:iCs/>
              </w:rPr>
              <w:t>Jabuka/Pomo</w:t>
            </w:r>
            <w:r w:rsidRPr="00BA08AB">
              <w:t xml:space="preserve"> w Morzu Adriatyckim, zmieniające zalecenie GFCM/41/2017/3.</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Skreślenie ma na celu uniknięcie wprowadzenia czytelników w </w:t>
      </w:r>
      <w:r w:rsidRPr="00BA08AB">
        <w:t>błąd, ponieważ zalecenie GFCM/44/2021/5 zostało uchylone zaleceniem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9</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(9)</w:t>
            </w:r>
            <w:r w:rsidRPr="00BA08AB">
              <w:tab/>
            </w:r>
            <w:r w:rsidRPr="00BA08AB">
              <w:t xml:space="preserve">Na corocznym posiedzeniu w 2021 r. GFCM przyjęła również </w:t>
            </w:r>
            <w:r w:rsidRPr="00BA08AB">
              <w:rPr>
                <w:b/>
                <w:bCs/>
                <w:i/>
                <w:iCs/>
              </w:rPr>
              <w:t>zalecenie GFCM/44/2021/13 w sprawie łagodzenia wpływu rybołówstwa na ochronę ptaków morskich w Morzu Śródziemnym,</w:t>
            </w:r>
            <w:r w:rsidRPr="00BA08AB">
              <w:t xml:space="preserve"> zalecenie GFCM/44/2021/14 w sprawie łagodzenia wpływu rybołówstwa na ochronę żółwi mo</w:t>
            </w:r>
            <w:r w:rsidRPr="00BA08AB">
              <w:t>rskich, zalecenie GFCM/44/2021/15 w sprawie łagodzenia wpływu rybołówstwa na ochronę waleni oraz zalecenie GFCM/44/2021/16 w sprawie dodatkowych środków łagodzących służących ochronie spodoustych w Morzu Śródziemnym.</w:t>
            </w:r>
          </w:p>
        </w:tc>
        <w:tc>
          <w:tcPr>
            <w:tcW w:w="4876" w:type="dxa"/>
            <w:hideMark/>
          </w:tcPr>
          <w:p w:rsidR="00C6436A" w:rsidRPr="00BA08AB" w:rsidRDefault="00774DE8">
            <w:pPr>
              <w:pStyle w:val="Normal6"/>
              <w:rPr>
                <w:szCs w:val="24"/>
              </w:rPr>
            </w:pPr>
            <w:r w:rsidRPr="00BA08AB">
              <w:t>(9)</w:t>
            </w:r>
            <w:r w:rsidRPr="00BA08AB">
              <w:tab/>
              <w:t xml:space="preserve">Na corocznym posiedzeniu w 2021 r. </w:t>
            </w:r>
            <w:r w:rsidRPr="00BA08AB">
              <w:t>GFCM przyjęła również zalecenie GFCM/44/2021/14 w sprawie łagodzenia wpływu rybołówstwa na ochronę żółwi morskich, zalecenie GFCM/44/2021/15 w sprawie łagodzenia wpływu rybołówstwa na ochronę waleni oraz zalecenie GFCM/44/2021/16 w sprawie dodatkowych środ</w:t>
            </w:r>
            <w:r w:rsidRPr="00BA08AB">
              <w:t>ków łagodzących służących ochronie spodoustych w Morzu Śródziemnym.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a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w:t>
            </w:r>
            <w:r w:rsidRPr="00BA08AB">
              <w:t>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(23a)</w:t>
            </w:r>
            <w:r w:rsidRPr="00BA08AB">
              <w:rPr>
                <w:b/>
                <w:i/>
              </w:rPr>
              <w:tab/>
              <w:t>Na corocznym posiedzeniu w 2023 r. GFCM przyjęła również zalecenie GFCM/46/2023/1 w sprawie ustanowienia obszaru ograniczonych połowów w Zatoce Lwiej (podobszar geograficzny 7) w celu ochrony skupisk tarłowych i wrażliwych si</w:t>
            </w:r>
            <w:r w:rsidRPr="00BA08AB">
              <w:rPr>
                <w:b/>
                <w:i/>
              </w:rPr>
              <w:t xml:space="preserve">edlisk głębinowych, uchylające zalecenie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 uchyliło zalecenie GFCM/44/2021/5.</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b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(23b)</w:t>
            </w:r>
            <w:r w:rsidRPr="00BA08AB">
              <w:rPr>
                <w:b/>
                <w:i/>
              </w:rPr>
              <w:tab/>
              <w:t xml:space="preserve">Na corocznym posiedzeniu w 2023 r. GFCM przyjęła również zalecenie GFCM/46/2023/2 w sprawie określenia minimalnego rozmiaru odniesienia do celów ochrony </w:t>
            </w:r>
            <w:r w:rsidRPr="00BA08AB">
              <w:rPr>
                <w:b/>
                <w:i/>
              </w:rPr>
              <w:t xml:space="preserve">czerwonej krewetki głębinowej oraz bladoczerwonej krewetki głębinowej w Cieśninie Sycylijskiej (podobszary geograficzne 12–16).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Uzasadnienie: Zalecenie GFCM/46/2023/2.</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c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(23c)</w:t>
            </w:r>
            <w:r w:rsidRPr="00BA08AB">
              <w:rPr>
                <w:b/>
                <w:i/>
              </w:rPr>
              <w:tab/>
              <w:t xml:space="preserve">Na corocznym posiedzeniu w 2023 r. GFCM przyjęła również zalecenie GFCM/46/2023/3 </w:t>
            </w:r>
            <w:r w:rsidRPr="00BA08AB">
              <w:rPr>
                <w:b/>
                <w:i/>
              </w:rPr>
              <w:t xml:space="preserve">w sprawie określenia minimalnego rozmiaru odniesienia do celów ochrony czerwonej krewetki głębinowej oraz bladoczerwonej krewetki głębinowej w Morzu Jońskim (podobszary geograficzne 19–21).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GFCM/46/2023/3.</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d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(23d)</w:t>
            </w:r>
            <w:r w:rsidRPr="00BA08AB">
              <w:rPr>
                <w:b/>
                <w:i/>
              </w:rPr>
              <w:tab/>
              <w:t xml:space="preserve">Na corocznym posiedzeniu </w:t>
            </w:r>
            <w:r w:rsidRPr="00BA08AB">
              <w:rPr>
                <w:b/>
                <w:i/>
              </w:rPr>
              <w:t xml:space="preserve">w 2023 r. GFCM przyjęła również zalecenie GFCM/46/2023/4 w sprawie określenia minimalnego rozmiaru odniesienia do celów ochrony czerwonej krewetki głębinowej oraz bladoczerwonej krewetki głębinowej w Morzu Lewantyńskim (podobszary geograficzne 24–27).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e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przez </w:t>
            </w:r>
            <w:r w:rsidRPr="00BA08AB">
              <w:t>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(23e)</w:t>
            </w:r>
            <w:r w:rsidRPr="00BA08AB">
              <w:rPr>
                <w:b/>
                <w:i/>
              </w:rPr>
              <w:tab/>
              <w:t xml:space="preserve">Na corocznym posiedzeniu w 2023 r. GFCM przyjęła również zalecenie GFCM/46/2023/5 w sprawie przedłużenia tymczasowego systemu połowowego oraz ustanowienia na 2024 r. limitu połowowego dla stad małych gatunków pelagicznych w Morzu </w:t>
            </w:r>
            <w:r w:rsidRPr="00BA08AB">
              <w:rPr>
                <w:b/>
                <w:i/>
              </w:rPr>
              <w:t xml:space="preserve">Adriatyckim (podobszary geograficzne 17 i 18), wynikające z zalecenia GFCM/44/2021/20.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GFCM/46/2023/5.</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w:t>
      </w:r>
      <w:r w:rsidRPr="00BA08AB">
        <w:t>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f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(23f)</w:t>
            </w:r>
            <w:r w:rsidRPr="00BA08AB">
              <w:rPr>
                <w:b/>
                <w:i/>
              </w:rPr>
              <w:tab/>
              <w:t xml:space="preserve">Na corocznym posiedzeniu w 2023 r. GFCM przyjęła również zalecenie GFCM/46/2023/6 w sprawie wdrażania systemu nakładu połowowego dla kluczowych </w:t>
            </w:r>
            <w:r w:rsidRPr="00BA08AB">
              <w:rPr>
                <w:b/>
                <w:i/>
              </w:rPr>
              <w:t xml:space="preserve">stad dennych w Morzu Adriatyckim (podobszary geograficzne GFCM 17 i 18) w 2024 r., wynikające z zalecenia GFCM/43/2019/5.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GFCM/46/2023/6.</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g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(23g)</w:t>
            </w:r>
            <w:r w:rsidRPr="00BA08AB">
              <w:rPr>
                <w:b/>
                <w:i/>
              </w:rPr>
              <w:tab/>
              <w:t xml:space="preserve">Na corocznym posiedzeniu w 2023 r. GFCM przyjęła również zalecenie GFCM/46/2023/7 w sprawie rozszerzenia </w:t>
            </w:r>
            <w:r w:rsidRPr="00BA08AB">
              <w:rPr>
                <w:b/>
                <w:i/>
              </w:rPr>
              <w:t xml:space="preserve">wieloletniego planu zarządzania połowami turbota w Morzu Czarnym (podobszar geograficzny 29) zmieniające zalecenie GFCM/41/2017/4.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Zalecenie GFCM//46/2023/7 zmieniło zalecenie </w:t>
      </w:r>
      <w:r w:rsidRPr="00BA08AB">
        <w:t>GFCM/41/2017/4.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h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(23h)</w:t>
            </w:r>
            <w:r w:rsidRPr="00BA08AB">
              <w:rPr>
                <w:b/>
                <w:i/>
              </w:rPr>
              <w:tab/>
              <w:t xml:space="preserve">Na corocznym posiedzeniu w 2023 r. GFCM przyjęła </w:t>
            </w:r>
            <w:r w:rsidRPr="00BA08AB">
              <w:rPr>
                <w:b/>
                <w:i/>
              </w:rPr>
              <w:t>również zalecenie GFCM/46/2023/11 w sprawie ograniczenia ataków butlonosów zwyczajnych w odniesieniu do połowów małych gatunków pelagicznych w Morzu Alborańskim (podobszar geograficzny 3).</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w:t>
      </w:r>
      <w:r w:rsidRPr="00BA08AB">
        <w:rPr>
          <w:rStyle w:val="HideTWBExt"/>
          <w:i w:val="0"/>
        </w:rPr>
        <w:t>&gt;</w:t>
      </w:r>
    </w:p>
    <w:p w:rsidR="00C6436A" w:rsidRPr="00BA08AB" w:rsidRDefault="00774DE8" w:rsidP="00C6436A">
      <w:pPr>
        <w:pStyle w:val="Normal12Italic"/>
        <w:rPr>
          <w:noProof w:val="0"/>
        </w:rPr>
      </w:pPr>
      <w:r w:rsidRPr="00BA08AB">
        <w:t>Zalecenie GFCM/46/2023/11.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i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(23i)</w:t>
            </w:r>
            <w:r w:rsidRPr="00BA08AB">
              <w:rPr>
                <w:b/>
                <w:i/>
              </w:rPr>
              <w:tab/>
              <w:t xml:space="preserve">Na corocznym posiedzeniu w 2023 r. GFCM </w:t>
            </w:r>
            <w:r w:rsidRPr="00BA08AB">
              <w:rPr>
                <w:b/>
                <w:i/>
              </w:rPr>
              <w:t xml:space="preserve">przyjęła również </w:t>
            </w:r>
            <w:r w:rsidRPr="00BA08AB">
              <w:rPr>
                <w:b/>
                <w:i/>
              </w:rPr>
              <w:lastRenderedPageBreak/>
              <w:t xml:space="preserve">zalecenie GFCM/46/2023/12 w sprawie ustanowienia planu zarządzania zdolnością połowową.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GFCM/46/2023/12.</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j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(23j)</w:t>
            </w:r>
            <w:r w:rsidRPr="00BA08AB">
              <w:rPr>
                <w:b/>
                <w:i/>
              </w:rPr>
              <w:tab/>
              <w:t xml:space="preserve">Na corocznym posiedzeniu w 2023 r. GFCM przyjęła również zalecenie GFCM/46/2023/14 w sprawie ustanowienia wieloletniego </w:t>
            </w:r>
            <w:r w:rsidRPr="00BA08AB">
              <w:rPr>
                <w:b/>
                <w:i/>
              </w:rPr>
              <w:t xml:space="preserve">planu zarządzania zrównoważoną eksploatacją koryfeny w Morzu Śródziemnym, uchylające zalecenia GFCM/30/2006/2, GFCM/43/2019/1 i GFCM/44/2021/11.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Zalecenie GFCM/46/2023/14 uchyliło </w:t>
      </w:r>
      <w:r w:rsidRPr="00BA08AB">
        <w:t>zalecenia GFCM/30/2006/2, GFCM/43/2019/1 i GFCM/44/2021/11.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k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(23k)</w:t>
            </w:r>
            <w:r w:rsidRPr="00BA08AB">
              <w:rPr>
                <w:b/>
                <w:i/>
              </w:rPr>
              <w:tab/>
              <w:t xml:space="preserve">Na </w:t>
            </w:r>
            <w:r w:rsidRPr="00BA08AB">
              <w:rPr>
                <w:b/>
                <w:i/>
              </w:rPr>
              <w:t xml:space="preserve">corocznym posiedzeniu w 2023 r. GFCM przyjęła również zalecenie GFCM/46/2023/15 w sprawie przeglądu minimalnego rozmiaru odniesienia do celów ochrony dla morlesza bogara w Morzu Alborańskm (podobszar geograficzny 3) zmieniające </w:t>
            </w:r>
            <w:r w:rsidRPr="00BA08AB">
              <w:rPr>
                <w:b/>
                <w:i/>
              </w:rPr>
              <w:lastRenderedPageBreak/>
              <w:t xml:space="preserve">zalecenie GFCM/45/2022/3.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GFCM//46/2023/15 zmieniło zalecenie GFCM/45/2022/3.</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l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(23l)</w:t>
            </w:r>
            <w:r w:rsidRPr="00BA08AB">
              <w:rPr>
                <w:b/>
                <w:i/>
              </w:rPr>
              <w:tab/>
              <w:t xml:space="preserve">Na corocznym posiedzeniu w 2023 r. GFCM przyjęła również zalecenie GFCM/46/2023/16 w sprawie wieloletniego planu zarządzania węgorzem europejskim w Morzu Śródziemnym, zmieniające zalecenia </w:t>
            </w:r>
            <w:r w:rsidRPr="00BA08AB">
              <w:rPr>
                <w:b/>
                <w:i/>
              </w:rPr>
              <w:t xml:space="preserve">GFCM/42/2018/1 i GFCM/45/2022/1.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GFCM/46/2023/16 w sprawie wieloletniego planu zarządzania węgorzem europejskim w Morzu Śródziemnym, zmieniające zalecenia GFCM/45/2022/1 i GFCM</w:t>
      </w:r>
      <w:r w:rsidRPr="00BA08AB">
        <w:t>/42/2018/1.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m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(23m)</w:t>
            </w:r>
            <w:r w:rsidRPr="00BA08AB">
              <w:rPr>
                <w:b/>
                <w:i/>
              </w:rPr>
              <w:tab/>
              <w:t xml:space="preserve">Na corocznym posiedzeniu w 2023 r. GFCM przyjęła również </w:t>
            </w:r>
            <w:r w:rsidRPr="00BA08AB">
              <w:rPr>
                <w:b/>
                <w:i/>
              </w:rPr>
              <w:t xml:space="preserve">zalecenie GFCM/46/2023/17 w sprawie międzynarodowego wspólnego programu inspekcji i nadzoru dla połowów koryfeny poza wodami podlegającymi jurysdykcji krajowej w Morzu Śródziemnym.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n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(23n)</w:t>
            </w:r>
            <w:r w:rsidRPr="00BA08AB">
              <w:rPr>
                <w:b/>
                <w:i/>
              </w:rPr>
              <w:tab/>
              <w:t xml:space="preserve">Na corocznym posiedzeniu w 2023 r. GFCM </w:t>
            </w:r>
            <w:r w:rsidRPr="00BA08AB">
              <w:rPr>
                <w:b/>
                <w:i/>
              </w:rPr>
              <w:t xml:space="preserve">przyjęła również zalecenie GFCM/46/2022/18 w sprawie międzynarodowych wspólnych programów inspekcji i nadzoru poza wodami podlegającymi jurysdykcji krajowej w Morzu Adriatyckim (podobszary geograficzne 17 i 18).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GFCM/46/2023/18.</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o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(23o)</w:t>
            </w:r>
            <w:r w:rsidRPr="00BA08AB">
              <w:rPr>
                <w:b/>
                <w:i/>
              </w:rPr>
              <w:tab/>
              <w:t xml:space="preserve">Na </w:t>
            </w:r>
            <w:r w:rsidRPr="00BA08AB">
              <w:rPr>
                <w:b/>
                <w:i/>
              </w:rPr>
              <w:t xml:space="preserve">corocznym posiedzeniu w 2023 r. GFCM przyjęła również zalecenie GFCM/46/2023/19 w sprawie ustanowienia systemu dokumentacji połowów dla korala czerwonego w Morzu Śródziemnym.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Zalecenie </w:t>
      </w:r>
      <w:r w:rsidRPr="00BA08AB">
        <w:t>GFCM/46/2023/19.</w:t>
      </w:r>
    </w:p>
    <w:p w:rsidR="00C6436A" w:rsidRPr="00BA08AB" w:rsidRDefault="00774DE8" w:rsidP="00C6436A">
      <w:r w:rsidRPr="00BA08AB">
        <w:rPr>
          <w:rStyle w:val="HideTWBExt"/>
        </w:rPr>
        <w:lastRenderedPageBreak/>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p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(23p)</w:t>
            </w:r>
            <w:r w:rsidRPr="00BA08AB">
              <w:rPr>
                <w:b/>
                <w:i/>
              </w:rPr>
              <w:tab/>
              <w:t xml:space="preserve">Na corocznym posiedzeniu w 2023 r. GFCM przyjęła </w:t>
            </w:r>
            <w:r w:rsidRPr="00BA08AB">
              <w:rPr>
                <w:b/>
                <w:i/>
              </w:rPr>
              <w:t xml:space="preserve">również zalecenie GFCM/46/2023/20 w sprawie ustanowienia systemu dokumentacji połowów dla turbota w Morzu Czarnym (podobszar geograficzny 29).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q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(23q)</w:t>
            </w:r>
            <w:r w:rsidRPr="00BA08AB">
              <w:rPr>
                <w:b/>
                <w:i/>
              </w:rPr>
              <w:tab/>
              <w:t xml:space="preserve">Na corocznym posiedzeniu w 2023 r. GFCM przyjęła również zalecenie GFCM/46/2023/21 w </w:t>
            </w:r>
            <w:r w:rsidRPr="00BA08AB">
              <w:rPr>
                <w:b/>
                <w:i/>
              </w:rPr>
              <w:t xml:space="preserve">sprawie obserwacji statków, zmieniające zalecenie GFCM/44/2021/21.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GFCM//46/2023/21 zmieniło zalecenie GFCM/44/2021/21.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r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(23r)</w:t>
            </w:r>
            <w:r w:rsidRPr="00BA08AB">
              <w:rPr>
                <w:b/>
                <w:i/>
              </w:rPr>
              <w:tab/>
              <w:t>Na corocznym posiedzeniu w 2023 r. GFCM przyjęła również zalecenie GFCM/46/2023/22 w sprawie harmonogramu GFCM dotyczącego z</w:t>
            </w:r>
            <w:r w:rsidRPr="00BA08AB">
              <w:rPr>
                <w:b/>
                <w:i/>
              </w:rPr>
              <w:t xml:space="preserve">ajęcia się problemami związanymi z niezgodnością z przepisami i odpowiednich działań, uchylające rezolucje GFCM/44/2021/13 i GFCM/43/2019/5.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GFCM/46/2023/22.</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s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(23s)</w:t>
            </w:r>
            <w:r w:rsidRPr="00BA08AB">
              <w:rPr>
                <w:b/>
                <w:i/>
              </w:rPr>
              <w:tab/>
              <w:t xml:space="preserve">Na corocznym posiedzeniu w 2023 r. GFCM przyjęła również zalecenie GFCM/46/2023/23 </w:t>
            </w:r>
            <w:r w:rsidRPr="00BA08AB">
              <w:rPr>
                <w:b/>
                <w:i/>
              </w:rPr>
              <w:t xml:space="preserve">wyjaśniające stosowanie zaleceń dotyczących zgodności i ustanawiające wykaz zgodności i zdolności w celu wsparcia prac Komitetu ds. Zgodności.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GFCM/46/2023/23.</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Motyw 23 t (nowy)</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3F71E4">
            <w:pPr>
              <w:pStyle w:val="Normal6"/>
              <w:rPr>
                <w:szCs w:val="24"/>
              </w:rPr>
            </w:pPr>
            <w:r w:rsidRPr="00BA08AB">
              <w:rPr>
                <w:b/>
                <w:i/>
              </w:rPr>
              <w:t>(23t)</w:t>
            </w:r>
            <w:r w:rsidRPr="00BA08AB">
              <w:rPr>
                <w:b/>
                <w:i/>
              </w:rPr>
              <w:tab/>
              <w:t xml:space="preserve">Na corocznym posiedzeniu w 2023 r. GFCM przyjęła również zalecenie GFCM/46/2023/24 </w:t>
            </w:r>
            <w:r w:rsidRPr="00BA08AB">
              <w:rPr>
                <w:b/>
                <w:i/>
              </w:rPr>
              <w:t xml:space="preserve">w sprawie ustanowienia wykazu statków, co do których istnieje domniemanie, że prowadziły nielegalne, nieraportowane i nieuregulowane połowy, zmieniające zalecenie GFCM/44/2021/19.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GFCM//46/2023/24 zmieniło zalecenie GFCM/44/2021/19.</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1 – litera b</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w:t>
      </w:r>
      <w:r w:rsidRPr="00BA08AB">
        <w:t>3/2124</w:t>
      </w:r>
      <w:r w:rsidRPr="00BA08AB">
        <w:rPr>
          <w:rStyle w:val="HideTWBExt"/>
        </w:rPr>
        <w:t>&lt;/DocAmend2&gt;</w:t>
      </w:r>
    </w:p>
    <w:p w:rsidR="00C6436A" w:rsidRPr="00BA08AB" w:rsidRDefault="00774DE8" w:rsidP="00C6436A">
      <w:r w:rsidRPr="00BA08AB">
        <w:rPr>
          <w:rStyle w:val="HideTWBExt"/>
        </w:rPr>
        <w:t>&lt;Article2&gt;</w:t>
      </w:r>
      <w:r w:rsidRPr="00BA08AB">
        <w:t>Artykuł 3 – punkt 11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(11)</w:t>
            </w:r>
            <w:r w:rsidRPr="00BA08AB">
              <w:tab/>
            </w:r>
            <w:r w:rsidRPr="00BA08AB">
              <w:t xml:space="preserve">„świadectwo połowowe” oznacza urzędowy dokument towarzyszący dostawie i zatwierdzony przez właściwy organ, umożliwiający przekazywanie dokładnych i możliwych do zweryfikowania informacji dotyczących </w:t>
            </w:r>
            <w:r w:rsidRPr="00BA08AB">
              <w:rPr>
                <w:b/>
                <w:bCs/>
                <w:i/>
                <w:iCs/>
              </w:rPr>
              <w:t>ryb</w:t>
            </w:r>
            <w:r w:rsidRPr="00BA08AB">
              <w:t xml:space="preserve"> w całym łańcuchu dostaw;</w:t>
            </w:r>
          </w:p>
        </w:tc>
        <w:tc>
          <w:tcPr>
            <w:tcW w:w="4876" w:type="dxa"/>
            <w:hideMark/>
          </w:tcPr>
          <w:p w:rsidR="00C6436A" w:rsidRPr="00BA08AB" w:rsidRDefault="00774DE8">
            <w:pPr>
              <w:pStyle w:val="Normal6"/>
              <w:rPr>
                <w:szCs w:val="24"/>
              </w:rPr>
            </w:pPr>
            <w:r w:rsidRPr="00BA08AB">
              <w:t>(11)</w:t>
            </w:r>
            <w:r w:rsidRPr="00BA08AB">
              <w:tab/>
              <w:t>„świadectwo połowowe” o</w:t>
            </w:r>
            <w:r w:rsidRPr="00BA08AB">
              <w:t xml:space="preserve">znacza urzędowy dokument towarzyszący dostawie i zatwierdzony przez właściwy organ, umożliwiający przekazywanie dokładnych i możliwych do zweryfikowania informacji dotyczących </w:t>
            </w:r>
            <w:r w:rsidRPr="00BA08AB">
              <w:rPr>
                <w:b/>
                <w:bCs/>
                <w:i/>
                <w:iCs/>
              </w:rPr>
              <w:t>produktów rybołówstwa</w:t>
            </w:r>
            <w:r w:rsidRPr="00BA08AB">
              <w:t xml:space="preserve"> w całym łańcuchu dostaw;</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1 – litera b</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3 – punkt 12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(12)</w:t>
            </w:r>
            <w:r w:rsidRPr="00BA08AB">
              <w:tab/>
              <w:t xml:space="preserve">„system dokumentowania połowów” lub “CDS” oznacza system ustanowiony zgodnie z odpowiednimi międzynarodowymi zobowiązaniami, którego głównym celem jest przyczynienie się do ustalenia – w całym łańcuchu dostaw </w:t>
            </w:r>
            <w:r w:rsidRPr="00BA08AB">
              <w:t xml:space="preserve">– czy </w:t>
            </w:r>
            <w:r w:rsidRPr="00BA08AB">
              <w:rPr>
                <w:b/>
                <w:bCs/>
                <w:i/>
                <w:iCs/>
              </w:rPr>
              <w:t>ryby</w:t>
            </w:r>
            <w:r w:rsidRPr="00BA08AB">
              <w:t xml:space="preserve"> pochodzą z połowów, które są zgodne z obowiązującymi, krajowymi, regionalnymi i międzynarodowymi środkami ochrony i zarządzania w dziedzinie rybołówstwa.”;</w:t>
            </w:r>
          </w:p>
        </w:tc>
        <w:tc>
          <w:tcPr>
            <w:tcW w:w="4876" w:type="dxa"/>
            <w:hideMark/>
          </w:tcPr>
          <w:p w:rsidR="00C6436A" w:rsidRPr="00BA08AB" w:rsidRDefault="00774DE8">
            <w:pPr>
              <w:pStyle w:val="Normal6"/>
              <w:rPr>
                <w:szCs w:val="24"/>
              </w:rPr>
            </w:pPr>
            <w:r w:rsidRPr="00BA08AB">
              <w:t>(12)</w:t>
            </w:r>
            <w:r w:rsidRPr="00BA08AB">
              <w:tab/>
              <w:t>„system dokumentowania połowów” lub “CDS” oznacza system ustanowiony zgodnie z odpow</w:t>
            </w:r>
            <w:r w:rsidRPr="00BA08AB">
              <w:t xml:space="preserve">iednimi międzynarodowymi zobowiązaniami, którego głównym celem jest przyczynienie się do ustalenia – w całym łańcuchu dostaw – czy </w:t>
            </w:r>
            <w:r w:rsidRPr="00BA08AB">
              <w:rPr>
                <w:b/>
                <w:bCs/>
                <w:i/>
                <w:iCs/>
              </w:rPr>
              <w:t>produkty rybołówstwa</w:t>
            </w:r>
            <w:r w:rsidRPr="00BA08AB">
              <w:t xml:space="preserve"> pochodzą z połowów, które są zgodne z obowiązującymi, krajowymi, regionalnymi i międzynarodowymi środkam</w:t>
            </w:r>
            <w:r w:rsidRPr="00BA08AB">
              <w:t>i ochrony i zarządzania w dziedzinie rybołówstwa.”;</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4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Niniejszy rozdział ma zastosowanie do wszelkiej działalności połowowej polegającej na połowach węgorza europejskiego (Anguilla </w:t>
            </w:r>
            <w:r w:rsidRPr="00BA08AB">
              <w:t>anguilla), a mianowicie do połowów ukierunkowanych, połowów przypadkowych i połowów rekreacyjnych we wszystkich wodach Morza Śródziemnego określonych w załączniku I, w tym w </w:t>
            </w:r>
            <w:r w:rsidRPr="00BA08AB">
              <w:rPr>
                <w:b/>
                <w:bCs/>
                <w:i/>
                <w:iCs/>
              </w:rPr>
              <w:t>wodach słodkich oraz w</w:t>
            </w:r>
            <w:r w:rsidRPr="00BA08AB">
              <w:t xml:space="preserve"> wodach przejściowych i wodach słonawych, takich jak laguny </w:t>
            </w:r>
            <w:r w:rsidRPr="00BA08AB">
              <w:t>i estuaria.”;</w:t>
            </w:r>
          </w:p>
        </w:tc>
        <w:tc>
          <w:tcPr>
            <w:tcW w:w="4876" w:type="dxa"/>
            <w:hideMark/>
          </w:tcPr>
          <w:p w:rsidR="00C6436A" w:rsidRPr="00BA08AB" w:rsidRDefault="00774DE8">
            <w:pPr>
              <w:pStyle w:val="Normal6"/>
              <w:rPr>
                <w:szCs w:val="24"/>
              </w:rPr>
            </w:pPr>
            <w:r w:rsidRPr="00BA08AB">
              <w:t>Niniejszy rozdział ma zastosowanie do wszelkiej działalności połowowej polegającej na połowach węgorza europejskiego (Anguilla anguilla), a mianowicie do połowów ukierunkowanych, połowów przypadkowych i połowów rekreacyjnych we wszystkich wod</w:t>
            </w:r>
            <w:r w:rsidRPr="00BA08AB">
              <w:t>ach Morza Śródziemnego określonych w załączniku I, w tym w wodach przejściowych i wodach słonawych, takich jak laguny i estuaria.”;</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Wód słodkich nie uważa się za część obszaru morskiego, </w:t>
      </w:r>
      <w:r w:rsidRPr="00BA08AB">
        <w:t>ponieważ nie są wodami morskimi. W związku z tym stada żyjącego w wodach słodkich nie uznaje się za „żywy zasób morza”. GFCM przekroczyła swoje uprawnienia regulacyjne, przyjmując zalecenie, które wykracza poza jej zakres geograficzny. Zgodnie z prawem mię</w:t>
      </w:r>
      <w:r w:rsidRPr="00BA08AB">
        <w:t xml:space="preserve">dzynarodowym Unia nie jest </w:t>
      </w:r>
      <w:r w:rsidRPr="00BA08AB">
        <w:lastRenderedPageBreak/>
        <w:t>zobowiązana do transpozycji zalecenia GFCM, które dotyczy połowów słodkowodnych.</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ustęp 1 – punkt 2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104E2D">
            <w:pPr>
              <w:pStyle w:val="Normal6"/>
              <w:rPr>
                <w:szCs w:val="24"/>
              </w:rPr>
            </w:pPr>
            <w:r w:rsidRPr="00BA08AB">
              <w:rPr>
                <w:b/>
                <w:i/>
              </w:rPr>
              <w:t>(2a)</w:t>
            </w:r>
            <w:r w:rsidRPr="00BA08AB">
              <w:rPr>
                <w:b/>
                <w:i/>
              </w:rPr>
              <w:tab/>
              <w:t>w art. 12 dodaje się ustępy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t>„</w:t>
            </w:r>
            <w:r w:rsidRPr="00BA08AB">
              <w:rPr>
                <w:b/>
                <w:i/>
              </w:rPr>
              <w:t>4.</w:t>
            </w:r>
            <w:r w:rsidRPr="00BA08AB">
              <w:rPr>
                <w:b/>
                <w:i/>
              </w:rPr>
              <w:tab/>
              <w:t xml:space="preserve">Państwa członkowskie ustanawiają system identyfikowalności </w:t>
            </w:r>
            <w:r w:rsidRPr="00BA08AB">
              <w:rPr>
                <w:b/>
                <w:i/>
              </w:rPr>
              <w:t>wyładunków, sprzedaży i wywozu umożliwiający śledzenie połowów od zatwierdzonego punktu wyładunkowego do ostatecznego miejsca przeznaczenia, niezależnie od tego, czy okazy są sprzedawane żywe, martwe czy przetworzone.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r>
            <w:r w:rsidRPr="00BA08AB">
              <w:rPr>
                <w:b/>
                <w:bCs/>
                <w:i/>
                <w:iCs/>
              </w:rPr>
              <w:t>Państwa członkowskie prowadzą i a</w:t>
            </w:r>
            <w:r w:rsidRPr="00BA08AB">
              <w:rPr>
                <w:b/>
                <w:bCs/>
                <w:i/>
                <w:iCs/>
              </w:rPr>
              <w:t>ktualizują wykaz miejsc sprzedaży aukcyjnej, organów lub osób upoważnionych do pierwszego wprowadzenia do obrotu węgorza europejskiego”</w:t>
            </w:r>
            <w:r w:rsidRPr="00BA08AB">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GFCM/46/2023/16.</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12a</w:t>
      </w:r>
      <w:r w:rsidRPr="00BA08A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9E2F79">
        <w:trPr>
          <w:jc w:val="center"/>
        </w:trPr>
        <w:tc>
          <w:tcPr>
            <w:tcW w:w="9752" w:type="dxa"/>
            <w:gridSpan w:val="2"/>
          </w:tcPr>
          <w:p w:rsidR="00C6436A" w:rsidRPr="00BA08AB" w:rsidRDefault="00C6436A">
            <w:pPr>
              <w:keepNext/>
            </w:pPr>
          </w:p>
        </w:tc>
      </w:tr>
      <w:tr w:rsidR="00F17F65" w:rsidRPr="00BA08AB" w:rsidTr="009E2F79">
        <w:trPr>
          <w:jc w:val="center"/>
        </w:trPr>
        <w:tc>
          <w:tcPr>
            <w:tcW w:w="4876" w:type="dxa"/>
            <w:hideMark/>
          </w:tcPr>
          <w:p w:rsidR="00C6436A" w:rsidRPr="00BA08AB" w:rsidRDefault="00774DE8">
            <w:pPr>
              <w:pStyle w:val="ColumnHeading"/>
              <w:keepNext/>
            </w:pPr>
            <w:r w:rsidRPr="00BA08AB">
              <w:t xml:space="preserve">Tekst proponowany przez </w:t>
            </w:r>
            <w:r w:rsidRPr="00BA08AB">
              <w:t>Komisję</w:t>
            </w:r>
          </w:p>
        </w:tc>
        <w:tc>
          <w:tcPr>
            <w:tcW w:w="4876" w:type="dxa"/>
            <w:hideMark/>
          </w:tcPr>
          <w:p w:rsidR="00C6436A" w:rsidRPr="00BA08AB" w:rsidRDefault="00774DE8">
            <w:pPr>
              <w:pStyle w:val="ColumnHeading"/>
              <w:keepNext/>
            </w:pPr>
            <w:r w:rsidRPr="00BA08AB">
              <w:t>Poprawka</w:t>
            </w:r>
          </w:p>
        </w:tc>
      </w:tr>
      <w:tr w:rsidR="00F17F65" w:rsidRPr="00BA08AB" w:rsidTr="009E2F79">
        <w:trPr>
          <w:jc w:val="center"/>
        </w:trPr>
        <w:tc>
          <w:tcPr>
            <w:tcW w:w="4876" w:type="dxa"/>
          </w:tcPr>
          <w:p w:rsidR="00C326E3" w:rsidRPr="00BA08AB" w:rsidRDefault="00774DE8">
            <w:pPr>
              <w:pStyle w:val="ColumnHeading"/>
              <w:keepNext/>
              <w:rPr>
                <w:i w:val="0"/>
              </w:rPr>
            </w:pPr>
            <w:r w:rsidRPr="00BA08AB">
              <w:rPr>
                <w:i w:val="0"/>
              </w:rPr>
              <w:t>Artykuł 12a</w:t>
            </w:r>
          </w:p>
        </w:tc>
        <w:tc>
          <w:tcPr>
            <w:tcW w:w="4876" w:type="dxa"/>
          </w:tcPr>
          <w:p w:rsidR="00C326E3" w:rsidRPr="00BA08AB" w:rsidRDefault="00774DE8">
            <w:pPr>
              <w:pStyle w:val="ColumnHeading"/>
              <w:keepNext/>
              <w:rPr>
                <w:i w:val="0"/>
              </w:rPr>
            </w:pPr>
            <w:r w:rsidRPr="00BA08AB">
              <w:rPr>
                <w:i w:val="0"/>
              </w:rPr>
              <w:t>Artykuł 12a</w:t>
            </w:r>
          </w:p>
        </w:tc>
      </w:tr>
      <w:tr w:rsidR="00F17F65" w:rsidRPr="00BA08AB" w:rsidTr="009E2F79">
        <w:trPr>
          <w:jc w:val="center"/>
        </w:trPr>
        <w:tc>
          <w:tcPr>
            <w:tcW w:w="4876" w:type="dxa"/>
            <w:hideMark/>
          </w:tcPr>
          <w:p w:rsidR="00C6436A" w:rsidRPr="00BA08AB" w:rsidRDefault="00774DE8">
            <w:pPr>
              <w:pStyle w:val="Normal6"/>
            </w:pPr>
            <w:r w:rsidRPr="00BA08AB">
              <w:rPr>
                <w:b/>
                <w:i/>
              </w:rPr>
              <w:t>Połowy rekreacyjne</w:t>
            </w:r>
          </w:p>
        </w:tc>
        <w:tc>
          <w:tcPr>
            <w:tcW w:w="4876" w:type="dxa"/>
            <w:hideMark/>
          </w:tcPr>
          <w:p w:rsidR="00C6436A" w:rsidRPr="00BA08AB" w:rsidRDefault="00774DE8">
            <w:pPr>
              <w:pStyle w:val="Normal6"/>
              <w:rPr>
                <w:b/>
                <w:i/>
                <w:szCs w:val="24"/>
              </w:rPr>
            </w:pPr>
            <w:r w:rsidRPr="00BA08AB">
              <w:rPr>
                <w:b/>
                <w:i/>
              </w:rPr>
              <w:t>Gromadzenie danych</w:t>
            </w:r>
          </w:p>
        </w:tc>
      </w:tr>
      <w:tr w:rsidR="00F17F65" w:rsidRPr="00BA08AB" w:rsidTr="009E2F79">
        <w:trPr>
          <w:jc w:val="center"/>
        </w:trPr>
        <w:tc>
          <w:tcPr>
            <w:tcW w:w="4876" w:type="dxa"/>
            <w:hideMark/>
          </w:tcPr>
          <w:p w:rsidR="00C6436A" w:rsidRPr="00BA08AB" w:rsidRDefault="00774DE8">
            <w:pPr>
              <w:pStyle w:val="Normal6"/>
            </w:pPr>
            <w:r w:rsidRPr="00BA08AB">
              <w:rPr>
                <w:b/>
                <w:i/>
              </w:rPr>
              <w:lastRenderedPageBreak/>
              <w:t xml:space="preserve">Państwa członkowskie zapewniają, aby na wszystkich etapach rozwoju węgorza europejskiego (szklisty, żółty, srebrzysty) jego połowy rekreacyjne były zakazane we wszystkich </w:t>
            </w:r>
            <w:r w:rsidRPr="00BA08AB">
              <w:rPr>
                <w:b/>
                <w:i/>
              </w:rPr>
              <w:t>siedliskach.” ;</w:t>
            </w:r>
          </w:p>
        </w:tc>
        <w:tc>
          <w:tcPr>
            <w:tcW w:w="4876" w:type="dxa"/>
            <w:hideMark/>
          </w:tcPr>
          <w:p w:rsidR="00C6436A" w:rsidRPr="00BA08AB" w:rsidRDefault="00774DE8">
            <w:pPr>
              <w:pStyle w:val="Normal6"/>
              <w:rPr>
                <w:b/>
                <w:i/>
                <w:szCs w:val="24"/>
              </w:rPr>
            </w:pPr>
            <w:r w:rsidRPr="00BA08AB">
              <w:rPr>
                <w:b/>
                <w:i/>
              </w:rPr>
              <w:t>1.</w:t>
            </w:r>
            <w:r w:rsidRPr="00BA08AB">
              <w:rPr>
                <w:b/>
                <w:i/>
              </w:rPr>
              <w:tab/>
              <w:t>W przypadku stwierdzenia połowów NNN dostępne dane, w tym dane szacunkowe, są również przekazywane do Sekretariatu GFCM.</w:t>
            </w:r>
          </w:p>
        </w:tc>
      </w:tr>
      <w:tr w:rsidR="00F17F65" w:rsidRPr="00BA08AB" w:rsidTr="009E2F79">
        <w:trPr>
          <w:jc w:val="center"/>
        </w:trPr>
        <w:tc>
          <w:tcPr>
            <w:tcW w:w="4876" w:type="dxa"/>
            <w:hideMark/>
          </w:tcPr>
          <w:p w:rsidR="00C6436A" w:rsidRPr="00BA08AB" w:rsidRDefault="00C6436A">
            <w:pPr>
              <w:pStyle w:val="Normal6"/>
            </w:pPr>
          </w:p>
        </w:tc>
        <w:tc>
          <w:tcPr>
            <w:tcW w:w="4876" w:type="dxa"/>
            <w:hideMark/>
          </w:tcPr>
          <w:p w:rsidR="00C6436A" w:rsidRPr="00BA08AB" w:rsidRDefault="00774DE8">
            <w:pPr>
              <w:pStyle w:val="Normal6"/>
              <w:rPr>
                <w:b/>
                <w:i/>
                <w:szCs w:val="24"/>
              </w:rPr>
            </w:pPr>
            <w:r w:rsidRPr="00BA08AB">
              <w:rPr>
                <w:b/>
                <w:i/>
              </w:rPr>
              <w:t>2.</w:t>
            </w:r>
            <w:r w:rsidRPr="00BA08AB">
              <w:rPr>
                <w:b/>
                <w:i/>
              </w:rPr>
              <w:tab/>
              <w:t xml:space="preserve">Państwa członkowskie przekazują dane dotyczące tuczenia do Sekretariatu GFCM zgodnie z terminami określonymi w </w:t>
            </w:r>
            <w:r w:rsidRPr="00BA08AB">
              <w:rPr>
                <w:b/>
                <w:i/>
              </w:rPr>
              <w:t>zaleceniu GFCM/41/2017/1 w sprawie zgłaszania danych i informacji w dziedzinie akwakultury, uchylającym zalecenie GFCM/35/2011/6.</w:t>
            </w:r>
          </w:p>
        </w:tc>
      </w:tr>
      <w:tr w:rsidR="00F17F65" w:rsidRPr="00BA08AB" w:rsidTr="009E2F79">
        <w:trPr>
          <w:jc w:val="center"/>
        </w:trPr>
        <w:tc>
          <w:tcPr>
            <w:tcW w:w="4876" w:type="dxa"/>
            <w:hideMark/>
          </w:tcPr>
          <w:p w:rsidR="00C6436A" w:rsidRPr="00BA08AB" w:rsidRDefault="00C6436A">
            <w:pPr>
              <w:pStyle w:val="Normal6"/>
            </w:pPr>
          </w:p>
        </w:tc>
        <w:tc>
          <w:tcPr>
            <w:tcW w:w="4876" w:type="dxa"/>
            <w:hideMark/>
          </w:tcPr>
          <w:p w:rsidR="00C6436A" w:rsidRPr="00BA08AB" w:rsidRDefault="00774DE8">
            <w:pPr>
              <w:pStyle w:val="Normal6"/>
              <w:rPr>
                <w:b/>
                <w:i/>
                <w:szCs w:val="24"/>
              </w:rPr>
            </w:pPr>
            <w:r w:rsidRPr="00BA08AB">
              <w:rPr>
                <w:b/>
                <w:i/>
              </w:rPr>
              <w:t>3.</w:t>
            </w:r>
            <w:r w:rsidRPr="00BA08AB">
              <w:rPr>
                <w:b/>
                <w:i/>
              </w:rPr>
              <w:tab/>
              <w:t xml:space="preserve">Państwa członkowskie mogą również dobrowolnie przekazywać do Sekretariatu GFCM wszelkie dodatkowe informacje, w miarę </w:t>
            </w:r>
            <w:r w:rsidRPr="00BA08AB">
              <w:rPr>
                <w:b/>
                <w:i/>
              </w:rPr>
              <w:t>możliwości nie później niż na czterdziestym siódmym posiedzeniu GFCM.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GFCM//45/2022/1 uchylone zaleceniem GFCM/46/2023/16.</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14a</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104E2D" w:rsidRPr="00BA08AB" w:rsidRDefault="00774DE8">
            <w:pPr>
              <w:pStyle w:val="ColumnHeading"/>
              <w:keepNext/>
              <w:rPr>
                <w:i w:val="0"/>
              </w:rPr>
            </w:pPr>
            <w:r w:rsidRPr="00BA08AB">
              <w:rPr>
                <w:i w:val="0"/>
              </w:rPr>
              <w:t>Artykuł 14a</w:t>
            </w:r>
          </w:p>
        </w:tc>
        <w:tc>
          <w:tcPr>
            <w:tcW w:w="4876" w:type="dxa"/>
          </w:tcPr>
          <w:p w:rsidR="00104E2D" w:rsidRPr="00BA08AB" w:rsidRDefault="00774DE8">
            <w:pPr>
              <w:pStyle w:val="ColumnHeading"/>
              <w:keepNext/>
              <w:rPr>
                <w:i w:val="0"/>
              </w:rPr>
            </w:pPr>
            <w:r w:rsidRPr="00BA08AB">
              <w:rPr>
                <w:i w:val="0"/>
              </w:rPr>
              <w:t>Artykuł 14a</w:t>
            </w:r>
          </w:p>
        </w:tc>
      </w:tr>
      <w:tr w:rsidR="00F17F65" w:rsidRPr="00BA08AB" w:rsidTr="00C6436A">
        <w:trPr>
          <w:jc w:val="center"/>
        </w:trPr>
        <w:tc>
          <w:tcPr>
            <w:tcW w:w="4876" w:type="dxa"/>
          </w:tcPr>
          <w:p w:rsidR="00104E2D" w:rsidRPr="00BA08AB" w:rsidRDefault="00774DE8">
            <w:pPr>
              <w:pStyle w:val="ColumnHeading"/>
              <w:keepNext/>
              <w:rPr>
                <w:i w:val="0"/>
              </w:rPr>
            </w:pPr>
            <w:r w:rsidRPr="00BA08AB">
              <w:rPr>
                <w:i w:val="0"/>
              </w:rPr>
              <w:t xml:space="preserve">Środki </w:t>
            </w:r>
            <w:r w:rsidRPr="00BA08AB">
              <w:rPr>
                <w:i w:val="0"/>
              </w:rPr>
              <w:t>zarządzania flotą</w:t>
            </w:r>
          </w:p>
        </w:tc>
        <w:tc>
          <w:tcPr>
            <w:tcW w:w="4876" w:type="dxa"/>
          </w:tcPr>
          <w:p w:rsidR="00104E2D" w:rsidRPr="00BA08AB" w:rsidRDefault="00774DE8">
            <w:pPr>
              <w:pStyle w:val="ColumnHeading"/>
              <w:keepNext/>
              <w:rPr>
                <w:i w:val="0"/>
              </w:rPr>
            </w:pPr>
            <w:r w:rsidRPr="00BA08AB">
              <w:rPr>
                <w:i w:val="0"/>
              </w:rPr>
              <w:t>Środki zarządzania flotą</w:t>
            </w:r>
          </w:p>
        </w:tc>
      </w:tr>
      <w:tr w:rsidR="00F17F65" w:rsidRPr="00BA08AB" w:rsidTr="00C6436A">
        <w:trPr>
          <w:jc w:val="center"/>
        </w:trPr>
        <w:tc>
          <w:tcPr>
            <w:tcW w:w="4876" w:type="dxa"/>
            <w:hideMark/>
          </w:tcPr>
          <w:p w:rsidR="00C6436A" w:rsidRPr="00BA08AB" w:rsidRDefault="00774DE8">
            <w:pPr>
              <w:pStyle w:val="Normal6"/>
            </w:pPr>
            <w:r w:rsidRPr="00BA08AB">
              <w:t xml:space="preserve">Państwa członkowskie zapewniają, aby całkowita zdolność połowowa floty lub nakład połowowy flot prowadzących połowy przy użyciu włoków dennych i aktywnie poławiających kluczowe stada – pod względem pojemności brutto (GT) </w:t>
            </w:r>
            <w:r w:rsidRPr="00BA08AB">
              <w:rPr>
                <w:b/>
                <w:bCs/>
                <w:i/>
                <w:iCs/>
              </w:rPr>
              <w:t>lub pojemności rejestrowej brutto (</w:t>
            </w:r>
            <w:r w:rsidRPr="00BA08AB">
              <w:rPr>
                <w:b/>
                <w:bCs/>
                <w:i/>
                <w:iCs/>
              </w:rPr>
              <w:t>GRT)</w:t>
            </w:r>
            <w:r w:rsidRPr="00BA08AB">
              <w:t xml:space="preserve">, mocy silnika (kW) i liczby statków, zarejestrowane zarówno w rejestrach krajowych, jak i w rejestrach GFCM – nie </w:t>
            </w:r>
            <w:r w:rsidRPr="00BA08AB">
              <w:lastRenderedPageBreak/>
              <w:t xml:space="preserve">przekraczały liczby statków lub nakładu połowowego dla trawlerów poławiających krewetki głębinowe w latach 2014–2017 lub w innym okresie </w:t>
            </w:r>
            <w:r w:rsidRPr="00BA08AB">
              <w:t xml:space="preserve">trzech kolejnych lat, takich jak lata 2015–2018, pod warunkiem że </w:t>
            </w:r>
            <w:r w:rsidRPr="00BA08AB">
              <w:rPr>
                <w:b/>
                <w:bCs/>
                <w:i/>
                <w:iCs/>
              </w:rPr>
              <w:t xml:space="preserve">wzrost ten nie może przekroczyć </w:t>
            </w:r>
            <w:r w:rsidRPr="00BA08AB">
              <w:t>50 % w odniesieniu do okresu odniesienia 2014–2017.”;</w:t>
            </w:r>
          </w:p>
        </w:tc>
        <w:tc>
          <w:tcPr>
            <w:tcW w:w="4876" w:type="dxa"/>
            <w:hideMark/>
          </w:tcPr>
          <w:p w:rsidR="00C6436A" w:rsidRPr="00BA08AB" w:rsidRDefault="00774DE8">
            <w:pPr>
              <w:pStyle w:val="Normal6"/>
              <w:rPr>
                <w:szCs w:val="24"/>
              </w:rPr>
            </w:pPr>
            <w:r w:rsidRPr="00BA08AB">
              <w:lastRenderedPageBreak/>
              <w:t>Państwa członkowskie zapewniają, aby całkowita zdolność połowowa floty lub nakład połowowy flot prowadzą</w:t>
            </w:r>
            <w:r w:rsidRPr="00BA08AB">
              <w:t>cych połowy przy użyciu włoków dennych i aktywnie poławiających kluczowe stada – pod względem pojemności brutto (GT), mocy silnika (kW) i liczby statków, zarejestrowane zarówno w rejestrach krajowych, jak i w rejestrach GFCM – nie przekraczały liczby statk</w:t>
            </w:r>
            <w:r w:rsidRPr="00BA08AB">
              <w:t xml:space="preserve">ów lub nakładu </w:t>
            </w:r>
            <w:r w:rsidRPr="00BA08AB">
              <w:lastRenderedPageBreak/>
              <w:t>połowowego dla trawlerów poławiających krewetki głębinowe w latach 2014–2017 lub w innym okresie trzech kolejnych lat, takich jak lata 2015–2018, pod warunkiem że</w:t>
            </w:r>
            <w:r w:rsidRPr="00BA08AB">
              <w:rPr>
                <w:b/>
                <w:bCs/>
              </w:rPr>
              <w:t xml:space="preserve"> </w:t>
            </w:r>
            <w:r w:rsidRPr="00BA08AB">
              <w:rPr>
                <w:b/>
                <w:bCs/>
                <w:i/>
                <w:iCs/>
              </w:rPr>
              <w:t>w takim okresie osiągnięte poziomy nie przekraczają</w:t>
            </w:r>
            <w:r w:rsidRPr="00BA08AB">
              <w:t xml:space="preserve"> 50 % w odniesieniu do okre</w:t>
            </w:r>
            <w:r w:rsidRPr="00BA08AB">
              <w:t>su odniesienia 2014–2017.”;</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GFCM/46/2023/12.</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29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w:t>
      </w:r>
      <w:r w:rsidRPr="00BA08AB">
        <w:t>nkt 7</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17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Trawlery denne ukierunkowane na połowy skupisk tarłowych czerwonej krewetki głębinowej zaprzestają</w:t>
            </w:r>
            <w:r w:rsidRPr="00BA08AB">
              <w:t xml:space="preserve"> połowów przez 30 kolejnych dni między marcem a grudniem.</w:t>
            </w:r>
          </w:p>
        </w:tc>
        <w:tc>
          <w:tcPr>
            <w:tcW w:w="4876" w:type="dxa"/>
            <w:hideMark/>
          </w:tcPr>
          <w:p w:rsidR="00C6436A" w:rsidRPr="00BA08AB" w:rsidRDefault="00774DE8">
            <w:pPr>
              <w:pStyle w:val="Normal6"/>
              <w:rPr>
                <w:szCs w:val="24"/>
              </w:rPr>
            </w:pPr>
            <w:r w:rsidRPr="00BA08AB">
              <w:t>1.</w:t>
            </w:r>
            <w:r w:rsidRPr="00BA08AB">
              <w:tab/>
              <w:t xml:space="preserve">Trawlery denne ukierunkowane na połowy skupisk tarłowych czerwonej krewetki głębinowej </w:t>
            </w:r>
            <w:r w:rsidRPr="00BA08AB">
              <w:rPr>
                <w:b/>
                <w:bCs/>
                <w:i/>
                <w:iCs/>
              </w:rPr>
              <w:t>i bladoczerwonej krewetki głębinowej („czerwona krewetka głębinowa”)</w:t>
            </w:r>
            <w:r w:rsidRPr="00BA08AB">
              <w:t xml:space="preserve"> zaprzestają połowów przez 30 kolejnych </w:t>
            </w:r>
            <w:r w:rsidRPr="00BA08AB">
              <w:t>dni między marcem a grudniem.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Artykuł 1 – akapit 1 – </w:t>
      </w:r>
      <w:r w:rsidRPr="00BA08AB">
        <w:t>punkt 9</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20 – akapit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Do dnia 8 stycznia 2026 r. państwa </w:t>
            </w:r>
            <w:r w:rsidRPr="00BA08AB">
              <w:lastRenderedPageBreak/>
              <w:t xml:space="preserve">członkowskie mogą zezwolić statkom o długości poniżej 15 metrów na odstępstwo od akapitu pierwszego, jeżeli prowadzą one działalność wyłącznie na </w:t>
            </w:r>
            <w:r w:rsidRPr="00BA08AB">
              <w:rPr>
                <w:b/>
                <w:bCs/>
                <w:i/>
                <w:iCs/>
              </w:rPr>
              <w:t>morzach</w:t>
            </w:r>
            <w:r w:rsidRPr="00BA08AB">
              <w:t xml:space="preserve"> terytorialnych państwa członkowskiego lub nigdy nie spędzają więcej</w:t>
            </w:r>
            <w:r w:rsidRPr="00BA08AB">
              <w:t xml:space="preserve"> niż 24 godziny na morzu, od momentu wyjścia do powrotu do portu.</w:t>
            </w:r>
          </w:p>
        </w:tc>
        <w:tc>
          <w:tcPr>
            <w:tcW w:w="4876" w:type="dxa"/>
            <w:hideMark/>
          </w:tcPr>
          <w:p w:rsidR="00C6436A" w:rsidRPr="00BA08AB" w:rsidRDefault="00774DE8">
            <w:pPr>
              <w:pStyle w:val="Normal6"/>
              <w:rPr>
                <w:szCs w:val="24"/>
              </w:rPr>
            </w:pPr>
            <w:r w:rsidRPr="00BA08AB">
              <w:lastRenderedPageBreak/>
              <w:t xml:space="preserve">Do dnia 8 stycznia 2026 r. państwa </w:t>
            </w:r>
            <w:r w:rsidRPr="00BA08AB">
              <w:lastRenderedPageBreak/>
              <w:t xml:space="preserve">członkowskie mogą zezwolić statkom o długości poniżej 15 metrów na odstępstwo od akapitu pierwszego, jeżeli prowadzą one działalność wyłącznie na </w:t>
            </w:r>
            <w:r w:rsidRPr="00BA08AB">
              <w:rPr>
                <w:b/>
                <w:bCs/>
                <w:i/>
                <w:iCs/>
              </w:rPr>
              <w:t>wodach po</w:t>
            </w:r>
            <w:r w:rsidRPr="00BA08AB">
              <w:rPr>
                <w:b/>
                <w:bCs/>
                <w:i/>
                <w:iCs/>
              </w:rPr>
              <w:t xml:space="preserve"> lądowej stronie linii zewnętrznej granicy mórz</w:t>
            </w:r>
            <w:r w:rsidRPr="00BA08AB">
              <w:t xml:space="preserve"> terytorialnych państwa członkowskiego lub nigdy nie spędzają więcej niż 24 godziny na morzu, od momentu wyjścia do powrotu do portu.</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This </w:t>
      </w:r>
      <w:r w:rsidRPr="00BA08AB">
        <w:t>provision allows states to exempt vessels that fish exclusively within the territorial sea from VMS control requirements. The rationale behind this is that vessels operating close to the shore on short trips can be exempted from certain control requirement</w:t>
      </w:r>
      <w:r w:rsidRPr="00BA08AB">
        <w:t>s. In some Member States fishing activities also take place in internal waters closer to the shore, depending on where the baselines of the territorial sea are drawn. In such situations it should be avoided that only vessels operating within the territoria</w:t>
      </w:r>
      <w:r w:rsidRPr="00BA08AB">
        <w:t>l sea are exempt from VMS requirements, while vessels closes to the shoreline are not. The newly proposed wording encompasses both internal waters and the territorial sea.</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w:t>
      </w:r>
      <w:r w:rsidRPr="00BA08AB">
        <w:t>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9</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20 – akapit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Państwa członkowskie niezwłocznie zgłaszają Komisji odstępstwa </w:t>
            </w:r>
            <w:r w:rsidRPr="00BA08AB">
              <w:rPr>
                <w:b/>
                <w:bCs/>
                <w:i/>
                <w:iCs/>
              </w:rPr>
              <w:t>przyznane zgodnie z art. 9 ust. 5 rozporządzenia 1224/2009</w:t>
            </w:r>
            <w:r w:rsidRPr="00BA08AB">
              <w:t>, a także inne środki kontroli zastosowane w celu monitorowania takich statków. Komisja bezzwłocznie przekazuje te informacje Sekretari</w:t>
            </w:r>
            <w:r w:rsidRPr="00BA08AB">
              <w:t>atowi GFCM.”;</w:t>
            </w:r>
          </w:p>
        </w:tc>
        <w:tc>
          <w:tcPr>
            <w:tcW w:w="4876" w:type="dxa"/>
            <w:hideMark/>
          </w:tcPr>
          <w:p w:rsidR="00C6436A" w:rsidRPr="00BA08AB" w:rsidRDefault="00774DE8">
            <w:pPr>
              <w:pStyle w:val="Normal6"/>
              <w:rPr>
                <w:szCs w:val="24"/>
              </w:rPr>
            </w:pPr>
            <w:r w:rsidRPr="00BA08AB">
              <w:t>Państwa członkowskie niezwłocznie zgłaszają Komisji odstępstwa, a także inne środki kontroli zastosowane w celu monitorowania takich statków. Komisja bezzwłocznie przekazuje te informacje Sekretariatowi GFCM.”;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w:t>
      </w:r>
      <w:r w:rsidRPr="00BA08AB">
        <w:rPr>
          <w:rStyle w:val="HideTWBExt"/>
          <w:noProof w:val="0"/>
        </w:rPr>
        <w:t>&gt;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11</w:t>
      </w:r>
      <w:r w:rsidRPr="00BA08AB">
        <w:rPr>
          <w:rStyle w:val="HideTWBExt"/>
        </w:rPr>
        <w:t>&lt;/Article&gt;</w:t>
      </w:r>
    </w:p>
    <w:p w:rsidR="00C6436A" w:rsidRPr="00BA08AB" w:rsidRDefault="00774DE8" w:rsidP="00C6436A">
      <w:pPr>
        <w:keepNext/>
      </w:pPr>
      <w:r w:rsidRPr="00BA08AB">
        <w:rPr>
          <w:rStyle w:val="HideTWBExt"/>
        </w:rPr>
        <w:lastRenderedPageBreak/>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23a</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w:t>
            </w:r>
            <w:r w:rsidRPr="00BA08AB">
              <w:t xml:space="preserve">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Artykuł 23a</w:t>
            </w:r>
          </w:p>
        </w:tc>
        <w:tc>
          <w:tcPr>
            <w:tcW w:w="4876" w:type="dxa"/>
          </w:tcPr>
          <w:p w:rsidR="009E2F79" w:rsidRPr="00BA08AB" w:rsidRDefault="00774DE8">
            <w:pPr>
              <w:pStyle w:val="ColumnHeading"/>
              <w:keepNext/>
              <w:rPr>
                <w:i w:val="0"/>
              </w:rPr>
            </w:pPr>
            <w:r w:rsidRPr="00BA08AB">
              <w:rPr>
                <w:i w:val="0"/>
              </w:rPr>
              <w:t>Artykuł 23a</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Środki zarządzania flotą</w:t>
            </w:r>
          </w:p>
        </w:tc>
        <w:tc>
          <w:tcPr>
            <w:tcW w:w="4876" w:type="dxa"/>
          </w:tcPr>
          <w:p w:rsidR="009E2F79" w:rsidRPr="00BA08AB" w:rsidRDefault="00774DE8">
            <w:pPr>
              <w:pStyle w:val="ColumnHeading"/>
              <w:keepNext/>
              <w:rPr>
                <w:i w:val="0"/>
              </w:rPr>
            </w:pPr>
            <w:r w:rsidRPr="00BA08AB">
              <w:rPr>
                <w:i w:val="0"/>
              </w:rPr>
              <w:t>Środki zarządzania flotą</w:t>
            </w:r>
          </w:p>
        </w:tc>
      </w:tr>
      <w:tr w:rsidR="00F17F65" w:rsidRPr="00BA08AB" w:rsidTr="00C6436A">
        <w:trPr>
          <w:jc w:val="center"/>
        </w:trPr>
        <w:tc>
          <w:tcPr>
            <w:tcW w:w="4876" w:type="dxa"/>
            <w:hideMark/>
          </w:tcPr>
          <w:p w:rsidR="00C6436A" w:rsidRPr="00BA08AB" w:rsidRDefault="00774DE8">
            <w:pPr>
              <w:pStyle w:val="Normal6"/>
            </w:pPr>
            <w:r w:rsidRPr="00BA08AB">
              <w:t xml:space="preserve">Państwa członkowskie zapewniają, aby całkowita zdolność połowowa </w:t>
            </w:r>
            <w:r w:rsidRPr="00BA08AB">
              <w:rPr>
                <w:b/>
                <w:bCs/>
                <w:i/>
                <w:iCs/>
              </w:rPr>
              <w:t>floty</w:t>
            </w:r>
            <w:r w:rsidRPr="00BA08AB">
              <w:t xml:space="preserve"> – pod względem pojemności brutto (GT) </w:t>
            </w:r>
            <w:r w:rsidRPr="00BA08AB">
              <w:rPr>
                <w:b/>
                <w:bCs/>
                <w:i/>
                <w:iCs/>
              </w:rPr>
              <w:t>lub pojemności rejestrowej brutto (GRT)</w:t>
            </w:r>
            <w:r w:rsidRPr="00BA08AB">
              <w:t xml:space="preserve">, mocy </w:t>
            </w:r>
            <w:r w:rsidRPr="00BA08AB">
              <w:t>silnika (kW) i liczby statków, zgodnie zarówno z rejestrem krajowym, jak i rejestrem GFCM – nie przekraczała zdolności połowowej floty trawlerów prowadzących połowy krewetek głębinowych w 2019 r.”;</w:t>
            </w:r>
          </w:p>
        </w:tc>
        <w:tc>
          <w:tcPr>
            <w:tcW w:w="4876" w:type="dxa"/>
            <w:hideMark/>
          </w:tcPr>
          <w:p w:rsidR="00C6436A" w:rsidRPr="00BA08AB" w:rsidRDefault="00774DE8">
            <w:pPr>
              <w:pStyle w:val="Normal6"/>
              <w:rPr>
                <w:szCs w:val="24"/>
              </w:rPr>
            </w:pPr>
            <w:r w:rsidRPr="00BA08AB">
              <w:t>Państwa członkowskie zapewniają, aby całkowita zdolność po</w:t>
            </w:r>
            <w:r w:rsidRPr="00BA08AB">
              <w:t>łowowa</w:t>
            </w:r>
            <w:r w:rsidRPr="00BA08AB">
              <w:rPr>
                <w:b/>
                <w:bCs/>
                <w:i/>
                <w:iCs/>
              </w:rPr>
              <w:t xml:space="preserve"> flot prowadzących połowy przy użyciu włoków dennych i aktywnie poławiających kluczowe stada</w:t>
            </w:r>
            <w:r w:rsidRPr="00BA08AB">
              <w:t xml:space="preserve"> – pod względem pojemności brutto (GT), mocy silnika (kW) i liczby statków, zgodnie zarówno z rejestrem krajowym, jak i rejestrem GFCM – nie przekraczała zdol</w:t>
            </w:r>
            <w:r w:rsidRPr="00BA08AB">
              <w:t>ności połowowej floty trawlerów prowadzących połowy krewetek głębinowych w 2019 r.”;</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 xml:space="preserve">Wniosek dotyczący </w:t>
      </w:r>
      <w:r w:rsidRPr="00BA08AB">
        <w:t>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16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29 – akapit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Do dnia 8 stycznia 2026 r. państwa członkowskie mogą przyznać statkom o długości poniżej 15 m odstępstwo od zasady, o której mowa w akapicie pierwszym, jeżeli prowadzą one działalność wyłącznie na morzach terytorialnych tego państwa członkowskiego lub nigd</w:t>
            </w:r>
            <w:r w:rsidRPr="00BA08AB">
              <w:t xml:space="preserve">y nie spędzają więcej niż 24 godziny na morzu, od momentu wyjścia do powrotu do portu. Państwa członkowskie niezwłocznie zgłaszają Komisji odstępstwa </w:t>
            </w:r>
            <w:r w:rsidRPr="00BA08AB">
              <w:rPr>
                <w:b/>
                <w:bCs/>
                <w:i/>
                <w:iCs/>
              </w:rPr>
              <w:t xml:space="preserve">przyznane zgodnie z art. 9 ust. 5 rozporządzenia </w:t>
            </w:r>
            <w:r w:rsidRPr="00BA08AB">
              <w:rPr>
                <w:b/>
                <w:bCs/>
                <w:i/>
                <w:iCs/>
              </w:rPr>
              <w:lastRenderedPageBreak/>
              <w:t>(WE) nr 1224/2009</w:t>
            </w:r>
            <w:r w:rsidRPr="00BA08AB">
              <w:t>, a także inne środki kontroli zastosowa</w:t>
            </w:r>
            <w:r w:rsidRPr="00BA08AB">
              <w:t>ne w celu monitorowania takich statków. Komisja bezzwłocznie przekazuje te informacje Sekretariatowi GFCM.”;</w:t>
            </w:r>
          </w:p>
        </w:tc>
        <w:tc>
          <w:tcPr>
            <w:tcW w:w="4876" w:type="dxa"/>
            <w:hideMark/>
          </w:tcPr>
          <w:p w:rsidR="00C6436A" w:rsidRPr="00BA08AB" w:rsidRDefault="00774DE8">
            <w:pPr>
              <w:pStyle w:val="Normal6"/>
              <w:rPr>
                <w:szCs w:val="24"/>
              </w:rPr>
            </w:pPr>
            <w:r w:rsidRPr="00BA08AB">
              <w:lastRenderedPageBreak/>
              <w:t xml:space="preserve">Do dnia 8 stycznia 2026 r. państwa członkowskie mogą przyznać statkom o długości poniżej 15 m odstępstwo od zasady, o której mowa w akapicie pierwszym, jeżeli prowadzą one działalność wyłącznie na </w:t>
            </w:r>
            <w:r w:rsidRPr="00BA08AB">
              <w:rPr>
                <w:b/>
                <w:bCs/>
                <w:i/>
                <w:iCs/>
              </w:rPr>
              <w:t>wodach po lądowej stronie linii zewnętrznej granicy mórz</w:t>
            </w:r>
            <w:r w:rsidRPr="00BA08AB">
              <w:t xml:space="preserve"> te</w:t>
            </w:r>
            <w:r w:rsidRPr="00BA08AB">
              <w:t xml:space="preserve">rytorialnych tego państwa członkowskiego lub nigdy nie spędzają więcej niż 24 godziny na morzu, od momentu wyjścia do powrotu do portu. Państwa członkowskie niezwłocznie zgłaszają Komisji </w:t>
            </w:r>
            <w:r w:rsidRPr="00BA08AB">
              <w:rPr>
                <w:b/>
                <w:bCs/>
                <w:i/>
                <w:iCs/>
              </w:rPr>
              <w:t>przyznane</w:t>
            </w:r>
            <w:r w:rsidRPr="00BA08AB">
              <w:t xml:space="preserve"> odstępstwa, a </w:t>
            </w:r>
            <w:r w:rsidRPr="00BA08AB">
              <w:lastRenderedPageBreak/>
              <w:t>także inne środki kontroli zastosowane w cel</w:t>
            </w:r>
            <w:r w:rsidRPr="00BA08AB">
              <w:t>u monitorowania takich statków. Komisja bezzwłocznie przekazuje te informacje Sekretariatowi GFCM.”;</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This provision allows states to exempt vessels that fish exclusively within the territ</w:t>
      </w:r>
      <w:r w:rsidRPr="00BA08AB">
        <w:t xml:space="preserve">orial sea from VMS (Vessel Monitoring System) control requirements. The rationale behind this is that vessels operating close to the shore on short trips can be exempted from certain control requirements. In some Member States fishing activities also take </w:t>
      </w:r>
      <w:r w:rsidRPr="00BA08AB">
        <w:t xml:space="preserve">place in internal waters closer to the shore, depending on where the baselines of the territorial sea are drawn. In such situations it should be avoided that only vessels operating within the territorial sea are exempt from VMS requirements, while vessels </w:t>
      </w:r>
      <w:r w:rsidRPr="00BA08AB">
        <w:t>closes to the shoreline are not. The newly proposed wording encompasses both internal waters and the territorial sea.</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17</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30a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Państwa członkowskie przyjmują środki zarządzania rybołówstwem lub krajowe plany zarządzania objęte </w:t>
            </w:r>
            <w:r w:rsidRPr="00BA08AB">
              <w:t>zakresem stosowania niniejszej sekcji w celu zapewnienia osiągnięcia i utrzymania maksymalnego podtrzymywalnego połowu dla poziomów eksploatacji czerwonej krewetki głębinowej i bladoczerwonej krewetki głębinowej.</w:t>
            </w:r>
          </w:p>
        </w:tc>
        <w:tc>
          <w:tcPr>
            <w:tcW w:w="4876" w:type="dxa"/>
            <w:hideMark/>
          </w:tcPr>
          <w:p w:rsidR="00C6436A" w:rsidRPr="00BA08AB" w:rsidRDefault="00774DE8">
            <w:pPr>
              <w:pStyle w:val="Normal6"/>
              <w:rPr>
                <w:szCs w:val="24"/>
              </w:rPr>
            </w:pPr>
            <w:r w:rsidRPr="00BA08AB">
              <w:t>1.</w:t>
            </w:r>
            <w:r w:rsidRPr="00BA08AB">
              <w:tab/>
              <w:t>Państwa członkowskie przyjmują środki za</w:t>
            </w:r>
            <w:r w:rsidRPr="00BA08AB">
              <w:t xml:space="preserve">rządzania rybołówstwem lub krajowe plany zarządzania objęte zakresem stosowania niniejszej sekcji w celu zapewnienia osiągnięcia i utrzymania maksymalnego podtrzymywalnego połowu dla poziomów eksploatacji </w:t>
            </w:r>
            <w:r w:rsidRPr="00BA08AB">
              <w:rPr>
                <w:b/>
                <w:bCs/>
                <w:i/>
                <w:iCs/>
              </w:rPr>
              <w:t>stad</w:t>
            </w:r>
            <w:r w:rsidRPr="00BA08AB">
              <w:t xml:space="preserve"> czerwonej krewetki głębinowej i bladoczerwonej</w:t>
            </w:r>
            <w:r w:rsidRPr="00BA08AB">
              <w:t xml:space="preserve"> krewetki głębinowej.</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Zalecenia GFCM/45/2022/6 i GFCM/46/2023/3.</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35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Artykuł 1 – </w:t>
      </w:r>
      <w:r w:rsidRPr="00BA08AB">
        <w:t>akapit 1 – punkt 22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37 a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Państwa członkowskie przyjmują środki zarządzania rybołówstwem lub krajowe plany z</w:t>
            </w:r>
            <w:r w:rsidRPr="00BA08AB">
              <w:t>arządzania objęte zakresem stosowania niniejszej sekcji w celu zapewnienia osiągnięcia i utrzymania maksymalnego podtrzymywalnego połowu dla poziomów eksploatacji czerwonej krewetki głębinowej i bladoczerwonej krewetki głębinowej.</w:t>
            </w:r>
          </w:p>
        </w:tc>
        <w:tc>
          <w:tcPr>
            <w:tcW w:w="4876" w:type="dxa"/>
            <w:hideMark/>
          </w:tcPr>
          <w:p w:rsidR="00C6436A" w:rsidRPr="00BA08AB" w:rsidRDefault="00774DE8">
            <w:pPr>
              <w:pStyle w:val="Normal6"/>
              <w:rPr>
                <w:szCs w:val="24"/>
              </w:rPr>
            </w:pPr>
            <w:r w:rsidRPr="00BA08AB">
              <w:t>1.</w:t>
            </w:r>
            <w:r w:rsidRPr="00BA08AB">
              <w:tab/>
              <w:t>Państwa członkowskie p</w:t>
            </w:r>
            <w:r w:rsidRPr="00BA08AB">
              <w:t xml:space="preserve">rzyjmują środki zarządzania rybołówstwem lub krajowe plany zarządzania objęte zakresem stosowania niniejszej sekcji w celu zapewnienia osiągnięcia i utrzymania maksymalnego podtrzymywalnego połowu dla poziomów eksploatacji </w:t>
            </w:r>
            <w:r w:rsidRPr="00BA08AB">
              <w:rPr>
                <w:b/>
                <w:bCs/>
                <w:i/>
                <w:iCs/>
              </w:rPr>
              <w:t>stad</w:t>
            </w:r>
            <w:r w:rsidRPr="00BA08AB">
              <w:t xml:space="preserve"> czerwonej krewetki głębinowe</w:t>
            </w:r>
            <w:r w:rsidRPr="00BA08AB">
              <w:t>j i bladoczerwonej krewetki głębinowej.</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GFCM/45/2022/5.</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Artykuł 1 – </w:t>
      </w:r>
      <w:r w:rsidRPr="00BA08AB">
        <w:t>akapit 1 – punkt 23</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44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 xml:space="preserve">Po osiągnięciu poziomu progowego połowu korala czerwonego, o którym mowa w ust. 4, </w:t>
            </w:r>
            <w:r w:rsidRPr="00BA08AB">
              <w:t>państwa członkowskie zamykają czasowo dany obszar dla wszelkich połowów korala czerwonego. Państwo członkowskie niezwłocznie informuje o tym Komisję. Komisja jak najszybciej informuje Sekretariat GFCM.”;</w:t>
            </w:r>
          </w:p>
        </w:tc>
        <w:tc>
          <w:tcPr>
            <w:tcW w:w="4876" w:type="dxa"/>
            <w:hideMark/>
          </w:tcPr>
          <w:p w:rsidR="00C6436A" w:rsidRPr="00BA08AB" w:rsidRDefault="00774DE8">
            <w:pPr>
              <w:pStyle w:val="Normal6"/>
              <w:rPr>
                <w:szCs w:val="24"/>
              </w:rPr>
            </w:pPr>
            <w:r w:rsidRPr="00BA08AB">
              <w:t>3.</w:t>
            </w:r>
            <w:r w:rsidRPr="00BA08AB">
              <w:tab/>
              <w:t>Po osiągnięciu poziomu progowego połowu korala cz</w:t>
            </w:r>
            <w:r w:rsidRPr="00BA08AB">
              <w:t xml:space="preserve">erwonego, o którym mowa w ust. 4, państwa członkowskie zamykają czasowo dany obszar dla wszelkich połowów korala czerwonego </w:t>
            </w:r>
            <w:r w:rsidRPr="00BA08AB">
              <w:rPr>
                <w:b/>
                <w:bCs/>
                <w:i/>
                <w:iCs/>
              </w:rPr>
              <w:t>ze względów przezornościowych</w:t>
            </w:r>
            <w:r w:rsidRPr="00BA08AB">
              <w:t>. Państwo członkowskie niezwłocznie informuje o tym Komisję. Komisja jak najszybciej informuje Sekretar</w:t>
            </w:r>
            <w:r w:rsidRPr="00BA08AB">
              <w:t>iat GFCM.”;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lastRenderedPageBreak/>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Art. 1 ust. 23 wniosku, który zmienia art. 44 ust. 3 rozporządzenia (UE) 2023/2124, należy dostosować do pkt 22 zalecenia GFCM GFCM/43/2019/4 w celu spójnej transpozycji przep</w:t>
      </w:r>
      <w:r w:rsidRPr="00BA08AB">
        <w:t>isu poprzez dodanie brakującego obecnie sformułowania: „ze względów przezornościowych”.</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ustęp 1 – punkt 24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55</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9E2F79">
            <w:pPr>
              <w:pStyle w:val="Normal6"/>
              <w:rPr>
                <w:szCs w:val="24"/>
              </w:rPr>
            </w:pPr>
            <w:r w:rsidRPr="00BA08AB">
              <w:rPr>
                <w:b/>
                <w:i/>
              </w:rPr>
              <w:t>(24a)</w:t>
            </w:r>
            <w:r w:rsidRPr="00BA08AB">
              <w:rPr>
                <w:b/>
                <w:i/>
              </w:rPr>
              <w:tab/>
              <w:t>art. 55 otrzymuje brzmienie:</w:t>
            </w:r>
          </w:p>
        </w:tc>
      </w:tr>
      <w:tr w:rsidR="00F17F65" w:rsidRPr="00BA08AB" w:rsidTr="00C6436A">
        <w:trPr>
          <w:jc w:val="center"/>
        </w:trPr>
        <w:tc>
          <w:tcPr>
            <w:tcW w:w="4876" w:type="dxa"/>
            <w:hideMark/>
          </w:tcPr>
          <w:p w:rsidR="00C6436A" w:rsidRPr="00BA08AB" w:rsidRDefault="00774DE8">
            <w:pPr>
              <w:pStyle w:val="Normal6"/>
              <w:rPr>
                <w:b/>
                <w:i/>
              </w:rPr>
            </w:pPr>
            <w:r w:rsidRPr="00BA08AB">
              <w:t>1.</w:t>
            </w:r>
            <w:r w:rsidRPr="00BA08AB">
              <w:rPr>
                <w:b/>
                <w:i/>
              </w:rPr>
              <w:tab/>
            </w:r>
            <w:r w:rsidRPr="00BA08AB">
              <w:rPr>
                <w:b/>
                <w:bCs/>
                <w:i/>
                <w:iCs/>
              </w:rPr>
              <w:t>W trzyletnim okresie przejściowym (2020–2022)</w:t>
            </w:r>
            <w:r w:rsidRPr="00BA08AB">
              <w:t xml:space="preserve"> państwa członkowskie </w:t>
            </w:r>
            <w:r w:rsidRPr="00BA08AB">
              <w:rPr>
                <w:b/>
                <w:bCs/>
                <w:i/>
                <w:iCs/>
              </w:rPr>
              <w:t>mogą uczestniczyć w fazie pilotażowej</w:t>
            </w:r>
            <w:r w:rsidRPr="00BA08AB">
              <w:t xml:space="preserve"> systemu dokumentowania połowów (CDS), </w:t>
            </w:r>
            <w:r w:rsidRPr="00BA08AB">
              <w:rPr>
                <w:b/>
                <w:bCs/>
                <w:i/>
                <w:iCs/>
              </w:rPr>
              <w:t>służącego identyfikacji miejsc na obszarze podlegającym GFCM, skąd pochodzi pozyskany koral czerwony i wdrożeniu następujących środków identyfikowalności:</w:t>
            </w:r>
          </w:p>
        </w:tc>
        <w:tc>
          <w:tcPr>
            <w:tcW w:w="4876" w:type="dxa"/>
            <w:hideMark/>
          </w:tcPr>
          <w:p w:rsidR="00C6436A" w:rsidRPr="00BA08AB" w:rsidRDefault="00774DE8">
            <w:pPr>
              <w:pStyle w:val="Normal6"/>
              <w:rPr>
                <w:szCs w:val="24"/>
              </w:rPr>
            </w:pPr>
            <w:r w:rsidRPr="00BA08AB">
              <w:rPr>
                <w:b/>
                <w:bCs/>
                <w:i/>
                <w:iCs/>
              </w:rPr>
              <w:t>„</w:t>
            </w:r>
            <w:r w:rsidRPr="00BA08AB">
              <w:t>1.</w:t>
            </w:r>
            <w:r w:rsidRPr="00BA08AB">
              <w:rPr>
                <w:b/>
                <w:i/>
              </w:rPr>
              <w:tab/>
            </w:r>
            <w:r w:rsidRPr="00BA08AB">
              <w:t xml:space="preserve">Państwa członkowskie </w:t>
            </w:r>
            <w:r w:rsidRPr="00BA08AB">
              <w:rPr>
                <w:b/>
                <w:bCs/>
                <w:i/>
                <w:iCs/>
              </w:rPr>
              <w:t>w pełni wdrażają</w:t>
            </w:r>
            <w:r w:rsidRPr="00BA08AB">
              <w:t xml:space="preserve"> system dokumentowani</w:t>
            </w:r>
            <w:r w:rsidRPr="00BA08AB">
              <w:t xml:space="preserve">a połowów </w:t>
            </w:r>
            <w:r w:rsidRPr="00BA08AB">
              <w:rPr>
                <w:b/>
                <w:bCs/>
                <w:i/>
                <w:iCs/>
              </w:rPr>
              <w:t>korala czerwonego</w:t>
            </w:r>
            <w:r w:rsidRPr="00BA08AB">
              <w:t xml:space="preserve"> (CDS) </w:t>
            </w:r>
            <w:r w:rsidRPr="00BA08AB">
              <w:rPr>
                <w:b/>
                <w:bCs/>
                <w:i/>
                <w:iCs/>
              </w:rPr>
              <w:t>do dnia [data wejścia w życie] w całym łańcuchu dostaw</w:t>
            </w:r>
            <w:r w:rsidRPr="00BA08AB">
              <w:t xml:space="preserve">, </w:t>
            </w:r>
            <w:r w:rsidRPr="00BA08AB">
              <w:rPr>
                <w:b/>
                <w:bCs/>
                <w:i/>
                <w:iCs/>
              </w:rPr>
              <w:t xml:space="preserve">aby zapewnić identyfikowalność korala czerwonego (Corallium rubrum) pozyskiwanego w Morzu Śródziemnym i przyczynić się do zwalczania nielegalnych, nieuregulowanych i </w:t>
            </w:r>
            <w:r w:rsidRPr="00BA08AB">
              <w:rPr>
                <w:b/>
                <w:bCs/>
                <w:i/>
                <w:iCs/>
              </w:rPr>
              <w:t>nieraportowanych połowów (NNN).</w:t>
            </w:r>
          </w:p>
        </w:tc>
      </w:tr>
      <w:tr w:rsidR="00F17F65" w:rsidRPr="00BA08AB" w:rsidTr="00C6436A">
        <w:trPr>
          <w:jc w:val="center"/>
        </w:trPr>
        <w:tc>
          <w:tcPr>
            <w:tcW w:w="4876" w:type="dxa"/>
            <w:hideMark/>
          </w:tcPr>
          <w:p w:rsidR="00C6436A" w:rsidRPr="00BA08AB" w:rsidRDefault="00774DE8">
            <w:pPr>
              <w:pStyle w:val="Normal6"/>
              <w:rPr>
                <w:b/>
                <w:i/>
              </w:rPr>
            </w:pPr>
            <w:r w:rsidRPr="00BA08AB">
              <w:rPr>
                <w:b/>
                <w:i/>
              </w:rPr>
              <w:t>a)</w:t>
            </w:r>
            <w:r w:rsidRPr="00BA08AB">
              <w:rPr>
                <w:b/>
                <w:i/>
              </w:rPr>
              <w:tab/>
              <w:t>wszystkim wyładunkom, operacjom wywozu, przywozu i ponownego wywozu pozyskanego korala czerwonego towarzyszy zatwierdzony certyfikat CDS, o którym mowa w załączniku X, wydany przez właściwe organy państwa bandery;</w:t>
            </w:r>
          </w:p>
        </w:tc>
        <w:tc>
          <w:tcPr>
            <w:tcW w:w="4876" w:type="dxa"/>
          </w:tcPr>
          <w:p w:rsidR="00C6436A" w:rsidRPr="00BA08AB" w:rsidRDefault="00C6436A">
            <w:pPr>
              <w:pStyle w:val="Normal6"/>
              <w:rPr>
                <w:b/>
                <w:i/>
              </w:rPr>
            </w:pPr>
          </w:p>
        </w:tc>
      </w:tr>
      <w:tr w:rsidR="00F17F65" w:rsidRPr="00BA08AB" w:rsidTr="00C6436A">
        <w:trPr>
          <w:jc w:val="center"/>
        </w:trPr>
        <w:tc>
          <w:tcPr>
            <w:tcW w:w="4876" w:type="dxa"/>
            <w:hideMark/>
          </w:tcPr>
          <w:p w:rsidR="00C6436A" w:rsidRPr="00BA08AB" w:rsidRDefault="00774DE8">
            <w:pPr>
              <w:pStyle w:val="Normal6"/>
              <w:rPr>
                <w:b/>
                <w:i/>
              </w:rPr>
            </w:pPr>
            <w:r w:rsidRPr="00BA08AB">
              <w:rPr>
                <w:b/>
                <w:i/>
              </w:rPr>
              <w:t>b)</w:t>
            </w:r>
            <w:r w:rsidRPr="00BA08AB">
              <w:rPr>
                <w:b/>
                <w:i/>
              </w:rPr>
              <w:tab/>
            </w:r>
            <w:r w:rsidRPr="00BA08AB">
              <w:rPr>
                <w:b/>
                <w:i/>
              </w:rPr>
              <w:t>każdy certyfikat posiada niepowtarzalny numer identyfikacyjny. Numer ten jest specyficzny dla państwa bandery i przydzielany każdemu rybakowi lub upoważnionemu statkowi. Certyfikaty te są nieprzenaszalne na innych rybaków ani na inne upoważnione statki;</w:t>
            </w:r>
          </w:p>
        </w:tc>
        <w:tc>
          <w:tcPr>
            <w:tcW w:w="4876" w:type="dxa"/>
          </w:tcPr>
          <w:p w:rsidR="00C6436A" w:rsidRPr="00BA08AB" w:rsidRDefault="00C6436A">
            <w:pPr>
              <w:pStyle w:val="Normal6"/>
              <w:rPr>
                <w:b/>
                <w:i/>
              </w:rPr>
            </w:pPr>
          </w:p>
        </w:tc>
      </w:tr>
      <w:tr w:rsidR="00F17F65" w:rsidRPr="00BA08AB" w:rsidTr="00C6436A">
        <w:trPr>
          <w:jc w:val="center"/>
        </w:trPr>
        <w:tc>
          <w:tcPr>
            <w:tcW w:w="4876" w:type="dxa"/>
            <w:hideMark/>
          </w:tcPr>
          <w:p w:rsidR="00C6436A" w:rsidRPr="00BA08AB" w:rsidRDefault="00774DE8">
            <w:pPr>
              <w:pStyle w:val="Normal6"/>
              <w:rPr>
                <w:b/>
                <w:i/>
              </w:rPr>
            </w:pPr>
            <w:r w:rsidRPr="00BA08AB">
              <w:rPr>
                <w:b/>
                <w:i/>
              </w:rPr>
              <w:t>c)</w:t>
            </w:r>
            <w:r w:rsidRPr="00BA08AB">
              <w:rPr>
                <w:b/>
                <w:i/>
              </w:rPr>
              <w:tab/>
              <w:t xml:space="preserve">państwa członkowskie zatwierdzają certyfikaty pozyskania korala czerwonego CDS, wyłącznie jeżeli prawidłowość informacji podanych w CDS sprawdzono na podstawie przedstawionych dokumentów i odpowiadającej im </w:t>
            </w:r>
            <w:r w:rsidRPr="00BA08AB">
              <w:rPr>
                <w:b/>
                <w:i/>
              </w:rPr>
              <w:lastRenderedPageBreak/>
              <w:t>przesyłki.</w:t>
            </w:r>
          </w:p>
        </w:tc>
        <w:tc>
          <w:tcPr>
            <w:tcW w:w="4876" w:type="dxa"/>
          </w:tcPr>
          <w:p w:rsidR="00C6436A" w:rsidRPr="00BA08AB" w:rsidRDefault="00C6436A">
            <w:pPr>
              <w:pStyle w:val="Normal6"/>
              <w:rPr>
                <w:b/>
                <w:i/>
              </w:rPr>
            </w:pPr>
          </w:p>
        </w:tc>
      </w:tr>
      <w:tr w:rsidR="00F17F65" w:rsidRPr="00BA08AB" w:rsidTr="00C6436A">
        <w:trPr>
          <w:jc w:val="center"/>
        </w:trPr>
        <w:tc>
          <w:tcPr>
            <w:tcW w:w="4876" w:type="dxa"/>
            <w:hideMark/>
          </w:tcPr>
          <w:p w:rsidR="00C6436A" w:rsidRPr="00BA08AB" w:rsidRDefault="00774DE8">
            <w:pPr>
              <w:pStyle w:val="Normal6"/>
              <w:rPr>
                <w:b/>
                <w:i/>
              </w:rPr>
            </w:pPr>
            <w:r w:rsidRPr="00BA08AB">
              <w:rPr>
                <w:b/>
                <w:i/>
              </w:rPr>
              <w:t>2.</w:t>
            </w:r>
            <w:r w:rsidRPr="00BA08AB">
              <w:rPr>
                <w:b/>
                <w:i/>
              </w:rPr>
              <w:tab/>
            </w:r>
            <w:r w:rsidRPr="00BA08AB">
              <w:rPr>
                <w:b/>
                <w:bCs/>
                <w:i/>
                <w:iCs/>
              </w:rPr>
              <w:t>Państwa członkowskie uczestnic</w:t>
            </w:r>
            <w:r w:rsidRPr="00BA08AB">
              <w:rPr>
                <w:b/>
                <w:bCs/>
                <w:i/>
                <w:iCs/>
              </w:rPr>
              <w:t>zące w fazie pilotażowej składają Komisji sprawozdanie z wdrożenia fazy pilotażowej w kontekście wprowadzenia stałego CDS dotyczącego korala czerwonego, a Komisja przedkłada Sekretariatowi GFCM sprawozdanie na ten temat.</w:t>
            </w:r>
          </w:p>
        </w:tc>
        <w:tc>
          <w:tcPr>
            <w:tcW w:w="4876" w:type="dxa"/>
            <w:hideMark/>
          </w:tcPr>
          <w:p w:rsidR="00C6436A" w:rsidRPr="00BA08AB" w:rsidRDefault="00774DE8">
            <w:pPr>
              <w:pStyle w:val="Normal6"/>
              <w:rPr>
                <w:szCs w:val="24"/>
              </w:rPr>
            </w:pPr>
            <w:r w:rsidRPr="00BA08AB">
              <w:rPr>
                <w:b/>
                <w:i/>
              </w:rPr>
              <w:t>2.</w:t>
            </w:r>
            <w:r w:rsidRPr="00BA08AB">
              <w:rPr>
                <w:b/>
                <w:i/>
              </w:rPr>
              <w:tab/>
            </w:r>
            <w:r w:rsidRPr="00BA08AB">
              <w:rPr>
                <w:b/>
                <w:bCs/>
                <w:i/>
                <w:iCs/>
              </w:rPr>
              <w:t>System dokumentowania połowów ko</w:t>
            </w:r>
            <w:r w:rsidRPr="00BA08AB">
              <w:rPr>
                <w:b/>
                <w:bCs/>
                <w:i/>
                <w:iCs/>
              </w:rPr>
              <w:t>rala czerwonego w formie papierowej ustanowiony w ust. 1 pozostaje bez uszczerbku dla innych obowiązujących krajowych systemów identyfikowalności zapewniających ten sam poziom nadzoru nad identyfikowalnością produktów z korala czerwonego przez państwa czło</w:t>
            </w:r>
            <w:r w:rsidRPr="00BA08AB">
              <w:rPr>
                <w:b/>
                <w:bCs/>
                <w:i/>
                <w:iCs/>
              </w:rPr>
              <w:t>nkowskie.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System dokumentowania połowów korala czerwonego w formie papierowej ma zastosowanie do pierwszych wyładunków, wywozu i powrotnego wywozu. Handel wewnętrzny nie jest objęty łańcuchem zatwierdzania.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W drodze odstępstwa od ust. 1 ustanawia</w:t>
            </w:r>
            <w:r w:rsidRPr="00BA08AB">
              <w:rPr>
                <w:b/>
                <w:i/>
              </w:rPr>
              <w:t xml:space="preserve"> się okres przejściowy wynoszący jeden rok, w którym korale czerwone przechowywane przed [data wejścia w życie] mogą być wywożone lub powrotnie wywożone bez zatwierdzonej części dotyczącej połowu w certyfikacie pozyskania.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W celu zapewnienia powiązani</w:t>
            </w:r>
            <w:r w:rsidRPr="00BA08AB">
              <w:rPr>
                <w:b/>
                <w:i/>
              </w:rPr>
              <w:t>a między dokumentami zatwierdzonymi w systemie dokumentowania połowów a przesyłkami korala czerwonego, do których dokumenty te się odnoszą, państwa członkowskie mogłyby ustanowić system etykietowania.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Do każdej przesyłki korala czerwonego, przywożonej</w:t>
            </w:r>
            <w:r w:rsidRPr="00BA08AB">
              <w:rPr>
                <w:b/>
                <w:i/>
              </w:rPr>
              <w:t>, wywożonej lub powrotnie wywożonej z miejsca pochodzenia należy dołączyć potwierdzony certyfikat, o którym mowa w załączniku XX, lub równoważny dokument, taki jak certyfikat pozyskania obowiązujące w państwie członkowskim wywozu.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7.</w:t>
            </w:r>
            <w:r w:rsidRPr="00BA08AB">
              <w:rPr>
                <w:b/>
                <w:i/>
              </w:rPr>
              <w:tab/>
              <w:t>Każdy certyfikat poz</w:t>
            </w:r>
            <w:r w:rsidRPr="00BA08AB">
              <w:rPr>
                <w:b/>
                <w:i/>
              </w:rPr>
              <w:t xml:space="preserve">yskania posiada niepowtarzalny numer identyfikacyjny. Numer ten jest specyficzny dla państwa bandery i przydzielany każdemu rybakowi lub upoważnionemu statkowi wykorzystywanemu do pozyskiwania. Certyfikatów tych nie można przenieść na </w:t>
            </w:r>
            <w:r w:rsidRPr="00BA08AB">
              <w:rPr>
                <w:b/>
                <w:i/>
              </w:rPr>
              <w:lastRenderedPageBreak/>
              <w:t>innych rybaków ani na</w:t>
            </w:r>
            <w:r w:rsidRPr="00BA08AB">
              <w:rPr>
                <w:b/>
                <w:i/>
              </w:rPr>
              <w:t xml:space="preserve"> inne statki wykorzystywane do pozyskiwania.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8.</w:t>
            </w:r>
            <w:r w:rsidRPr="00BA08AB">
              <w:rPr>
                <w:b/>
                <w:i/>
              </w:rPr>
              <w:tab/>
              <w:t>Państwa członkowskie zatwierdzają certyfikaty pozyskania, wyłącznie jeżeli prawidłowość informacji podanych w systemie dokumentowania połowów korala czerwonego sprawdzono na podstawie przedstawionych dokume</w:t>
            </w:r>
            <w:r w:rsidRPr="00BA08AB">
              <w:rPr>
                <w:b/>
                <w:i/>
              </w:rPr>
              <w:t>ntów i odpowiadającej im przesyłki.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9.</w:t>
            </w:r>
            <w:r w:rsidRPr="00BA08AB">
              <w:rPr>
                <w:b/>
                <w:i/>
              </w:rPr>
              <w:tab/>
              <w:t>Państwa członkowskie informują Sekretariat GFCM o swoim systemie dokumentowania połowów, a także o ewentualnych wymogach dotyczących znakowania i identyfikacji oraz wymogach dotyczących identyfikowalności i monitoro</w:t>
            </w:r>
            <w:r w:rsidRPr="00BA08AB">
              <w:rPr>
                <w:b/>
                <w:i/>
              </w:rPr>
              <w:t>wania połowów korala czerwonego, które muszą być zgodne z przepisami niniejszego artykułu, aby skutecznie zapewnić osiągnięcie celu identyfikowalności.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10.</w:t>
            </w:r>
            <w:r w:rsidRPr="00BA08AB">
              <w:rPr>
                <w:b/>
                <w:i/>
              </w:rPr>
              <w:tab/>
              <w:t>Na powrotny wywóz produktów przywiezionych na mocy certyfikatu pozyskania zgodnie z niniejszym art</w:t>
            </w:r>
            <w:r w:rsidRPr="00BA08AB">
              <w:rPr>
                <w:b/>
                <w:i/>
              </w:rPr>
              <w:t>ykułem zezwala się w drodze zatwierdzenia przez właściwe organy państw członkowskich, z których ma nastąpić powrotny wywóz, sekcji certyfikatu pozyskiwania dotyczącej powrotnego wywozu, o którym mowa w załączniku XX, lub jej kopii, gdy produkty rybołówstwa</w:t>
            </w:r>
            <w:r w:rsidRPr="00BA08AB">
              <w:rPr>
                <w:b/>
                <w:i/>
              </w:rPr>
              <w:t>, które mają podlegać powrotnemu wywozowi, stanowią część produktów przywożonych.</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AC7816">
            <w:pPr>
              <w:pStyle w:val="Normal6"/>
              <w:rPr>
                <w:szCs w:val="24"/>
              </w:rPr>
            </w:pPr>
            <w:r w:rsidRPr="00BA08AB">
              <w:rPr>
                <w:b/>
                <w:i/>
              </w:rPr>
              <w:t>11.</w:t>
            </w:r>
            <w:r w:rsidRPr="00BA08AB">
              <w:rPr>
                <w:b/>
                <w:i/>
              </w:rPr>
              <w:tab/>
              <w:t xml:space="preserve">Jeżeli państwo członkowskie stwierdzi niezgodność z obowiązkami zawartymi w niniejszym artykule, informuje o tym państwo bandery i Komisję, która przekazuje tę </w:t>
            </w:r>
            <w:r w:rsidRPr="00BA08AB">
              <w:rPr>
                <w:b/>
                <w:i/>
              </w:rPr>
              <w:t>informację do Sekretariatu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12.</w:t>
            </w:r>
            <w:r w:rsidRPr="00BA08AB">
              <w:rPr>
                <w:b/>
                <w:i/>
              </w:rPr>
              <w:tab/>
              <w:t>Państwa członkowskie powiadamiają Sekretariat GFCM o swoich właściwych organach odpowiedzialnych za zatwierdzanie, sprawdzanie i weryfikację certyfikatów pozyskania, a także o punktach kontaktowych systemu dokumentowa</w:t>
            </w:r>
            <w:r w:rsidRPr="00BA08AB">
              <w:rPr>
                <w:b/>
                <w:i/>
              </w:rPr>
              <w:t xml:space="preserve">nia połowów, pieczęci i innych informacjach </w:t>
            </w:r>
            <w:r w:rsidRPr="00BA08AB">
              <w:rPr>
                <w:b/>
                <w:i/>
              </w:rPr>
              <w:lastRenderedPageBreak/>
              <w:t>istotnych dla wdrożenia systemu dokumentowania połowów.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13.</w:t>
            </w:r>
            <w:r w:rsidRPr="00BA08AB">
              <w:rPr>
                <w:b/>
                <w:i/>
              </w:rPr>
              <w:tab/>
              <w:t>Państwa członkowskie przechowują zatwierdzone certyfikaty pozyskania korala czerwonego w formie papierowej przez dziesięć lat.</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14.</w:t>
            </w:r>
            <w:r w:rsidRPr="00BA08AB">
              <w:rPr>
                <w:b/>
                <w:i/>
              </w:rPr>
              <w:tab/>
              <w:t>Państwa członkows</w:t>
            </w:r>
            <w:r w:rsidRPr="00BA08AB">
              <w:rPr>
                <w:b/>
                <w:i/>
              </w:rPr>
              <w:t>kie składają Sekretariatowi GFCM coroczne sprawozdania z wdrażania systemu dokumentowania połowów korala czerwonego w formie papierowej w celu powiadomienia Komitetu ds. Zgodności oraz dostarczają szczegółowych informacji i danych statystycznych dotyczącyc</w:t>
            </w:r>
            <w:r w:rsidRPr="00BA08AB">
              <w:rPr>
                <w:b/>
                <w:i/>
              </w:rPr>
              <w:t>h m.in. rocznych zatwierdzonych ilości, rocznych ilości przeznaczonych na handel, liczby zatwierdzonych certyfikatów pozyskania oraz wszelkich istotnych elementów uznanych za dostarczające informacji o aktualnej sytuacji. Sprawozdania należy składać do Sek</w:t>
            </w:r>
            <w:r w:rsidRPr="00BA08AB">
              <w:rPr>
                <w:b/>
                <w:i/>
              </w:rPr>
              <w:t>retariatu GFCM nie później niż 30 dni przed sesją Komitetu ds. Zgodności”.</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GFCM/46/2023/19.</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29</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60a</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w:t>
            </w:r>
            <w:r w:rsidRPr="00BA08AB">
              <w:t>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Artykuł 60a</w:t>
            </w:r>
          </w:p>
        </w:tc>
        <w:tc>
          <w:tcPr>
            <w:tcW w:w="4876" w:type="dxa"/>
          </w:tcPr>
          <w:p w:rsidR="009E2F79" w:rsidRPr="00BA08AB" w:rsidRDefault="00774DE8">
            <w:pPr>
              <w:pStyle w:val="ColumnHeading"/>
              <w:keepNext/>
              <w:rPr>
                <w:i w:val="0"/>
              </w:rPr>
            </w:pPr>
            <w:r w:rsidRPr="00BA08AB">
              <w:rPr>
                <w:i w:val="0"/>
              </w:rPr>
              <w:t>Artykuł 60a</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Środki zarządzania flotą</w:t>
            </w:r>
          </w:p>
        </w:tc>
        <w:tc>
          <w:tcPr>
            <w:tcW w:w="4876" w:type="dxa"/>
          </w:tcPr>
          <w:p w:rsidR="009E2F79" w:rsidRPr="00BA08AB" w:rsidRDefault="00774DE8">
            <w:pPr>
              <w:pStyle w:val="ColumnHeading"/>
              <w:keepNext/>
              <w:rPr>
                <w:i w:val="0"/>
              </w:rPr>
            </w:pPr>
            <w:r w:rsidRPr="00BA08AB">
              <w:rPr>
                <w:i w:val="0"/>
              </w:rPr>
              <w:t>Środki zarządzania flotą</w:t>
            </w:r>
          </w:p>
        </w:tc>
      </w:tr>
      <w:tr w:rsidR="00F17F65" w:rsidRPr="00BA08AB" w:rsidTr="00C6436A">
        <w:trPr>
          <w:jc w:val="center"/>
        </w:trPr>
        <w:tc>
          <w:tcPr>
            <w:tcW w:w="4876" w:type="dxa"/>
            <w:hideMark/>
          </w:tcPr>
          <w:p w:rsidR="00C6436A" w:rsidRPr="00BA08AB" w:rsidRDefault="00774DE8">
            <w:pPr>
              <w:pStyle w:val="Normal6"/>
            </w:pPr>
            <w:r w:rsidRPr="00BA08AB">
              <w:t xml:space="preserve">Państwa członkowskie zapewniają, aby całkowita zdolność połowowa </w:t>
            </w:r>
            <w:r w:rsidRPr="00BA08AB">
              <w:rPr>
                <w:b/>
                <w:bCs/>
                <w:i/>
                <w:iCs/>
              </w:rPr>
              <w:t xml:space="preserve">floty prowadzącej działalność objętą zakresem </w:t>
            </w:r>
            <w:r w:rsidRPr="00BA08AB">
              <w:rPr>
                <w:b/>
                <w:bCs/>
                <w:i/>
                <w:iCs/>
              </w:rPr>
              <w:lastRenderedPageBreak/>
              <w:t>stosowania niniejszej sekcji</w:t>
            </w:r>
            <w:r w:rsidRPr="00BA08AB">
              <w:t xml:space="preserve"> – pod względem pojemności brutto (GT) </w:t>
            </w:r>
            <w:r w:rsidRPr="00BA08AB">
              <w:rPr>
                <w:b/>
                <w:bCs/>
                <w:i/>
                <w:iCs/>
              </w:rPr>
              <w:t>lub pojemności rejestrowej brutto (GRT)</w:t>
            </w:r>
            <w:r w:rsidRPr="00BA08AB">
              <w:t>, mocy silnika (kW) i liczby statków, zgodnie zarówno z rejestrem krajowym, jak i rejestrem GFCM – nie przekraczała zdolności połowowej floty do połowów dennych w 2021 r.”;</w:t>
            </w:r>
          </w:p>
        </w:tc>
        <w:tc>
          <w:tcPr>
            <w:tcW w:w="4876" w:type="dxa"/>
            <w:hideMark/>
          </w:tcPr>
          <w:p w:rsidR="00C6436A" w:rsidRPr="00BA08AB" w:rsidRDefault="00774DE8">
            <w:pPr>
              <w:pStyle w:val="Normal6"/>
              <w:rPr>
                <w:szCs w:val="24"/>
              </w:rPr>
            </w:pPr>
            <w:r w:rsidRPr="00BA08AB">
              <w:lastRenderedPageBreak/>
              <w:t>Państ</w:t>
            </w:r>
            <w:r w:rsidRPr="00BA08AB">
              <w:t xml:space="preserve">wa członkowskie zapewniają, aby całkowita zdolność połowowa </w:t>
            </w:r>
            <w:r w:rsidRPr="00BA08AB">
              <w:rPr>
                <w:b/>
                <w:bCs/>
                <w:i/>
                <w:iCs/>
              </w:rPr>
              <w:t xml:space="preserve">flot prowadzących połowy przy użyciu włoków </w:t>
            </w:r>
            <w:r w:rsidRPr="00BA08AB">
              <w:rPr>
                <w:b/>
                <w:bCs/>
                <w:i/>
                <w:iCs/>
              </w:rPr>
              <w:lastRenderedPageBreak/>
              <w:t>dennych i aktywnie poławiających kluczowe stada</w:t>
            </w:r>
            <w:r w:rsidRPr="00BA08AB">
              <w:t xml:space="preserve"> – pod względem pojemności brutto (GT), mocy silnika (kW) i liczby statków, zgodnie zarówno z rejestrem k</w:t>
            </w:r>
            <w:r w:rsidRPr="00BA08AB">
              <w:t>rajowym, jak i rejestrem GFCM – nie przekraczała</w:t>
            </w:r>
            <w:r w:rsidRPr="00BA08AB">
              <w:rPr>
                <w:b/>
                <w:bCs/>
                <w:i/>
                <w:iCs/>
              </w:rPr>
              <w:t xml:space="preserve"> w okresie obowiązywania wieloletniego planu zarządzania </w:t>
            </w:r>
            <w:r w:rsidRPr="00BA08AB">
              <w:t>zdolności połowowej floty do połowów dennych w 2021 r.”;</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39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33 – litera -a (nowa)</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70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w:t>
            </w:r>
            <w:r w:rsidRPr="00BA08AB">
              <w:rPr>
                <w:b/>
                <w:i/>
              </w:rPr>
              <w:tab/>
              <w:t>ust. 1 otrzymuje brzmienie:</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Państwa członkowskie sporządzają wykaz wszystkich statków pływających pod ich banderą i upoważnionych do poławiania gatunków wymienionych w art. 66.</w:t>
            </w:r>
          </w:p>
        </w:tc>
        <w:tc>
          <w:tcPr>
            <w:tcW w:w="4876" w:type="dxa"/>
            <w:hideMark/>
          </w:tcPr>
          <w:p w:rsidR="00C6436A" w:rsidRPr="00BA08AB" w:rsidRDefault="00774DE8">
            <w:pPr>
              <w:pStyle w:val="Normal6"/>
              <w:rPr>
                <w:szCs w:val="24"/>
              </w:rPr>
            </w:pPr>
            <w:r w:rsidRPr="00BA08AB">
              <w:rPr>
                <w:b/>
                <w:bCs/>
                <w:i/>
                <w:iCs/>
              </w:rPr>
              <w:t>„</w:t>
            </w:r>
            <w:r w:rsidRPr="00BA08AB">
              <w:t>1.</w:t>
            </w:r>
            <w:r w:rsidRPr="00BA08AB">
              <w:tab/>
            </w:r>
            <w:r w:rsidRPr="00BA08AB">
              <w:t xml:space="preserve">Państwa członkowskie sporządzają wykaz wszystkich statków pływających pod ich banderą i upoważnionych do poławiania gatunków wymienionych w art. 66 </w:t>
            </w:r>
            <w:r w:rsidRPr="00BA08AB">
              <w:rPr>
                <w:b/>
                <w:bCs/>
                <w:i/>
                <w:iCs/>
              </w:rPr>
              <w:t>przy użyciu włoków rozpornicowych, włoków rozprzowych, tuk dennych i zestawów dwuwłokowych”;</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Art. 70 ust. 1 rozporządzenia 2023/2124 należy dostosować do pkt 30 zalecenia GFCM/43/2019/5 przyjętego przez GFCM w celu </w:t>
      </w:r>
      <w:r w:rsidRPr="00BA08AB">
        <w:t>wyjaśnienia, do której floty ma zastosowanie obowiązek sporządzenia wykazu statków, ponieważ obecne sformułowanie jest nieprecyzyjne i umożliwia interpretację, zgodnie z którą obowiązek ma zastosowanie do całej floty. W związku z tym na końcu zdania do prz</w:t>
      </w:r>
      <w:r w:rsidRPr="00BA08AB">
        <w:t>episu art. 70 ust. 1 należy dodać sformułowanie „przy użyciu włoków rozpornicowych, włoków rozprzowych, tuk dennych i zestawów dwuwłokowych”.</w:t>
      </w:r>
    </w:p>
    <w:p w:rsidR="00C6436A" w:rsidRPr="00BA08AB" w:rsidRDefault="00774DE8" w:rsidP="00C6436A">
      <w:r w:rsidRPr="00BA08AB">
        <w:rPr>
          <w:rStyle w:val="HideTWBExt"/>
        </w:rPr>
        <w:lastRenderedPageBreak/>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w:t>
      </w:r>
      <w:r w:rsidRPr="00BA08AB">
        <w:t xml:space="preserve"> 1 – akapit 1 – punkt 35</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Artykuł 73</w:t>
            </w:r>
          </w:p>
        </w:tc>
        <w:tc>
          <w:tcPr>
            <w:tcW w:w="4876" w:type="dxa"/>
          </w:tcPr>
          <w:p w:rsidR="009E2F79" w:rsidRPr="00BA08AB" w:rsidRDefault="00774DE8">
            <w:pPr>
              <w:pStyle w:val="ColumnHeading"/>
              <w:keepNext/>
              <w:rPr>
                <w:i w:val="0"/>
              </w:rPr>
            </w:pPr>
            <w:r w:rsidRPr="00BA08AB">
              <w:rPr>
                <w:i w:val="0"/>
              </w:rPr>
              <w:t>Artykuł 73</w:t>
            </w:r>
          </w:p>
        </w:tc>
      </w:tr>
      <w:tr w:rsidR="00F17F65" w:rsidRPr="00BA08AB" w:rsidTr="00C6436A">
        <w:trPr>
          <w:jc w:val="center"/>
        </w:trPr>
        <w:tc>
          <w:tcPr>
            <w:tcW w:w="4876" w:type="dxa"/>
          </w:tcPr>
          <w:p w:rsidR="009E2F79" w:rsidRPr="00BA08AB" w:rsidRDefault="00774DE8">
            <w:pPr>
              <w:pStyle w:val="ColumnHeading"/>
              <w:keepNext/>
              <w:rPr>
                <w:i w:val="0"/>
              </w:rPr>
            </w:pPr>
            <w:r w:rsidRPr="00BA08AB">
              <w:rPr>
                <w:i w:val="0"/>
              </w:rPr>
              <w:t>Zakres</w:t>
            </w:r>
          </w:p>
        </w:tc>
        <w:tc>
          <w:tcPr>
            <w:tcW w:w="4876" w:type="dxa"/>
          </w:tcPr>
          <w:p w:rsidR="009E2F79" w:rsidRPr="00BA08AB" w:rsidRDefault="00774DE8">
            <w:pPr>
              <w:pStyle w:val="ColumnHeading"/>
              <w:keepNext/>
              <w:rPr>
                <w:i w:val="0"/>
              </w:rPr>
            </w:pPr>
            <w:r w:rsidRPr="00BA08AB">
              <w:rPr>
                <w:i w:val="0"/>
              </w:rPr>
              <w:t>Zakres</w:t>
            </w:r>
          </w:p>
        </w:tc>
      </w:tr>
      <w:tr w:rsidR="00F17F65" w:rsidRPr="00BA08AB" w:rsidTr="00C6436A">
        <w:trPr>
          <w:jc w:val="center"/>
        </w:trPr>
        <w:tc>
          <w:tcPr>
            <w:tcW w:w="4876" w:type="dxa"/>
            <w:hideMark/>
          </w:tcPr>
          <w:p w:rsidR="00C6436A" w:rsidRPr="00BA08AB" w:rsidRDefault="00774DE8">
            <w:pPr>
              <w:pStyle w:val="Normal6"/>
            </w:pPr>
            <w:r w:rsidRPr="00BA08AB">
              <w:t xml:space="preserve">Niniejsza sekcja ma zastosowanie do wszelkiej </w:t>
            </w:r>
            <w:r w:rsidRPr="00BA08AB">
              <w:t>działalności połowowej ukierunkowanej na kluczowe stada małych gatunków pelagicznych (sardela i sardynka europejska) w podobszarach geograficznych 17 i 18, jak przewidziano w załączniku I.”</w:t>
            </w:r>
            <w:r w:rsidRPr="00BA08AB">
              <w:rPr>
                <w:b/>
                <w:bCs/>
                <w:i/>
                <w:iCs/>
              </w:rPr>
              <w:t>;</w:t>
            </w:r>
          </w:p>
        </w:tc>
        <w:tc>
          <w:tcPr>
            <w:tcW w:w="4876" w:type="dxa"/>
            <w:hideMark/>
          </w:tcPr>
          <w:p w:rsidR="00C6436A" w:rsidRPr="00BA08AB" w:rsidRDefault="00774DE8">
            <w:pPr>
              <w:pStyle w:val="Normal6"/>
              <w:rPr>
                <w:szCs w:val="24"/>
              </w:rPr>
            </w:pPr>
            <w:r w:rsidRPr="00BA08AB">
              <w:t xml:space="preserve">Niniejsza sekcja ma zastosowanie do wszelkiej działalności połowowej ukierunkowanej na kluczowe stada małych gatunków pelagicznych (sardela i sardynka europejska) w podobszarach geograficznych 17 i 18, jak przewidziano w załączniku I, </w:t>
            </w:r>
            <w:r w:rsidRPr="00BA08AB">
              <w:rPr>
                <w:b/>
                <w:bCs/>
                <w:i/>
                <w:iCs/>
              </w:rPr>
              <w:t>przy użyciu statków d</w:t>
            </w:r>
            <w:r w:rsidRPr="00BA08AB">
              <w:rPr>
                <w:b/>
                <w:bCs/>
                <w:i/>
                <w:iCs/>
              </w:rPr>
              <w:t>o połowów okrężnicą i trawlerów do połowów pelagicznych”</w:t>
            </w:r>
            <w:r w:rsidRPr="00BA08AB">
              <w:rPr>
                <w:b/>
                <w:bCs/>
              </w:rPr>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Art. 1 ust. 35 wniosku, który zastępuje art. 73 rozporządzenia (UE) 2023/2124, należy dostosować do pkt 1 zalecenia GFCM/44/2021/</w:t>
      </w:r>
      <w:r w:rsidRPr="00BA08AB">
        <w:t>20 przyjętego przez GFCM w celu spójnej transpozycji poprzez dodanie obecnie brakującego sformułowania na końcu zdania, określającego konkretną flotę, do której ma zastosowanie przepis, i uniemożliwiającego jego stosowanie do innych form połowów: „</w:t>
      </w:r>
      <w:r w:rsidRPr="00BA08AB">
        <w:rPr>
          <w:iCs/>
        </w:rPr>
        <w:t>przy uży</w:t>
      </w:r>
      <w:r w:rsidRPr="00BA08AB">
        <w:rPr>
          <w:iCs/>
        </w:rPr>
        <w:t>ciu statków do połowów okrężnicą i trawlerów do połowów pelagicznych”.</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35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w:t>
      </w:r>
      <w:r w:rsidRPr="00BA08AB">
        <w:t>UE) 2023/2124</w:t>
      </w:r>
      <w:r w:rsidRPr="00BA08AB">
        <w:rPr>
          <w:rStyle w:val="HideTWBExt"/>
        </w:rPr>
        <w:t>&lt;/DocAmend2&gt;</w:t>
      </w:r>
    </w:p>
    <w:p w:rsidR="00C6436A" w:rsidRPr="00BA08AB" w:rsidRDefault="00774DE8" w:rsidP="00C6436A">
      <w:r w:rsidRPr="00BA08AB">
        <w:rPr>
          <w:rStyle w:val="HideTWBExt"/>
        </w:rPr>
        <w:t>&lt;Article2&gt;</w:t>
      </w:r>
      <w:r w:rsidRPr="00BA08AB">
        <w:t>Artykuł 74 – akapit 5</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9E2F79">
            <w:pPr>
              <w:pStyle w:val="Normal6"/>
              <w:rPr>
                <w:szCs w:val="24"/>
              </w:rPr>
            </w:pPr>
            <w:r w:rsidRPr="00BA08AB">
              <w:rPr>
                <w:b/>
                <w:i/>
              </w:rPr>
              <w:t>(35a)</w:t>
            </w:r>
            <w:r w:rsidRPr="00BA08AB">
              <w:rPr>
                <w:b/>
                <w:i/>
              </w:rPr>
              <w:tab/>
              <w:t>uchyla się art. 74 ust. 5.</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C6436A"/>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In the case of managing small pelagic</w:t>
      </w:r>
      <w:r w:rsidRPr="00BA08AB">
        <w:t xml:space="preserve"> fish in the Adriatic Sea, a new GFCM Recommendation GFCM/44/2021/20 on a multi-annual management plan for the sustainable exploitation of small pelagic fish stocks in the Adriatic Sea (GSA areas 17 and 18) was adopted at the GFCM annual assembly in Novemb</w:t>
      </w:r>
      <w:r w:rsidRPr="00BA08AB">
        <w:t>er 2021. With the adoption of the new multi-annual management plan, the multi-annual management plan adopted in 2013 by GFCM Recommendation GFCM/37/2013/1 becomes obsolete. Article 74, paragraph 5 of the current Regulation (EU) 2023/2124 includes a measure</w:t>
      </w:r>
      <w:r w:rsidRPr="00BA08AB">
        <w:t xml:space="preserve"> for managing fishing effort by limiting the number of fishing days (20 days per month and 180 days per year), which was derived from the 2013 multi-annual management plan (GFCM/37/2013/1). Retaining the provision of Article 74, paragraph 5 of Regulation (</w:t>
      </w:r>
      <w:r w:rsidRPr="00BA08AB">
        <w:t>EU) 2023/2124 would exceed the scope of GFCM Recommendation GFCM/44/2021/20 and impose additional restrictions on Member States, which will not apply to other GFCM contracting parties (e.g. Albania and Montenegro). Therefore, Article 74, paragraph 5 of Reg</w:t>
      </w:r>
      <w:r w:rsidRPr="00BA08AB">
        <w:t>ulation 2023/2124 must be deleted.</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w:t>
      </w:r>
      <w:r w:rsidRPr="00BA08AB">
        <w:t>4a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Do dnia </w:t>
            </w:r>
            <w:r w:rsidRPr="00BA08AB">
              <w:rPr>
                <w:b/>
                <w:bCs/>
              </w:rPr>
              <w:t>15 marca</w:t>
            </w:r>
            <w:r w:rsidRPr="00BA08AB">
              <w:t xml:space="preserve"> następnego roku państwa członkowskie zapewniają co roku, aby wszystkie dane naukowe i dane handlowe zgromadzone w danym roku były przekazywane </w:t>
            </w:r>
            <w:r w:rsidRPr="00BA08AB">
              <w:rPr>
                <w:b/>
                <w:bCs/>
                <w:i/>
                <w:iCs/>
              </w:rPr>
              <w:t>Komisji</w:t>
            </w:r>
            <w:r w:rsidRPr="00BA08AB">
              <w:t>.</w:t>
            </w:r>
          </w:p>
        </w:tc>
        <w:tc>
          <w:tcPr>
            <w:tcW w:w="4876" w:type="dxa"/>
            <w:hideMark/>
          </w:tcPr>
          <w:p w:rsidR="00C6436A" w:rsidRPr="00BA08AB" w:rsidRDefault="00774DE8">
            <w:pPr>
              <w:pStyle w:val="Normal6"/>
              <w:rPr>
                <w:szCs w:val="24"/>
              </w:rPr>
            </w:pPr>
            <w:r w:rsidRPr="00BA08AB">
              <w:t>1.</w:t>
            </w:r>
            <w:r w:rsidRPr="00BA08AB">
              <w:tab/>
              <w:t xml:space="preserve">Do dnia </w:t>
            </w:r>
            <w:r w:rsidRPr="00BA08AB">
              <w:rPr>
                <w:b/>
                <w:bCs/>
                <w:i/>
                <w:iCs/>
              </w:rPr>
              <w:t xml:space="preserve">1 </w:t>
            </w:r>
            <w:r w:rsidRPr="00BA08AB">
              <w:rPr>
                <w:b/>
                <w:bCs/>
                <w:i/>
                <w:iCs/>
              </w:rPr>
              <w:t>kwietnia</w:t>
            </w:r>
            <w:r w:rsidRPr="00BA08AB">
              <w:t xml:space="preserve"> następnego roku państwa członkowskie zapewniają co roku, aby wszystkie dane naukowe i dane handlowe zgromadzone w danym roku były przekazywane </w:t>
            </w:r>
            <w:r w:rsidRPr="00BA08AB">
              <w:rPr>
                <w:b/>
                <w:bCs/>
                <w:i/>
                <w:iCs/>
              </w:rPr>
              <w:t>Sekretariatowi GFCM</w:t>
            </w:r>
            <w:r w:rsidRPr="00BA08AB">
              <w:t>.</w:t>
            </w:r>
            <w:r w:rsidRPr="00BA08AB">
              <w:rPr>
                <w:b/>
                <w:i/>
              </w:rPr>
              <w:t xml:space="preserve"> </w:t>
            </w:r>
            <w:r w:rsidRPr="00BA08AB">
              <w:rPr>
                <w:b/>
                <w:bCs/>
                <w:i/>
                <w:iCs/>
              </w:rPr>
              <w:t>Państwa członkowskie powiadamiają o tym Komisję</w:t>
            </w:r>
            <w:r w:rsidRPr="00BA08AB">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w:t>
      </w:r>
      <w:r w:rsidRPr="00BA08AB">
        <w:rPr>
          <w:rStyle w:val="HideTWBExt"/>
          <w:i w:val="0"/>
        </w:rPr>
        <w: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GFCM/44/2021/20.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74a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2.</w:t>
            </w:r>
            <w:r w:rsidRPr="00BA08AB">
              <w:rPr>
                <w:b/>
                <w:i/>
              </w:rPr>
              <w:tab/>
              <w:t>Komisja przekazuje informacje, o których mowa w ust. 1, Sekretariatowi GFCM do dnia 1 kwietnia każdego roku.</w:t>
            </w:r>
          </w:p>
        </w:tc>
        <w:tc>
          <w:tcPr>
            <w:tcW w:w="4876" w:type="dxa"/>
            <w:hideMark/>
          </w:tcPr>
          <w:p w:rsidR="00C6436A" w:rsidRPr="00BA08AB" w:rsidRDefault="00774DE8">
            <w:pPr>
              <w:pStyle w:val="Normal6"/>
              <w:rPr>
                <w:szCs w:val="24"/>
              </w:rPr>
            </w:pPr>
            <w:r w:rsidRPr="00BA08AB">
              <w:rPr>
                <w:b/>
                <w:i/>
              </w:rPr>
              <w:t>skreśla się</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GFCM/44/2021/20.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74c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Państwa członkowskie wyznaczają punkty wyładunkowe, w których statki aktywnie prowadzące połowy </w:t>
            </w:r>
            <w:r w:rsidRPr="00BA08AB">
              <w:rPr>
                <w:b/>
                <w:bCs/>
                <w:i/>
                <w:iCs/>
              </w:rPr>
              <w:t>sardeli i sardynki</w:t>
            </w:r>
            <w:r w:rsidRPr="00BA08AB">
              <w:t xml:space="preserve"> </w:t>
            </w:r>
            <w:r w:rsidRPr="00BA08AB">
              <w:rPr>
                <w:b/>
                <w:bCs/>
                <w:i/>
                <w:iCs/>
              </w:rPr>
              <w:t>europejskiej</w:t>
            </w:r>
            <w:r w:rsidRPr="00BA08AB">
              <w:t xml:space="preserve"> dokonują wyładunku. Dla </w:t>
            </w:r>
            <w:r w:rsidRPr="00BA08AB">
              <w:t>każdego wyznaczonego punktu państwa członkowskie określają czas i miejsce dozwolonego wyładunku i przeładunku.</w:t>
            </w:r>
          </w:p>
        </w:tc>
        <w:tc>
          <w:tcPr>
            <w:tcW w:w="4876" w:type="dxa"/>
            <w:hideMark/>
          </w:tcPr>
          <w:p w:rsidR="00C6436A" w:rsidRPr="00BA08AB" w:rsidRDefault="00774DE8">
            <w:pPr>
              <w:pStyle w:val="Normal6"/>
              <w:rPr>
                <w:szCs w:val="24"/>
              </w:rPr>
            </w:pPr>
            <w:r w:rsidRPr="00BA08AB">
              <w:t>1.</w:t>
            </w:r>
            <w:r w:rsidRPr="00BA08AB">
              <w:tab/>
              <w:t xml:space="preserve">Państwa członkowskie wyznaczają punkty wyładunkowe, w których statki aktywnie prowadzące połowy </w:t>
            </w:r>
            <w:r w:rsidRPr="00BA08AB">
              <w:rPr>
                <w:b/>
                <w:bCs/>
                <w:i/>
                <w:iCs/>
              </w:rPr>
              <w:t>kluczowych stad</w:t>
            </w:r>
            <w:r w:rsidRPr="00BA08AB">
              <w:rPr>
                <w:b/>
                <w:bCs/>
              </w:rPr>
              <w:t xml:space="preserve"> </w:t>
            </w:r>
            <w:r w:rsidRPr="00BA08AB">
              <w:rPr>
                <w:b/>
                <w:bCs/>
                <w:i/>
                <w:iCs/>
              </w:rPr>
              <w:t>małych ryb pelagicznych w Morz</w:t>
            </w:r>
            <w:r w:rsidRPr="00BA08AB">
              <w:rPr>
                <w:b/>
                <w:bCs/>
                <w:i/>
                <w:iCs/>
              </w:rPr>
              <w:t>u Adriatyckim</w:t>
            </w:r>
            <w:r w:rsidRPr="00BA08AB">
              <w:t xml:space="preserve"> dokonują wyładunku. stad  Dla każdego wyznaczonego punktu państwa członkowskie określają czas i miejsce dozwolonego wyładunku i przeładunku.</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 xml:space="preserve">Wniosek </w:t>
      </w:r>
      <w:r w:rsidRPr="00BA08AB">
        <w:t>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74c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r>
            <w:r w:rsidRPr="00BA08AB">
              <w:t xml:space="preserve">Zabrania się wyładunku lub przeładunku ze statków rybackich wszelkich ilości </w:t>
            </w:r>
            <w:r w:rsidRPr="00BA08AB">
              <w:rPr>
                <w:b/>
                <w:bCs/>
                <w:i/>
                <w:iCs/>
              </w:rPr>
              <w:t>sardeli i sardynek europejskich</w:t>
            </w:r>
            <w:r w:rsidRPr="00BA08AB">
              <w:t xml:space="preserve"> złowionych przy użyciu </w:t>
            </w:r>
            <w:r w:rsidRPr="00BA08AB">
              <w:lastRenderedPageBreak/>
              <w:t xml:space="preserve">okrężnic </w:t>
            </w:r>
            <w:r w:rsidRPr="00BA08AB">
              <w:rPr>
                <w:b/>
                <w:bCs/>
                <w:i/>
                <w:iCs/>
              </w:rPr>
              <w:t>i</w:t>
            </w:r>
            <w:r w:rsidRPr="00BA08AB">
              <w:t> włoków pelagicznych w Morzu Adriatyckim w jakimkolwiek miejscu innym niż punkty wyładunkowe wyznaczone przez pańs</w:t>
            </w:r>
            <w:r w:rsidRPr="00BA08AB">
              <w:t>twa członkowskie.</w:t>
            </w:r>
          </w:p>
        </w:tc>
        <w:tc>
          <w:tcPr>
            <w:tcW w:w="4876" w:type="dxa"/>
            <w:hideMark/>
          </w:tcPr>
          <w:p w:rsidR="00C6436A" w:rsidRPr="00BA08AB" w:rsidRDefault="00774DE8">
            <w:pPr>
              <w:pStyle w:val="Normal6"/>
              <w:rPr>
                <w:szCs w:val="24"/>
              </w:rPr>
            </w:pPr>
            <w:r w:rsidRPr="00BA08AB">
              <w:lastRenderedPageBreak/>
              <w:t>2.</w:t>
            </w:r>
            <w:r w:rsidRPr="00BA08AB">
              <w:tab/>
              <w:t xml:space="preserve">Zabrania się wyładunku lub przeładunku ze statków rybackich wszelkich ilości </w:t>
            </w:r>
            <w:r w:rsidRPr="00BA08AB">
              <w:rPr>
                <w:b/>
                <w:bCs/>
                <w:i/>
                <w:iCs/>
              </w:rPr>
              <w:t>kluczowych stad</w:t>
            </w:r>
            <w:r w:rsidRPr="00BA08AB">
              <w:rPr>
                <w:b/>
                <w:bCs/>
              </w:rPr>
              <w:t xml:space="preserve"> </w:t>
            </w:r>
            <w:r w:rsidRPr="00BA08AB">
              <w:rPr>
                <w:b/>
                <w:bCs/>
                <w:i/>
                <w:iCs/>
              </w:rPr>
              <w:t>małych ryb pelagicznych</w:t>
            </w:r>
            <w:r w:rsidRPr="00BA08AB">
              <w:t xml:space="preserve"> złowionych przy użyciu </w:t>
            </w:r>
            <w:r w:rsidRPr="00BA08AB">
              <w:lastRenderedPageBreak/>
              <w:t xml:space="preserve">okrężnic </w:t>
            </w:r>
            <w:r w:rsidRPr="00BA08AB">
              <w:rPr>
                <w:b/>
                <w:bCs/>
                <w:i/>
                <w:iCs/>
              </w:rPr>
              <w:t>lub</w:t>
            </w:r>
            <w:r w:rsidRPr="00BA08AB">
              <w:t> włoków pelagicznych w Morzu Adriatyckim w jakimkolwiek miejscu innym niż punkty wy</w:t>
            </w:r>
            <w:r w:rsidRPr="00BA08AB">
              <w:t>ładunkowe wyznaczone przez państwa członkowskie.</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w:t>
      </w:r>
      <w:r w:rsidRPr="00BA08AB">
        <w:t xml:space="preserve"> (UE) 2023/2124</w:t>
      </w:r>
      <w:r w:rsidRPr="00BA08AB">
        <w:rPr>
          <w:rStyle w:val="HideTWBExt"/>
        </w:rPr>
        <w:t>&lt;/DocAmend2&gt;</w:t>
      </w:r>
    </w:p>
    <w:p w:rsidR="00C6436A" w:rsidRPr="00BA08AB" w:rsidRDefault="00774DE8" w:rsidP="00C6436A">
      <w:r w:rsidRPr="00BA08AB">
        <w:rPr>
          <w:rStyle w:val="HideTWBExt"/>
        </w:rPr>
        <w:t>&lt;Article2&gt;</w:t>
      </w:r>
      <w:r w:rsidRPr="00BA08AB">
        <w:t>Artykuł 74c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r>
            <w:r w:rsidRPr="00BA08AB">
              <w:t xml:space="preserve">Do dnia 15 listopada każdego roku państwa członkowskie przekazują Komisji wszelkie zmiany w wykazie wyznaczonych punktów wyładunkowych, w których mogą mieć miejsce wyładunki </w:t>
            </w:r>
            <w:r w:rsidRPr="00BA08AB">
              <w:rPr>
                <w:b/>
                <w:bCs/>
                <w:i/>
                <w:iCs/>
              </w:rPr>
              <w:t>sardeli i sardynek europejskich</w:t>
            </w:r>
            <w:r w:rsidRPr="00BA08AB">
              <w:t>. Komisja przekazuje tę informację Sekretariatowi G</w:t>
            </w:r>
            <w:r w:rsidRPr="00BA08AB">
              <w:t>FCM do dnia 30 listopada każdego roku.</w:t>
            </w:r>
          </w:p>
        </w:tc>
        <w:tc>
          <w:tcPr>
            <w:tcW w:w="4876" w:type="dxa"/>
            <w:hideMark/>
          </w:tcPr>
          <w:p w:rsidR="00C6436A" w:rsidRPr="00BA08AB" w:rsidRDefault="00774DE8">
            <w:pPr>
              <w:pStyle w:val="Normal6"/>
              <w:rPr>
                <w:szCs w:val="24"/>
              </w:rPr>
            </w:pPr>
            <w:r w:rsidRPr="00BA08AB">
              <w:t>3.</w:t>
            </w:r>
            <w:r w:rsidRPr="00BA08AB">
              <w:tab/>
              <w:t xml:space="preserve">Do dnia 15 listopada każdego roku państwa członkowskie przekazują Komisji wszelkie zmiany w wykazie wyznaczonych punktów wyładunkowych, w których mogą mieć miejsce wyładunki </w:t>
            </w:r>
            <w:r w:rsidRPr="00BA08AB">
              <w:rPr>
                <w:b/>
                <w:bCs/>
                <w:i/>
                <w:iCs/>
              </w:rPr>
              <w:t xml:space="preserve">kluczowych stad małych ryb pelagicznych </w:t>
            </w:r>
            <w:r w:rsidRPr="00BA08AB">
              <w:rPr>
                <w:b/>
                <w:bCs/>
                <w:i/>
                <w:iCs/>
              </w:rPr>
              <w:t>w Morzu Adriatyckim</w:t>
            </w:r>
            <w:r w:rsidRPr="00BA08AB">
              <w:t>. Komisja przekazuje tę informację Sekretariatowi GFCM do dnia 30 listopada każdego roku.</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Celem poprawki jest lepsze dostosowanie tekstu do zalecenia GFCM/44/2021/20.</w:t>
      </w:r>
    </w:p>
    <w:p w:rsidR="00C6436A" w:rsidRPr="00BA08AB" w:rsidRDefault="00774DE8" w:rsidP="00C6436A">
      <w:r w:rsidRPr="00BA08AB">
        <w:rPr>
          <w:rStyle w:val="HideTWBExt"/>
        </w:rPr>
        <w:t>&lt;</w:t>
      </w:r>
      <w:r w:rsidRPr="00BA08AB">
        <w:rPr>
          <w:rStyle w:val="HideTWBExt"/>
        </w:rPr>
        <w: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74d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w:t>
            </w:r>
            <w:r w:rsidRPr="00BA08AB">
              <w:t>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Państwa członkowskie przyjmują środki zarządzania rybołówstwem lub krajowe plany zarządzania objęte zakresem stosowania niniejszej sekcji w celu zapewnienia </w:t>
            </w:r>
            <w:r w:rsidRPr="00BA08AB">
              <w:rPr>
                <w:b/>
                <w:bCs/>
                <w:i/>
                <w:iCs/>
              </w:rPr>
              <w:t xml:space="preserve">osiągnięcia i utrzymania </w:t>
            </w:r>
            <w:r w:rsidRPr="00BA08AB">
              <w:rPr>
                <w:b/>
                <w:bCs/>
                <w:i/>
                <w:iCs/>
              </w:rPr>
              <w:lastRenderedPageBreak/>
              <w:t xml:space="preserve">maksymalnego podtrzymywalnego </w:t>
            </w:r>
            <w:r w:rsidRPr="00BA08AB">
              <w:rPr>
                <w:b/>
                <w:bCs/>
                <w:i/>
                <w:iCs/>
              </w:rPr>
              <w:t>połowu dla poziomów eksploatacji sardeli i sardynek europejskich</w:t>
            </w:r>
            <w:r w:rsidRPr="00BA08AB">
              <w:t>.</w:t>
            </w:r>
          </w:p>
        </w:tc>
        <w:tc>
          <w:tcPr>
            <w:tcW w:w="4876" w:type="dxa"/>
            <w:hideMark/>
          </w:tcPr>
          <w:p w:rsidR="00C6436A" w:rsidRPr="00BA08AB" w:rsidRDefault="00774DE8">
            <w:pPr>
              <w:pStyle w:val="Normal6"/>
              <w:rPr>
                <w:szCs w:val="24"/>
              </w:rPr>
            </w:pPr>
            <w:r w:rsidRPr="00BA08AB">
              <w:lastRenderedPageBreak/>
              <w:t>1.</w:t>
            </w:r>
            <w:r w:rsidRPr="00BA08AB">
              <w:tab/>
              <w:t xml:space="preserve">Państwa członkowskie przyjmują środki zarządzania rybołówstwem lub krajowe plany zarządzania w ramach niniejszego rozdziału w celu zapewnienia </w:t>
            </w:r>
            <w:r w:rsidRPr="00BA08AB">
              <w:rPr>
                <w:b/>
                <w:bCs/>
                <w:i/>
                <w:iCs/>
              </w:rPr>
              <w:t xml:space="preserve">odpowiedniej ochrony stad małych ryb </w:t>
            </w:r>
            <w:r w:rsidRPr="00BA08AB">
              <w:rPr>
                <w:b/>
                <w:bCs/>
                <w:i/>
                <w:iCs/>
              </w:rPr>
              <w:lastRenderedPageBreak/>
              <w:t>pelagic</w:t>
            </w:r>
            <w:r w:rsidRPr="00BA08AB">
              <w:rPr>
                <w:b/>
                <w:bCs/>
                <w:i/>
                <w:iCs/>
              </w:rPr>
              <w:t>znych</w:t>
            </w:r>
            <w:r w:rsidRPr="00BA08AB">
              <w:t>.</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Celem poprawki jest lepsze dostosowanie tekstu do zalecenia GFCM/44/2021/20.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74d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 xml:space="preserve">Do dnia 15 kwietnia każdego roku państwa członkowskie </w:t>
            </w:r>
            <w:r w:rsidRPr="00BA08AB">
              <w:rPr>
                <w:b/>
                <w:bCs/>
                <w:i/>
                <w:iCs/>
              </w:rPr>
              <w:t>przekazują</w:t>
            </w:r>
            <w:r w:rsidRPr="00BA08AB">
              <w:t xml:space="preserve"> bezzwłocznie </w:t>
            </w:r>
            <w:r w:rsidRPr="00BA08AB">
              <w:rPr>
                <w:b/>
                <w:bCs/>
                <w:i/>
                <w:iCs/>
              </w:rPr>
              <w:t>Komisji informacje</w:t>
            </w:r>
            <w:r w:rsidRPr="00BA08AB">
              <w:t xml:space="preserve"> o </w:t>
            </w:r>
            <w:r w:rsidRPr="00BA08AB">
              <w:rPr>
                <w:b/>
                <w:bCs/>
                <w:i/>
                <w:iCs/>
              </w:rPr>
              <w:t>przyjętych</w:t>
            </w:r>
            <w:r w:rsidRPr="00BA08AB">
              <w:t xml:space="preserve"> środkach zarządzania rybołówstwem lub krajowych planach zarządzania </w:t>
            </w:r>
            <w:r w:rsidRPr="00BA08AB">
              <w:rPr>
                <w:b/>
                <w:bCs/>
                <w:i/>
                <w:iCs/>
              </w:rPr>
              <w:t>oraz o wszelkich zmianach tych środków lub planów</w:t>
            </w:r>
            <w:r w:rsidRPr="00BA08AB">
              <w:t>. Komisja przekazuje te środki i plany Sekretariatowi GFCM do dnia 30 kwietnia każd</w:t>
            </w:r>
            <w:r w:rsidRPr="00BA08AB">
              <w:t>ego roku.</w:t>
            </w:r>
          </w:p>
        </w:tc>
        <w:tc>
          <w:tcPr>
            <w:tcW w:w="4876" w:type="dxa"/>
            <w:hideMark/>
          </w:tcPr>
          <w:p w:rsidR="00C6436A" w:rsidRPr="00BA08AB" w:rsidRDefault="00774DE8">
            <w:pPr>
              <w:pStyle w:val="Normal6"/>
              <w:rPr>
                <w:szCs w:val="24"/>
              </w:rPr>
            </w:pPr>
            <w:r w:rsidRPr="00BA08AB">
              <w:t>2.</w:t>
            </w:r>
            <w:r w:rsidRPr="00BA08AB">
              <w:tab/>
              <w:t>Do dnia 15 kwietnia każdego roku państwa członkowskie bezzwłocznie</w:t>
            </w:r>
            <w:r w:rsidRPr="00BA08AB">
              <w:rPr>
                <w:b/>
                <w:bCs/>
                <w:i/>
                <w:iCs/>
              </w:rPr>
              <w:t xml:space="preserve"> powiadamiają Komisję</w:t>
            </w:r>
            <w:r w:rsidRPr="00BA08AB">
              <w:t xml:space="preserve"> o środkach zarządzania rybołówstwem lub krajowych planach zarządzania </w:t>
            </w:r>
            <w:r w:rsidRPr="00BA08AB">
              <w:rPr>
                <w:b/>
                <w:bCs/>
                <w:i/>
                <w:iCs/>
              </w:rPr>
              <w:t>przyjętych na szczeblu krajowym</w:t>
            </w:r>
            <w:r w:rsidRPr="00BA08AB">
              <w:t xml:space="preserve">. Komisja przekazuje te środki i plany Sekretariatowi </w:t>
            </w:r>
            <w:r w:rsidRPr="00BA08AB">
              <w:t>GFCM do dnia 30 kwietnia każdego roku.</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49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r w:rsidRPr="00BA08AB">
        <w:rPr>
          <w:rStyle w:val="HideTWBExt"/>
        </w:rPr>
        <w:t>&lt;Article2&gt;</w:t>
      </w:r>
      <w:r w:rsidRPr="00BA08AB">
        <w:t>Artykuł 74f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 xml:space="preserve">W okresie przejściowym państwa członkowskie stosują zamknięcia przestrzenne w odniesieniu do statków o długości całkowitej przekraczającej 12 </w:t>
            </w:r>
            <w:r w:rsidRPr="00BA08AB">
              <w:t xml:space="preserve">metrów przez okres nie krótszy niż 9 miesięcy. Zamknięcia takie obejmują 30 % </w:t>
            </w:r>
            <w:r w:rsidRPr="00BA08AB">
              <w:lastRenderedPageBreak/>
              <w:t>wód terytorialnych lub wewnętrznych uznanych za istotne dla ochrony najmłodszych klas wiekowych ryb.</w:t>
            </w:r>
          </w:p>
        </w:tc>
        <w:tc>
          <w:tcPr>
            <w:tcW w:w="4876" w:type="dxa"/>
            <w:hideMark/>
          </w:tcPr>
          <w:p w:rsidR="00C6436A" w:rsidRPr="00BA08AB" w:rsidRDefault="00774DE8">
            <w:pPr>
              <w:pStyle w:val="Normal6"/>
              <w:rPr>
                <w:szCs w:val="24"/>
              </w:rPr>
            </w:pPr>
            <w:r w:rsidRPr="00BA08AB">
              <w:rPr>
                <w:i/>
              </w:rPr>
              <w:lastRenderedPageBreak/>
              <w:t>(Nie dotyczy polskiej wersji językowej)</w:t>
            </w:r>
            <w:r w:rsidRPr="00BA08AB">
              <w:tab/>
              <w:t xml:space="preserve">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75a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(36a)</w:t>
            </w:r>
            <w:r w:rsidRPr="00BA08AB">
              <w:rPr>
                <w:b/>
                <w:i/>
              </w:rPr>
              <w:tab/>
              <w:t>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„Artykuł 75a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Międzynarodowy wspólny program inspekcji i nadzoru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Państwa członkowskie mogą przeprowadzać działania inspekcyjne i nadzorcze w ramach międzynarodowego </w:t>
            </w:r>
            <w:r w:rsidRPr="00BA08AB">
              <w:rPr>
                <w:b/>
                <w:i/>
              </w:rPr>
              <w:t>wspólnego programu inspekcji i nadzoru („program”), obejmującego wody poza jurysdykcją krajową w podobszarach geograficznych GFCM 17 i 18 (Morze Adriatyckie), jak określono w załączniku I („obszar inspekcji i nadzoru”).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 xml:space="preserve">Państwa członkowskie mogą </w:t>
            </w:r>
            <w:r w:rsidRPr="00BA08AB">
              <w:rPr>
                <w:b/>
                <w:i/>
              </w:rPr>
              <w:t>wyznaczyć inspektorów i środki inspekcji i przeprowadzać inspekcje w ramach programu. Komisja lub wyznaczony przez nią organ mogą również wyznaczać inspektorów unijnych na potrzeby programu.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 xml:space="preserve">Komisja lub wyznaczony przez nią organ koordynują w imieniu </w:t>
            </w:r>
            <w:r w:rsidRPr="00BA08AB">
              <w:rPr>
                <w:b/>
                <w:i/>
              </w:rPr>
              <w:t xml:space="preserve">Unii działalność w zakresie nadzoru i inspekcji oraz mogą opracować w koordynacji z zainteresowanymi państwami członkowskimi wspólny plan rozmieszczenia umożliwiający Unii uczestnictwo w programie. Państwa członkowskie przyjmują niezbędne środki mające na </w:t>
            </w:r>
            <w:r w:rsidRPr="00BA08AB">
              <w:rPr>
                <w:b/>
                <w:i/>
              </w:rPr>
              <w:t xml:space="preserve">celu ułatwienie wykonywania tych planów, w szczególności </w:t>
            </w:r>
            <w:r w:rsidRPr="00BA08AB">
              <w:rPr>
                <w:b/>
                <w:i/>
              </w:rPr>
              <w:lastRenderedPageBreak/>
              <w:t>w odniesieniu do wymaganych zasobów ludzkich i materialnych oraz do okresów i obszarów geograficznych, w których zasoby te mają być wykorzystane.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Każde państwo członkowskie przekazuje Komisji lu</w:t>
            </w:r>
            <w:r w:rsidRPr="00BA08AB">
              <w:rPr>
                <w:b/>
                <w:i/>
              </w:rPr>
              <w:t>b wyznaczonemu przez nią organowi, nie później niż dnia 15 listopada każdego roku, wykaz imion i nazwisk inspektorów uprawnionych do przeprowadzania inspekcji i nadzoru na obszarze, o którym mowa w ust. 1, jak również nazwy statków i samolotów wykorzystywa</w:t>
            </w:r>
            <w:r w:rsidRPr="00BA08AB">
              <w:rPr>
                <w:b/>
                <w:i/>
              </w:rPr>
              <w:t>nych do inspekcji i nadzoru, które zamierzają przydzielić do programu na następny rok. Komisja lub wyznaczony przez nią organ przesyła te informacje Sekretariatowi GFCM do dnia 1 grudnia każdego roku lub jak najszybciej przed rozpoczęciem inspekcji.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I</w:t>
            </w:r>
            <w:r w:rsidRPr="00BA08AB">
              <w:rPr>
                <w:b/>
                <w:i/>
              </w:rPr>
              <w:t>nspektorzy wyznaczeni do programu posiadają legitymację inspektora GFCM wydaną przez właściwe organy, która jest zgodna z wzorem określonym w załączniku IV.</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Statki wykonujące zadania w zakresie międzynarodowych wejść na statek i inspekcji zgodnie z pr</w:t>
            </w:r>
            <w:r w:rsidRPr="00BA08AB">
              <w:rPr>
                <w:b/>
                <w:i/>
              </w:rPr>
              <w:t>ogramem podnoszą specjalną banderę lub proporzec, zgodnie z opisem w załączniku V.</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7.</w:t>
            </w:r>
            <w:r w:rsidRPr="00BA08AB">
              <w:rPr>
                <w:b/>
                <w:i/>
              </w:rPr>
              <w:tab/>
              <w:t>Każde państwo członkowskie zapewnia, aby każda platforma inspekcyjna uprawniona do działania pod jego banderą, prowadząca działalność w obszarze, o którym mowa w ust. 1</w:t>
            </w:r>
            <w:r w:rsidRPr="00BA08AB">
              <w:rPr>
                <w:b/>
                <w:i/>
              </w:rPr>
              <w:t>, utrzymywała bezpieczny kontakt, w miarę możliwości codziennie, ze wszystkimi pozostałymi platformami inspekcyjnymi działającymi w tym obszarze GFCM w celu wymiany informacji koniecznych do koordynacji działań.</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8.</w:t>
            </w:r>
            <w:r w:rsidRPr="00BA08AB">
              <w:rPr>
                <w:b/>
                <w:i/>
              </w:rPr>
              <w:tab/>
              <w:t>Każde państwo członkowskie prowadzące d</w:t>
            </w:r>
            <w:r w:rsidRPr="00BA08AB">
              <w:rPr>
                <w:b/>
                <w:i/>
              </w:rPr>
              <w:t xml:space="preserve">ziałania inspekcyjne lub nadzorcze w obszarze, o którym mowa w ust. 1, dostarcza na każdą platformę inspekcyjną w momencie jej wejścia na ten obszar sporządzony zgodnie z załącznikiem VII wykaz obserwacji </w:t>
            </w:r>
            <w:r w:rsidRPr="00BA08AB">
              <w:rPr>
                <w:b/>
                <w:i/>
              </w:rPr>
              <w:lastRenderedPageBreak/>
              <w:t>wejść na pokład i inspekcji, które zostały z niej w</w:t>
            </w:r>
            <w:r w:rsidRPr="00BA08AB">
              <w:rPr>
                <w:b/>
                <w:i/>
              </w:rPr>
              <w:t>ykonane w ciągu 10 poprzednich dni, z podaniem dat, współrzędnych geograficznych i innych istotnych informacji”.</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GFCM/46/2023/18.</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 b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-75aa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(36b)</w:t>
            </w:r>
            <w:r w:rsidRPr="00BA08AB">
              <w:rPr>
                <w:b/>
                <w:i/>
              </w:rPr>
              <w:tab/>
              <w:t>Pomiędzy art. 75 i art. 76 dodaje się następujący artykuł:</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-75aa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Przeprowadzanie inspekcji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Inspektorzy wyznaczeni do programu: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w:t>
            </w:r>
            <w:r w:rsidRPr="00BA08AB">
              <w:rPr>
                <w:b/>
                <w:i/>
              </w:rPr>
              <w:tab/>
              <w:t>przed wejściem na pokład powiadamiają statek rybacki o nazwie statku inspekcyjnego;</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b)</w:t>
            </w:r>
            <w:r w:rsidRPr="00BA08AB">
              <w:rPr>
                <w:b/>
                <w:i/>
              </w:rPr>
              <w:tab/>
              <w:t>podnoszą na</w:t>
            </w:r>
            <w:r w:rsidRPr="00BA08AB">
              <w:rPr>
                <w:b/>
                <w:i/>
              </w:rPr>
              <w:t xml:space="preserve"> statku inspekcyjnym oraz na statku, na którego pokład wchodzą, proporzec opisany w załączniku V;</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c)</w:t>
            </w:r>
            <w:r w:rsidRPr="00BA08AB">
              <w:rPr>
                <w:b/>
                <w:i/>
              </w:rPr>
              <w:tab/>
              <w:t>ograniczają skład każdego zespołu inspekcyjnego do najwyżej trzech inspektorów.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 xml:space="preserve">Po wejściu na pokład inspektorzy przedstawiają kapitanowi statku </w:t>
            </w:r>
            <w:r w:rsidRPr="00BA08AB">
              <w:rPr>
                <w:b/>
                <w:i/>
              </w:rPr>
              <w:t>rybackiego legitymacje opisane w załączniku IV. Inspekcje przeprowadza się w jednym z urzędowych języków GFCM oraz, w miarę możliwości, w języku używanym przez kapitana statku rybackiego.</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Inspektorzy sporządzają sprawozdanie z inspekcji w formacie okr</w:t>
            </w:r>
            <w:r w:rsidRPr="00BA08AB">
              <w:rPr>
                <w:b/>
                <w:i/>
              </w:rPr>
              <w:t>eślonym w załączniku VI.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Inspektorzy podpisują sprawozdanie w obecności kapitana statku, który ma prawo dodać do sprawozdania wszelkie uwagi, jakie uzna za odpowiednie, lub zwrócić się o ich dodanie i który również musi sprawozdanie podpisać.</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Kop</w:t>
            </w:r>
            <w:r w:rsidRPr="00BA08AB">
              <w:rPr>
                <w:b/>
                <w:i/>
              </w:rPr>
              <w:t>ie sprawozdania przekazuje się kapitanowi statku oraz organom, którym podlega zespół przeprowadzający inspekcję; organ ten przekazuje kopie organom państwa bandery statku poddawanego inspekcji oraz Komisji lub wyznaczonemu przez nią organowi. Komisja przek</w:t>
            </w:r>
            <w:r w:rsidRPr="00BA08AB">
              <w:rPr>
                <w:b/>
                <w:i/>
              </w:rPr>
              <w:t>azuje kopię sprawozdania do Sekretariatu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 xml:space="preserve">Skład zespołu przeprowadzającego inspekcję i czas jej trwania określa dowódca statku inspekcyjnego po uwzględnieniu wszystkich istotnych okoliczności”.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GFCM/46/2023/18.</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36 c (nowy)</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r w:rsidRPr="00BA08AB">
        <w:rPr>
          <w:rStyle w:val="HideTWBExt"/>
        </w:rPr>
        <w:t>&lt;Article2&gt;</w:t>
      </w:r>
      <w:r w:rsidRPr="00BA08AB">
        <w:t>Artykuł -75ab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(36c)</w:t>
            </w:r>
            <w:r w:rsidRPr="00BA08AB">
              <w:rPr>
                <w:b/>
                <w:i/>
              </w:rPr>
              <w:tab/>
              <w:t>Pomiędzy art. 75 i art. 76 dodaje się następujący artykuł:</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-75ab</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Naruszenia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Do celów niniejszego artykułu za naruszenia </w:t>
            </w:r>
            <w:r w:rsidRPr="00BA08AB">
              <w:rPr>
                <w:b/>
                <w:i/>
              </w:rPr>
              <w:t xml:space="preserve">uznaje się następujące </w:t>
            </w:r>
            <w:r w:rsidRPr="00BA08AB">
              <w:rPr>
                <w:b/>
                <w:i/>
              </w:rPr>
              <w:lastRenderedPageBreak/>
              <w:t>czynności: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w:t>
            </w:r>
            <w:r w:rsidRPr="00BA08AB">
              <w:rPr>
                <w:b/>
                <w:i/>
              </w:rPr>
              <w:tab/>
              <w:t>czynności, o których mowa w art. 3 ust. 1 lit. a), b), c), e), f), g) i h) rozporządzenia (WE) nr 1005/2008;</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b)</w:t>
            </w:r>
            <w:r w:rsidRPr="00BA08AB">
              <w:rPr>
                <w:b/>
                <w:i/>
              </w:rPr>
              <w:tab/>
              <w:t>zakłócanie satelitarnego systemu monitorowania; oraz</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c)</w:t>
            </w:r>
            <w:r w:rsidRPr="00BA08AB">
              <w:rPr>
                <w:b/>
                <w:i/>
              </w:rPr>
              <w:tab/>
              <w:t>prowadzenie działalności bez VMS.</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W przy</w:t>
            </w:r>
            <w:r w:rsidRPr="00BA08AB">
              <w:rPr>
                <w:b/>
                <w:i/>
              </w:rPr>
              <w:t>padku każdego wejścia na pokład i inspekcji statku rybackiego, podczas których inspektorzy wykryją naruszenie, organy państwa członkowskiego bandery statku inspekcyjnego niezwłocznie informują Komisję lub wyznaczony przez nią organ, które powiadamiają bezp</w:t>
            </w:r>
            <w:r w:rsidRPr="00BA08AB">
              <w:rPr>
                <w:b/>
                <w:i/>
              </w:rPr>
              <w:t>ośrednio państwo bandery poddanego inspekcji statku rybackiego i Sekretariat GFCM. Informują one również każdy statek inspekcyjny państwa bandery o statku rybackim, o którym wiadomo, że znajduje się w pobliżu.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 xml:space="preserve">Państwo członkowskie bandery statku </w:t>
            </w:r>
            <w:r w:rsidRPr="00BA08AB">
              <w:rPr>
                <w:b/>
                <w:i/>
              </w:rPr>
              <w:t xml:space="preserve">rybackiego zapewnia, aby po inspekcji, podczas której wykryto naruszenie, zaprzestał on wszelkiej działalności połowowej. Państwo członkowskie bandery wymaga, aby statek rybacki skierował się w ciągu 72 godzin do portu wyznaczonego przez to państwo, gdzie </w:t>
            </w:r>
            <w:r w:rsidRPr="00BA08AB">
              <w:rPr>
                <w:b/>
                <w:i/>
              </w:rPr>
              <w:t>zostanie wszczęte dochodzenie.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W przypadku gdy podczas inspekcji stwierdzone zostanie naruszenie, o działaniach i działaniach następczych podjętych przez państwo członkowskie bandery powiadamia się Komisję lub wyznaczony przez nią organ. Komisja lub w</w:t>
            </w:r>
            <w:r w:rsidRPr="00BA08AB">
              <w:rPr>
                <w:b/>
                <w:i/>
              </w:rPr>
              <w:t>yznaczony przez nią organ przekazuje informacje o podjętych działaniach i działaniach następczych do Sekretariatu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Organy państw członkowskich traktują sprawozdania z inspekcji, o których mowa w art. 30 ust. 3, arkusze sprawozdań z obserwacji okr</w:t>
            </w:r>
            <w:r w:rsidRPr="00BA08AB">
              <w:rPr>
                <w:b/>
                <w:i/>
              </w:rPr>
              <w:t xml:space="preserve">eślone w załączniku VII oraz wnioski wynikające z inspekcji dokumentów dokonanych </w:t>
            </w:r>
            <w:r w:rsidRPr="00BA08AB">
              <w:rPr>
                <w:b/>
                <w:i/>
              </w:rPr>
              <w:lastRenderedPageBreak/>
              <w:t>przez inspektorów w podobny sposób jak sprawozdania i wnioski inspektorów krajowych.”;</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w:t>
      </w:r>
      <w:r w:rsidRPr="00BA08AB">
        <w:t>em GFCM/46/2023/18.</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39</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78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Państwa członkowskie zapewniają, aby całkowita zdolność połowowa floty – pod względem pojemności brutto (GT) </w:t>
            </w:r>
            <w:r w:rsidRPr="00BA08AB">
              <w:rPr>
                <w:b/>
                <w:bCs/>
                <w:i/>
                <w:iCs/>
              </w:rPr>
              <w:t>lub pojemności rejestrowej brutto (GRT)</w:t>
            </w:r>
            <w:r w:rsidRPr="00BA08AB">
              <w:t>, mocy silnika (kW) i liczby statków, zgodnie zar</w:t>
            </w:r>
            <w:r w:rsidRPr="00BA08AB">
              <w:t>ówno z rejestrem krajowym, jak i rejestrem GFCM – nie przekraczała zdolności połowowej floty, uśrednionej dla lat 2018–2021.</w:t>
            </w:r>
          </w:p>
        </w:tc>
        <w:tc>
          <w:tcPr>
            <w:tcW w:w="4876" w:type="dxa"/>
            <w:hideMark/>
          </w:tcPr>
          <w:p w:rsidR="00C6436A" w:rsidRPr="00BA08AB" w:rsidRDefault="00774DE8">
            <w:pPr>
              <w:pStyle w:val="Normal6"/>
              <w:rPr>
                <w:szCs w:val="24"/>
              </w:rPr>
            </w:pPr>
            <w:r w:rsidRPr="00BA08AB">
              <w:t>1.</w:t>
            </w:r>
            <w:r w:rsidRPr="00BA08AB">
              <w:tab/>
              <w:t xml:space="preserve">Państwa członkowskie zapewniają, aby całkowita zdolność połowowa floty – pod względem pojemności brutto (GT), mocy silnika (kW) </w:t>
            </w:r>
            <w:r w:rsidRPr="00BA08AB">
              <w:t>i liczby statków, zgodnie zarówno z rejestrem krajowym, jak i rejestrem GFCM – nie przekraczała zdolności połowowej floty, uśrednionej dla lat 2018–2021.</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GFCM/45/2022/3.</w:t>
      </w:r>
    </w:p>
    <w:p w:rsidR="00C6436A" w:rsidRPr="00BA08AB" w:rsidRDefault="00774DE8" w:rsidP="00C6436A">
      <w:r w:rsidRPr="00BA08AB">
        <w:rPr>
          <w:rStyle w:val="HideTWBExt"/>
        </w:rPr>
        <w:t>&lt;/Amend</w:t>
      </w:r>
      <w:r w:rsidRPr="00BA08AB">
        <w:rPr>
          <w:rStyle w:val="HideTWBExt"/>
        </w:rPr>
        <w:t>&gt;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39</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78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w:t>
            </w:r>
            <w:r w:rsidRPr="00BA08AB">
              <w:t xml:space="preserve">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 xml:space="preserve">Państwa członkowskie dostosowują do uprawnień do połowów całkowitą zdolność połowową floty dokonującej </w:t>
            </w:r>
            <w:r w:rsidRPr="00BA08AB">
              <w:lastRenderedPageBreak/>
              <w:t>połowów morlesza bogara przy użyciu węd ręcznych, sznurów haczykowych i takli mieszanych, pod względem pojemności brutto (GT)</w:t>
            </w:r>
            <w:r w:rsidRPr="00BA08AB">
              <w:t xml:space="preserve"> </w:t>
            </w:r>
            <w:r w:rsidRPr="00BA08AB">
              <w:rPr>
                <w:b/>
                <w:bCs/>
                <w:i/>
                <w:iCs/>
              </w:rPr>
              <w:t>lub pojemności rejestrowej brutto (GRT)</w:t>
            </w:r>
            <w:r w:rsidRPr="00BA08AB">
              <w:t>, mocy silnika (kW) i liczby statków, zgodnie z rejestrami krajowymi i rejestrami GFCM.</w:t>
            </w:r>
          </w:p>
        </w:tc>
        <w:tc>
          <w:tcPr>
            <w:tcW w:w="4876" w:type="dxa"/>
            <w:hideMark/>
          </w:tcPr>
          <w:p w:rsidR="00C6436A" w:rsidRPr="00BA08AB" w:rsidRDefault="00774DE8">
            <w:pPr>
              <w:pStyle w:val="Normal6"/>
              <w:rPr>
                <w:szCs w:val="24"/>
              </w:rPr>
            </w:pPr>
            <w:r w:rsidRPr="00BA08AB">
              <w:lastRenderedPageBreak/>
              <w:t>2.</w:t>
            </w:r>
            <w:r w:rsidRPr="00BA08AB">
              <w:tab/>
              <w:t xml:space="preserve">Państwa członkowskie dostosowują do uprawnień do połowów całkowitą zdolność połowową floty dokonującej </w:t>
            </w:r>
            <w:r w:rsidRPr="00BA08AB">
              <w:lastRenderedPageBreak/>
              <w:t>połowów morlesza bogar</w:t>
            </w:r>
            <w:r w:rsidRPr="00BA08AB">
              <w:t>a przy użyciu węd ręcznych, sznurów haczykowych i takli mieszanych, pod względem pojemności brutto (GT), mocy silnika (kW) i liczby statków, zgodnie z rejestrami krajowymi i rejestrami GFCM.</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GFCM/45/2022/3.</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79 – ustęp 4</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tab/>
              <w:t xml:space="preserve">W przypadku gdy łowiska znajdują się mniej niż </w:t>
            </w:r>
            <w:r w:rsidRPr="00BA08AB">
              <w:rPr>
                <w:b/>
                <w:bCs/>
                <w:i/>
                <w:iCs/>
              </w:rPr>
              <w:t>cztery</w:t>
            </w:r>
            <w:r w:rsidRPr="00BA08AB">
              <w:t xml:space="preserve"> godziny od portu przybycia, rybacy lub ich przedstawiciele mogą przekazać informacje, o których mowa w ust. 4, najpóźniej na godzinę przed przewidywanym czasem przybycia.</w:t>
            </w:r>
          </w:p>
        </w:tc>
        <w:tc>
          <w:tcPr>
            <w:tcW w:w="4876" w:type="dxa"/>
            <w:hideMark/>
          </w:tcPr>
          <w:p w:rsidR="00C6436A" w:rsidRPr="00BA08AB" w:rsidRDefault="00774DE8">
            <w:pPr>
              <w:pStyle w:val="Normal6"/>
              <w:rPr>
                <w:szCs w:val="24"/>
              </w:rPr>
            </w:pPr>
            <w:r w:rsidRPr="00BA08AB">
              <w:t>4.</w:t>
            </w:r>
            <w:r w:rsidRPr="00BA08AB">
              <w:tab/>
              <w:t xml:space="preserve">W przypadku gdy łowiska znajdują się mniej niż </w:t>
            </w:r>
            <w:r w:rsidRPr="00BA08AB">
              <w:rPr>
                <w:b/>
                <w:bCs/>
                <w:i/>
                <w:iCs/>
              </w:rPr>
              <w:t>trzy</w:t>
            </w:r>
            <w:r w:rsidRPr="00BA08AB">
              <w:t xml:space="preserve"> godziny od portu przybycia, r</w:t>
            </w:r>
            <w:r w:rsidRPr="00BA08AB">
              <w:t>ybacy lub ich przedstawiciele mogą przekazać informacje, o których mowa w ust. 3, najpóźniej na godzinę przed przewidywanym czasem przybycia.</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w:t>
      </w:r>
      <w:r w:rsidRPr="00BA08AB">
        <w:t>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79 – ustęp 5</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5.</w:t>
            </w:r>
            <w:r w:rsidRPr="00BA08AB">
              <w:rPr>
                <w:b/>
                <w:i/>
              </w:rPr>
              <w:tab/>
              <w:t>Bez uszczerbku dla art. 14 rozporządzenia (WE)</w:t>
            </w:r>
            <w:r w:rsidRPr="00BA08AB">
              <w:rPr>
                <w:b/>
                <w:i/>
              </w:rPr>
              <w:t xml:space="preserve"> nr 1224/2009, rybacy lub kapitanowie upoważnionych statków aktywnie prowadzących połowy w ramach zakresu stosowania niniejszej </w:t>
            </w:r>
            <w:r w:rsidRPr="00BA08AB">
              <w:rPr>
                <w:b/>
                <w:i/>
              </w:rPr>
              <w:lastRenderedPageBreak/>
              <w:t>sekcji zgłaszają wszystkie dzienne połowy, niezależnie od ich masy w relacji pełnej, i rejestrują lub oceniają szacunkowo połowy</w:t>
            </w:r>
            <w:r w:rsidRPr="00BA08AB">
              <w:rPr>
                <w:b/>
                <w:i/>
              </w:rPr>
              <w:t xml:space="preserve"> tych gatunków.</w:t>
            </w:r>
          </w:p>
        </w:tc>
        <w:tc>
          <w:tcPr>
            <w:tcW w:w="4876" w:type="dxa"/>
            <w:hideMark/>
          </w:tcPr>
          <w:p w:rsidR="00C6436A" w:rsidRPr="00BA08AB" w:rsidRDefault="00774DE8">
            <w:pPr>
              <w:pStyle w:val="Normal6"/>
              <w:rPr>
                <w:szCs w:val="24"/>
              </w:rPr>
            </w:pPr>
            <w:r w:rsidRPr="00BA08AB">
              <w:rPr>
                <w:b/>
                <w:i/>
              </w:rPr>
              <w:lastRenderedPageBreak/>
              <w:t>skreśla się</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Rozporządzenie (WE) nr 1224/2009 ma zastosowanie do wszystkich unijnych rybaków lub kapitanów upoważnionych statków rybackich, więc dodatkowy ustęp nie jest po</w:t>
      </w:r>
      <w:r w:rsidRPr="00BA08AB">
        <w:t>trzebny.</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79 – ustęp 6</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6.</w:t>
            </w:r>
            <w:r w:rsidRPr="00BA08AB">
              <w:tab/>
              <w:t xml:space="preserve">Zabrania się wyładunku lub przeładunku ze statków rybackich wszelkich ilości morlesza bogara złowionego w Morzu Alborańskim w jakimkolwiek miejscu innym niż punkty </w:t>
            </w:r>
            <w:r w:rsidRPr="00BA08AB">
              <w:rPr>
                <w:b/>
                <w:bCs/>
                <w:i/>
                <w:iCs/>
              </w:rPr>
              <w:t>wyładunkowe</w:t>
            </w:r>
            <w:r w:rsidRPr="00BA08AB">
              <w:t xml:space="preserve"> wyznaczone przez państwa członkowsk</w:t>
            </w:r>
            <w:r w:rsidRPr="00BA08AB">
              <w:t>ie.</w:t>
            </w:r>
          </w:p>
        </w:tc>
        <w:tc>
          <w:tcPr>
            <w:tcW w:w="4876" w:type="dxa"/>
            <w:hideMark/>
          </w:tcPr>
          <w:p w:rsidR="00C6436A" w:rsidRPr="00BA08AB" w:rsidRDefault="00774DE8">
            <w:pPr>
              <w:pStyle w:val="Normal6"/>
              <w:rPr>
                <w:szCs w:val="24"/>
              </w:rPr>
            </w:pPr>
            <w:r w:rsidRPr="00BA08AB">
              <w:t>6.</w:t>
            </w:r>
            <w:r w:rsidRPr="00BA08AB">
              <w:tab/>
              <w:t>Zabrania się wyładunku lub przeładunku ze statków rybackich wszelkich ilości morlesza bogara złowionego w Morzu Alborańskim w jakimkolwiek miejscu innym niż punkty wyznaczone przez państwa członkowskie.</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79 – ustęp 10</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w:t>
            </w:r>
            <w:r w:rsidRPr="00BA08AB">
              <w:t>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10.</w:t>
            </w:r>
            <w:r w:rsidRPr="00BA08AB">
              <w:tab/>
              <w:t xml:space="preserve">Niezależnie od art. 9 rozporządzenia (WE) nr 1224/2009 do dnia </w:t>
            </w:r>
            <w:r w:rsidRPr="00BA08AB">
              <w:rPr>
                <w:b/>
                <w:bCs/>
                <w:i/>
                <w:iCs/>
              </w:rPr>
              <w:t>1 stycznia 2024 r.</w:t>
            </w:r>
            <w:r w:rsidRPr="00BA08AB">
              <w:t xml:space="preserve"> wszystkie upoważnione na mocy niniejszego rozdziału statki o długości całkowitej powyżej 10 metrów (LOA) muszą być wyposażone w </w:t>
            </w:r>
            <w:r w:rsidRPr="00BA08AB">
              <w:lastRenderedPageBreak/>
              <w:t>satelitarny system</w:t>
            </w:r>
            <w:r w:rsidRPr="00BA08AB">
              <w:t xml:space="preserve"> monitorowania statków (VMS) lub jakikolwiek inny system geolokalizacji umożliwiający organom kontrolnym śledzenie ich działalności przez cały czas rejsów połowowych. ”;</w:t>
            </w:r>
          </w:p>
        </w:tc>
        <w:tc>
          <w:tcPr>
            <w:tcW w:w="4876" w:type="dxa"/>
            <w:hideMark/>
          </w:tcPr>
          <w:p w:rsidR="00C6436A" w:rsidRPr="00BA08AB" w:rsidRDefault="00774DE8" w:rsidP="00A079CA">
            <w:pPr>
              <w:pStyle w:val="Normal6"/>
              <w:rPr>
                <w:szCs w:val="24"/>
              </w:rPr>
            </w:pPr>
            <w:r w:rsidRPr="00BA08AB">
              <w:lastRenderedPageBreak/>
              <w:t>10.</w:t>
            </w:r>
            <w:r w:rsidRPr="00BA08AB">
              <w:tab/>
              <w:t xml:space="preserve">Niezależnie od art. 9 rozporządzenia (WE) nr 1224/2009 do dnia </w:t>
            </w:r>
            <w:r w:rsidRPr="00BA08AB">
              <w:rPr>
                <w:b/>
                <w:bCs/>
                <w:i/>
                <w:iCs/>
              </w:rPr>
              <w:t xml:space="preserve">[data wejścia w </w:t>
            </w:r>
            <w:r w:rsidRPr="00BA08AB">
              <w:rPr>
                <w:b/>
                <w:bCs/>
                <w:i/>
                <w:iCs/>
              </w:rPr>
              <w:t>życie]</w:t>
            </w:r>
            <w:r w:rsidRPr="00BA08AB">
              <w:t xml:space="preserve"> wszystkie upoważnione na mocy niniejszego rozdziału statki o długości całkowitej powyżej 10 metrów (LOA) muszą być </w:t>
            </w:r>
            <w:r w:rsidRPr="00BA08AB">
              <w:lastRenderedPageBreak/>
              <w:t>wyposażone w satelitarny system monitorowania statków (VMS) lub jakikolwiek inny system geolokalizacji umożliwiający organom kontrolny</w:t>
            </w:r>
            <w:r w:rsidRPr="00BA08AB">
              <w:t>m śledzenie ich działalności przez cały czas rejsów połowowych.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59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42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81</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A079CA">
            <w:pPr>
              <w:pStyle w:val="Normal6"/>
              <w:rPr>
                <w:szCs w:val="24"/>
              </w:rPr>
            </w:pPr>
            <w:r w:rsidRPr="00BA08AB">
              <w:rPr>
                <w:b/>
                <w:i/>
              </w:rPr>
              <w:t>(42a)</w:t>
            </w:r>
            <w:r w:rsidRPr="00BA08AB">
              <w:rPr>
                <w:b/>
                <w:i/>
              </w:rPr>
              <w:tab/>
              <w:t>art. 81 otrzymuje brzmienie:</w:t>
            </w:r>
          </w:p>
        </w:tc>
      </w:tr>
      <w:tr w:rsidR="00F17F65" w:rsidRPr="00BA08AB" w:rsidTr="00C6436A">
        <w:trPr>
          <w:jc w:val="center"/>
        </w:trPr>
        <w:tc>
          <w:tcPr>
            <w:tcW w:w="4876" w:type="dxa"/>
          </w:tcPr>
          <w:p w:rsidR="00CE014B" w:rsidRPr="00BA08AB" w:rsidRDefault="00774DE8">
            <w:pPr>
              <w:pStyle w:val="Normal6"/>
            </w:pPr>
            <w:r w:rsidRPr="00BA08AB">
              <w:t>Artykuł 81</w:t>
            </w:r>
          </w:p>
        </w:tc>
        <w:tc>
          <w:tcPr>
            <w:tcW w:w="4876" w:type="dxa"/>
          </w:tcPr>
          <w:p w:rsidR="00CE014B" w:rsidRPr="00BA08AB" w:rsidRDefault="00774DE8" w:rsidP="00A079CA">
            <w:pPr>
              <w:pStyle w:val="Normal6"/>
            </w:pPr>
            <w:r w:rsidRPr="00BA08AB">
              <w:t>„Artykuł 81</w:t>
            </w:r>
          </w:p>
        </w:tc>
      </w:tr>
      <w:tr w:rsidR="00F17F65" w:rsidRPr="00BA08AB" w:rsidTr="00C6436A">
        <w:trPr>
          <w:jc w:val="center"/>
        </w:trPr>
        <w:tc>
          <w:tcPr>
            <w:tcW w:w="4876" w:type="dxa"/>
          </w:tcPr>
          <w:p w:rsidR="00CE014B" w:rsidRPr="00BA08AB" w:rsidRDefault="00774DE8">
            <w:pPr>
              <w:pStyle w:val="Normal6"/>
            </w:pPr>
            <w:r w:rsidRPr="00BA08AB">
              <w:t>Zakres</w:t>
            </w:r>
          </w:p>
        </w:tc>
        <w:tc>
          <w:tcPr>
            <w:tcW w:w="4876" w:type="dxa"/>
          </w:tcPr>
          <w:p w:rsidR="00CE014B" w:rsidRPr="00BA08AB" w:rsidRDefault="00774DE8" w:rsidP="00A079CA">
            <w:pPr>
              <w:pStyle w:val="Normal6"/>
            </w:pPr>
            <w:r w:rsidRPr="00BA08AB">
              <w:t>Zakres</w:t>
            </w:r>
          </w:p>
        </w:tc>
      </w:tr>
      <w:tr w:rsidR="00F17F65" w:rsidRPr="00BA08AB" w:rsidTr="00C6436A">
        <w:trPr>
          <w:jc w:val="center"/>
        </w:trPr>
        <w:tc>
          <w:tcPr>
            <w:tcW w:w="4876" w:type="dxa"/>
            <w:hideMark/>
          </w:tcPr>
          <w:p w:rsidR="00C6436A" w:rsidRPr="00BA08AB" w:rsidRDefault="00774DE8">
            <w:pPr>
              <w:pStyle w:val="Normal6"/>
            </w:pPr>
            <w:r w:rsidRPr="00BA08AB">
              <w:t xml:space="preserve">Niniejszy rozdział ma zastosowanie do </w:t>
            </w:r>
            <w:r w:rsidRPr="00BA08AB">
              <w:rPr>
                <w:b/>
                <w:bCs/>
                <w:i/>
                <w:iCs/>
              </w:rPr>
              <w:t xml:space="preserve">wszelkiej </w:t>
            </w:r>
            <w:r w:rsidRPr="00BA08AB">
              <w:rPr>
                <w:b/>
                <w:bCs/>
                <w:i/>
                <w:iCs/>
              </w:rPr>
              <w:t>komercyjnej</w:t>
            </w:r>
            <w:r w:rsidRPr="00BA08AB">
              <w:t xml:space="preserve"> </w:t>
            </w:r>
            <w:r w:rsidRPr="00BA08AB">
              <w:rPr>
                <w:b/>
                <w:bCs/>
                <w:i/>
                <w:iCs/>
              </w:rPr>
              <w:t>działalności połowowej ukierunkowanej</w:t>
            </w:r>
            <w:r w:rsidRPr="00BA08AB">
              <w:t xml:space="preserve"> na koryfenę (Coryphaena hippurus) </w:t>
            </w:r>
            <w:r w:rsidRPr="00BA08AB">
              <w:rPr>
                <w:b/>
                <w:bCs/>
                <w:i/>
                <w:iCs/>
              </w:rPr>
              <w:t>prowadzonej</w:t>
            </w:r>
            <w:r w:rsidRPr="00BA08AB">
              <w:t xml:space="preserve"> przy pomocy </w:t>
            </w:r>
            <w:r w:rsidRPr="00BA08AB">
              <w:rPr>
                <w:b/>
                <w:bCs/>
                <w:i/>
                <w:iCs/>
              </w:rPr>
              <w:t>urządzeń do sztucznej koncentracji ryb</w:t>
            </w:r>
            <w:r w:rsidRPr="00BA08AB">
              <w:t xml:space="preserve"> (FAD) </w:t>
            </w:r>
            <w:r w:rsidRPr="00BA08AB">
              <w:rPr>
                <w:b/>
                <w:bCs/>
                <w:i/>
                <w:iCs/>
              </w:rPr>
              <w:t>na całym</w:t>
            </w:r>
            <w:r w:rsidRPr="00BA08AB">
              <w:rPr>
                <w:b/>
                <w:i/>
              </w:rPr>
              <w:t>Morzu Śródziemnym (podobszary geograficzne od 1 do 27).</w:t>
            </w:r>
          </w:p>
        </w:tc>
        <w:tc>
          <w:tcPr>
            <w:tcW w:w="4876" w:type="dxa"/>
            <w:hideMark/>
          </w:tcPr>
          <w:p w:rsidR="00C6436A" w:rsidRPr="00BA08AB" w:rsidRDefault="00774DE8">
            <w:pPr>
              <w:pStyle w:val="Normal6"/>
              <w:rPr>
                <w:szCs w:val="24"/>
              </w:rPr>
            </w:pPr>
            <w:r w:rsidRPr="00BA08AB">
              <w:t xml:space="preserve">Niniejszy rozdział ma zastosowanie do </w:t>
            </w:r>
            <w:r w:rsidRPr="00BA08AB">
              <w:rPr>
                <w:b/>
                <w:bCs/>
                <w:i/>
                <w:iCs/>
              </w:rPr>
              <w:t>połowów pelagicznych w Morzu Śródziemnym ukierunkowanych</w:t>
            </w:r>
            <w:r w:rsidRPr="00BA08AB">
              <w:t xml:space="preserve"> na koryfenę (Coryphaena hippurus) </w:t>
            </w:r>
            <w:r w:rsidRPr="00BA08AB">
              <w:rPr>
                <w:b/>
                <w:bCs/>
                <w:i/>
                <w:iCs/>
              </w:rPr>
              <w:t>prowadzonych</w:t>
            </w:r>
            <w:r w:rsidRPr="00BA08AB">
              <w:t xml:space="preserve"> przy pomocy </w:t>
            </w:r>
            <w:r w:rsidRPr="00BA08AB">
              <w:rPr>
                <w:b/>
                <w:bCs/>
                <w:i/>
                <w:iCs/>
              </w:rPr>
              <w:t>FAD i w ramach połowów rekreacyjnych”.</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w:t>
      </w:r>
      <w:r w:rsidRPr="00BA08AB">
        <w:t>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42 b (nowy)</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r w:rsidRPr="00BA08AB">
        <w:rPr>
          <w:rStyle w:val="HideTWBExt"/>
        </w:rPr>
        <w:t>&lt;Article2&gt;</w:t>
      </w:r>
      <w:r w:rsidRPr="00BA08AB">
        <w:t>Artykuł 83</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A079CA">
            <w:pPr>
              <w:pStyle w:val="Normal6"/>
              <w:rPr>
                <w:szCs w:val="24"/>
              </w:rPr>
            </w:pPr>
            <w:r w:rsidRPr="00BA08AB">
              <w:rPr>
                <w:b/>
                <w:i/>
              </w:rPr>
              <w:t>(42b)</w:t>
            </w:r>
            <w:r w:rsidRPr="00BA08AB">
              <w:rPr>
                <w:b/>
                <w:i/>
              </w:rPr>
              <w:tab/>
              <w:t>art. 83 otrzymuje brzmienie:</w:t>
            </w:r>
          </w:p>
        </w:tc>
      </w:tr>
      <w:tr w:rsidR="00F17F65" w:rsidRPr="00BA08AB" w:rsidTr="00C6436A">
        <w:trPr>
          <w:jc w:val="center"/>
        </w:trPr>
        <w:tc>
          <w:tcPr>
            <w:tcW w:w="4876" w:type="dxa"/>
            <w:hideMark/>
          </w:tcPr>
          <w:p w:rsidR="00C6436A" w:rsidRPr="00BA08AB" w:rsidRDefault="00774DE8">
            <w:pPr>
              <w:pStyle w:val="Normal6"/>
            </w:pPr>
            <w:r w:rsidRPr="00BA08AB">
              <w:t>Państwa członkowskie</w:t>
            </w:r>
            <w:r w:rsidRPr="00BA08AB">
              <w:rPr>
                <w:b/>
                <w:bCs/>
                <w:i/>
                <w:iCs/>
              </w:rPr>
              <w:t xml:space="preserve"> rozważające rozpoczęcie połowów ukierunkowanych na koryfenę przy pomocy FAD przedstawiają Komisji swoje środki krajowe po ich przyjęciu, a Komisja niezwłocznie informuje o nich Sekretariat GFCM.</w:t>
            </w:r>
          </w:p>
        </w:tc>
        <w:tc>
          <w:tcPr>
            <w:tcW w:w="4876" w:type="dxa"/>
            <w:hideMark/>
          </w:tcPr>
          <w:p w:rsidR="00C6436A" w:rsidRPr="00BA08AB" w:rsidRDefault="00774DE8">
            <w:pPr>
              <w:pStyle w:val="Normal6"/>
              <w:rPr>
                <w:szCs w:val="24"/>
              </w:rPr>
            </w:pPr>
            <w:r w:rsidRPr="00BA08AB">
              <w:rPr>
                <w:b/>
                <w:bCs/>
                <w:i/>
                <w:iCs/>
              </w:rPr>
              <w:t>„W okresie przejściowym</w:t>
            </w:r>
            <w:r w:rsidRPr="00BA08AB">
              <w:t xml:space="preserve"> państwa członkowskie </w:t>
            </w:r>
            <w:r w:rsidRPr="00BA08AB">
              <w:rPr>
                <w:b/>
                <w:bCs/>
                <w:i/>
                <w:iCs/>
              </w:rPr>
              <w:t>zapewniają usta</w:t>
            </w:r>
            <w:r w:rsidRPr="00BA08AB">
              <w:rPr>
                <w:b/>
                <w:bCs/>
                <w:i/>
                <w:iCs/>
              </w:rPr>
              <w:t>nowienie limitu połowowego na podstawie wyładunków zgłoszonych GFCM w następujący sposób:</w:t>
            </w:r>
            <w:r w:rsidRPr="00BA08AB">
              <w:rPr>
                <w:b/>
                <w:i/>
              </w:rPr>
              <w:t xml:space="preserve"> (i) na podstawie średniej wyładunków z dowolnych dwóch lat w okresie 2018–2022 lub (ii) na podstawie wyładunków w 2022 r.”</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w:t>
      </w:r>
      <w:r w:rsidRPr="00BA08AB">
        <w:t>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Artykuł 1 – akapit 1 – </w:t>
      </w:r>
      <w:r w:rsidRPr="00BA08AB">
        <w:t>punkt 42 c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84 – ustęp 2 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A079CA">
            <w:pPr>
              <w:pStyle w:val="Normal6"/>
              <w:rPr>
                <w:szCs w:val="24"/>
              </w:rPr>
            </w:pPr>
            <w:r w:rsidRPr="00BA08AB">
              <w:rPr>
                <w:b/>
                <w:i/>
              </w:rPr>
              <w:t>(42c)</w:t>
            </w:r>
            <w:r w:rsidRPr="00BA08AB">
              <w:rPr>
                <w:b/>
                <w:i/>
              </w:rPr>
              <w:tab/>
              <w:t>W art. 84 wprowadza się ustęp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„2a.</w:t>
            </w:r>
            <w:r w:rsidRPr="00BA08AB">
              <w:rPr>
                <w:b/>
                <w:i/>
              </w:rPr>
              <w:tab/>
              <w:t xml:space="preserve">Państwa członkowskie </w:t>
            </w:r>
            <w:r w:rsidRPr="00BA08AB">
              <w:rPr>
                <w:b/>
                <w:i/>
              </w:rPr>
              <w:t>przekazują swoje dane krajowe (określone w załączniku XXV) do Sekretariatu GFCM nie później niż do dnia 31 lipca każdego roku kalendarzowego”.</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w:t>
      </w:r>
      <w:r w:rsidRPr="00BA08AB">
        <w:t>oprawka</w:t>
      </w:r>
      <w:r w:rsidRPr="00BA08AB">
        <w:tab/>
      </w:r>
      <w:r w:rsidRPr="00BA08AB">
        <w:tab/>
      </w:r>
      <w:r w:rsidRPr="00BA08AB">
        <w:rPr>
          <w:rStyle w:val="HideTWBExt"/>
        </w:rPr>
        <w:t>&lt;NumAm&gt;</w:t>
      </w:r>
      <w:r w:rsidRPr="00774DE8">
        <w:t>62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42 d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85</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A079CA">
            <w:pPr>
              <w:pStyle w:val="Normal6"/>
              <w:rPr>
                <w:szCs w:val="24"/>
              </w:rPr>
            </w:pPr>
            <w:r w:rsidRPr="00BA08AB">
              <w:rPr>
                <w:b/>
                <w:i/>
              </w:rPr>
              <w:t>(42d)</w:t>
            </w:r>
            <w:r w:rsidRPr="00BA08AB">
              <w:rPr>
                <w:b/>
                <w:i/>
              </w:rPr>
              <w:tab/>
              <w:t>art. 85 otrzymuje brzmienie:</w:t>
            </w:r>
          </w:p>
        </w:tc>
      </w:tr>
      <w:tr w:rsidR="00F17F65" w:rsidRPr="00BA08AB" w:rsidTr="00C6436A">
        <w:trPr>
          <w:jc w:val="center"/>
        </w:trPr>
        <w:tc>
          <w:tcPr>
            <w:tcW w:w="4876" w:type="dxa"/>
            <w:hideMark/>
          </w:tcPr>
          <w:p w:rsidR="00C6436A" w:rsidRPr="00BA08AB" w:rsidRDefault="00774DE8">
            <w:pPr>
              <w:pStyle w:val="Normal6"/>
              <w:rPr>
                <w:b/>
                <w:i/>
              </w:rPr>
            </w:pPr>
            <w:r w:rsidRPr="00BA08AB">
              <w:t xml:space="preserve">Państwa członkowskie </w:t>
            </w:r>
            <w:r w:rsidRPr="00BA08AB">
              <w:rPr>
                <w:b/>
                <w:bCs/>
                <w:i/>
                <w:iCs/>
              </w:rPr>
              <w:t>prowadzące ukierunkowane połowy koryfeny przy pomocy FAD i nieposiadające krajowych środków zarządzania</w:t>
            </w:r>
            <w:r w:rsidRPr="00BA08AB">
              <w:t xml:space="preserve"> przyjmują </w:t>
            </w:r>
            <w:r w:rsidRPr="00BA08AB">
              <w:rPr>
                <w:b/>
                <w:bCs/>
                <w:i/>
                <w:iCs/>
              </w:rPr>
              <w:t>krajowe</w:t>
            </w:r>
            <w:r w:rsidRPr="00BA08AB">
              <w:t xml:space="preserve"> środki zarządzania </w:t>
            </w:r>
            <w:r w:rsidRPr="00BA08AB">
              <w:rPr>
                <w:b/>
                <w:bCs/>
                <w:i/>
                <w:iCs/>
              </w:rPr>
              <w:t>obejmujące co najmniej zestaw środków zawierających elem</w:t>
            </w:r>
            <w:r w:rsidRPr="00BA08AB">
              <w:rPr>
                <w:b/>
                <w:bCs/>
                <w:i/>
                <w:iCs/>
              </w:rPr>
              <w:t>enty wymienione w załączniku IX</w:t>
            </w:r>
            <w:r w:rsidRPr="00BA08AB">
              <w:t>.</w:t>
            </w:r>
          </w:p>
        </w:tc>
        <w:tc>
          <w:tcPr>
            <w:tcW w:w="4876" w:type="dxa"/>
            <w:hideMark/>
          </w:tcPr>
          <w:p w:rsidR="00C6436A" w:rsidRPr="00BA08AB" w:rsidRDefault="00774DE8">
            <w:pPr>
              <w:pStyle w:val="Normal6"/>
              <w:rPr>
                <w:szCs w:val="24"/>
              </w:rPr>
            </w:pPr>
            <w:r w:rsidRPr="00BA08AB">
              <w:rPr>
                <w:b/>
                <w:i/>
              </w:rPr>
              <w:t>„1.</w:t>
            </w:r>
            <w:r w:rsidRPr="00BA08AB">
              <w:rPr>
                <w:b/>
                <w:i/>
              </w:rPr>
              <w:tab/>
            </w:r>
            <w:r w:rsidRPr="00BA08AB">
              <w:rPr>
                <w:b/>
                <w:bCs/>
                <w:i/>
                <w:iCs/>
              </w:rPr>
              <w:t>Aby zapewnić odpowiednią ochronę koryfeny,</w:t>
            </w:r>
            <w:r w:rsidRPr="00BA08AB">
              <w:t xml:space="preserve"> państwa członkowskie przyjmują środki zarządzania</w:t>
            </w:r>
            <w:r w:rsidRPr="00BA08AB">
              <w:rPr>
                <w:b/>
                <w:bCs/>
                <w:i/>
                <w:iCs/>
              </w:rPr>
              <w:t xml:space="preserve"> rybołówstwem lub krajowe plany zarządzania w podobszarach geograficznych 1–27</w:t>
            </w:r>
            <w:r w:rsidRPr="00BA08AB">
              <w:t>.</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 xml:space="preserve">Państwa członkowskie powiadamiają </w:t>
            </w:r>
            <w:r w:rsidRPr="00BA08AB">
              <w:rPr>
                <w:b/>
                <w:i/>
              </w:rPr>
              <w:t>Sekretariat GFCM o środkach zarządzania lub planach zarządzania przyjętych na szczeblu krajowym. W stosownych przypadkach, jeżeli środki te zostaną zmienione, państwa członkowskie informują o takich zmianach do dnia 30 kwietnia następnego roku”.</w:t>
            </w:r>
          </w:p>
        </w:tc>
      </w:tr>
    </w:tbl>
    <w:p w:rsidR="00C6436A" w:rsidRPr="00BA08AB" w:rsidRDefault="00774DE8" w:rsidP="00C6436A">
      <w:pPr>
        <w:pStyle w:val="Olang"/>
      </w:pPr>
      <w:r w:rsidRPr="00BA08AB">
        <w:rPr>
          <w:noProof w:val="0"/>
        </w:rPr>
        <w:t xml:space="preserve">Or. </w:t>
      </w:r>
      <w:r w:rsidRPr="00BA08AB">
        <w:rPr>
          <w:rStyle w:val="HideTWBExt"/>
          <w:noProof w:val="0"/>
        </w:rPr>
        <w:t>&lt;Orig</w:t>
      </w:r>
      <w:r w:rsidRPr="00BA08AB">
        <w:rPr>
          <w:rStyle w:val="HideTWBExt"/>
          <w:noProof w:val="0"/>
        </w:rPr>
        <w:t>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43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86 – ustęp -1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(43a)</w:t>
            </w:r>
            <w:r w:rsidRPr="00BA08AB">
              <w:rPr>
                <w:b/>
                <w:i/>
              </w:rPr>
              <w:tab/>
              <w:t xml:space="preserve">W art. 86 wprowadza się ustęp </w:t>
            </w:r>
            <w:r w:rsidRPr="00BA08AB">
              <w:rPr>
                <w:b/>
                <w:i/>
              </w:rPr>
              <w:t>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Państwa członkowskie zapewniają, </w:t>
            </w:r>
            <w:r w:rsidRPr="00BA08AB">
              <w:rPr>
                <w:b/>
                <w:i/>
              </w:rPr>
              <w:lastRenderedPageBreak/>
              <w:t>aby całkowita zdolność połowowa</w:t>
            </w:r>
            <w:r w:rsidRPr="00BA08AB">
              <w:rPr>
                <w:b/>
                <w:bCs/>
                <w:i/>
                <w:iCs/>
              </w:rPr>
              <w:t xml:space="preserve"> flot prowadzących połowy przy użyciu FAD i aktywnie poławiających kluczowe stada</w:t>
            </w:r>
            <w:r w:rsidRPr="00BA08AB">
              <w:rPr>
                <w:b/>
                <w:i/>
              </w:rPr>
              <w:t xml:space="preserve"> – pod względem pojemności brutto (GT), mocy silnika (kW) i liczby statków, zgodnie zarówno</w:t>
            </w:r>
            <w:r w:rsidRPr="00BA08AB">
              <w:rPr>
                <w:b/>
                <w:i/>
              </w:rPr>
              <w:t xml:space="preserve"> z rejestrem krajowym, jak i rejestrem GFCM – nie przekraczała w okresie obowiązywania niniejszego zalecenia zdolności połowowej dla koryfeny w odniesieniu do połowów przy pomocy FAD w 2019 r.”</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44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w:t>
      </w:r>
      <w:r w:rsidRPr="00BA08AB">
        <w:rPr>
          <w:rStyle w:val="HideTWBExt"/>
        </w:rPr>
        <w:t>end2&gt;</w:t>
      </w:r>
    </w:p>
    <w:p w:rsidR="00C6436A" w:rsidRPr="00BA08AB" w:rsidRDefault="00774DE8" w:rsidP="00C6436A">
      <w:r w:rsidRPr="00BA08AB">
        <w:rPr>
          <w:rStyle w:val="HideTWBExt"/>
        </w:rPr>
        <w:t>&lt;Article2&gt;</w:t>
      </w:r>
      <w:r w:rsidRPr="00BA08AB">
        <w:t>Artykuł 88 – ustęp 3 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893113">
            <w:pPr>
              <w:pStyle w:val="Normal6"/>
              <w:rPr>
                <w:szCs w:val="24"/>
              </w:rPr>
            </w:pPr>
            <w:r w:rsidRPr="00BA08AB">
              <w:rPr>
                <w:b/>
                <w:i/>
              </w:rPr>
              <w:t>(44a)</w:t>
            </w:r>
            <w:r w:rsidRPr="00BA08AB">
              <w:rPr>
                <w:b/>
                <w:i/>
              </w:rPr>
              <w:tab/>
              <w:t>w art. 88 wprowadza się ustęp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„3a.</w:t>
            </w:r>
            <w:r w:rsidRPr="00BA08AB">
              <w:rPr>
                <w:b/>
                <w:i/>
              </w:rPr>
              <w:tab/>
              <w:t>Począwszy od pierwszego dnia okresu otwartego dla FAD w 2027 r. FAD powinny być tworzone wyłącznie</w:t>
            </w:r>
            <w:r w:rsidRPr="00BA08AB">
              <w:rPr>
                <w:b/>
                <w:i/>
              </w:rPr>
              <w:t xml:space="preserve"> z materiałów biodegradowalnych, aby zapewnić, że utracone FAD nie przyczynią się jeszcze bardziej do zanieczyszczenia mórz tworzywami sztucznymi.”;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65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88 – ustęp 6</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w:t>
            </w:r>
            <w:r w:rsidRPr="00BA08AB">
              <w:t>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6.</w:t>
            </w:r>
            <w:r w:rsidRPr="00BA08AB">
              <w:tab/>
            </w:r>
            <w:r w:rsidRPr="00BA08AB">
              <w:rPr>
                <w:b/>
                <w:bCs/>
                <w:i/>
                <w:iCs/>
              </w:rPr>
              <w:t>Bez uszczerbku dla bardziej rygorystycznych przepisów określonych w art. 14 ust. 7 i art. 48 rozporządzenia (WE) nr 1224/2009,</w:t>
            </w:r>
            <w:r w:rsidRPr="00BA08AB">
              <w:t xml:space="preserve"> w przypadku utraty lub niemożności zaciągnięcia urządzenia do sztucznej koncentracji ryb, rybacy lub k</w:t>
            </w:r>
            <w:r w:rsidRPr="00BA08AB">
              <w:t>apitanowie statków rybackich rejestrują ostatnią znaną pozycję i jej datę. Statki rybackie eksploatujące koryfenę gromadzą i przekazują dane dotyczące ostatniej odnotowanej pozycji utraconego FAD, jak również datę ostatniej odnotowanej pozycji, numer ident</w:t>
            </w:r>
            <w:r w:rsidRPr="00BA08AB">
              <w:t>yfikacyjny narzędzia i wszelkie informacje umożliwiające identyfikację właściciela FAD.”;</w:t>
            </w:r>
          </w:p>
        </w:tc>
        <w:tc>
          <w:tcPr>
            <w:tcW w:w="4876" w:type="dxa"/>
            <w:hideMark/>
          </w:tcPr>
          <w:p w:rsidR="00C6436A" w:rsidRPr="00BA08AB" w:rsidRDefault="00774DE8">
            <w:pPr>
              <w:pStyle w:val="Normal6"/>
              <w:rPr>
                <w:szCs w:val="24"/>
              </w:rPr>
            </w:pPr>
            <w:r w:rsidRPr="00BA08AB">
              <w:t>6.</w:t>
            </w:r>
            <w:r w:rsidRPr="00BA08AB">
              <w:tab/>
              <w:t>W przypadku utraty lub niemożności zaciągnięcia FAD rybacy lub kapitanowie statków rejestrują jego ostatnią znaną pozycję i jej datę. Statki rybackie eksploatujące</w:t>
            </w:r>
            <w:r w:rsidRPr="00BA08AB">
              <w:t xml:space="preserve"> koryfenę gromadzą i przekazują dane dotyczące ostatniej odnotowanej pozycji utraconego FAD, jak również datę ostatniej odnotowanej pozycji, numer identyfikacyjny narzędzia i wszelkie informacje umożliwiające identyfikację właściciela FAD.”;</w:t>
            </w:r>
          </w:p>
        </w:tc>
      </w:tr>
    </w:tbl>
    <w:p w:rsidR="00C6436A" w:rsidRPr="00BA08AB" w:rsidRDefault="00774DE8" w:rsidP="00C6436A">
      <w:pPr>
        <w:pStyle w:val="Olang"/>
      </w:pPr>
      <w:r w:rsidRPr="00BA08AB">
        <w:rPr>
          <w:noProof w:val="0"/>
        </w:rPr>
        <w:t xml:space="preserve">Or. </w:t>
      </w:r>
      <w:r w:rsidRPr="00BA08AB">
        <w:rPr>
          <w:rStyle w:val="HideTWBExt"/>
          <w:noProof w:val="0"/>
        </w:rPr>
        <w:t>&lt;Original</w:t>
      </w:r>
      <w:r w:rsidRPr="00BA08AB">
        <w:rPr>
          <w:rStyle w:val="HideTWBExt"/>
          <w:noProof w:val="0"/>
        </w:rPr>
        <w:t>&gt;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FAD nie są uznawane za narzędzia połowowe w art. 14 ust. 7 i art. 48 rozporządzenia (WE) 1224/2009. Art. 14 ust. 7 i art. 48 rozporządzenia (WE) 1224/2009 dotyczą wyłącznie utraconych narzędzi </w:t>
      </w:r>
      <w:r w:rsidRPr="00BA08AB">
        <w:t>połowowych.</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89</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893113">
            <w:pPr>
              <w:pStyle w:val="Normal6"/>
              <w:rPr>
                <w:szCs w:val="24"/>
              </w:rPr>
            </w:pPr>
            <w:r w:rsidRPr="00BA08AB">
              <w:rPr>
                <w:b/>
                <w:i/>
              </w:rPr>
              <w:t>(45a)</w:t>
            </w:r>
            <w:r w:rsidRPr="00BA08AB">
              <w:rPr>
                <w:b/>
                <w:i/>
              </w:rPr>
              <w:tab/>
              <w:t>w art. 89 dodaje się ustępy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 xml:space="preserve">Państwa członkowskie zapewniają, aby statki rybackie pływające pod ich banderą i eksploatujące koryfenę rejestrowały swoją działalność połowową </w:t>
            </w:r>
            <w:r w:rsidRPr="00BA08AB">
              <w:rPr>
                <w:b/>
                <w:i/>
              </w:rPr>
              <w:lastRenderedPageBreak/>
              <w:t xml:space="preserve">przy użyciu </w:t>
            </w:r>
            <w:r w:rsidRPr="00BA08AB">
              <w:rPr>
                <w:b/>
                <w:i/>
              </w:rPr>
              <w:t>FAD.</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W przypadku utraty FAD państwa członkowskie zapewniają, aby statki pływające pod ich banderą gromadziły i przekazywały dane dotyczące ostatniej odnotowanej pozycji utraconego FAD, jak również datę ostatniej odnotowanej pozycji, numer identyfikacy</w:t>
            </w:r>
            <w:r w:rsidRPr="00BA08AB">
              <w:rPr>
                <w:b/>
                <w:i/>
              </w:rPr>
              <w:t>jny narzędzia i wszelkie informacje umożliwiające identyfikację właściciela FAD.</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 xml:space="preserve">Najpóźniej do 2032 r. GFCM przyjmie przepisy wykonawcze dotyczące identyfikacji i oznakowania FAD”.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 b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 xml:space="preserve">Artykuł </w:t>
      </w:r>
      <w:r w:rsidRPr="00BA08AB">
        <w:t>89a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(45b)</w:t>
            </w:r>
            <w:r w:rsidRPr="00BA08AB">
              <w:rPr>
                <w:b/>
                <w:i/>
              </w:rPr>
              <w:tab/>
              <w:t>w tytule II rozdział VII 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89a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Szczególne środki służące zwalczaniu nielegalnych, nieraportowanych i nieuregulowanych połowów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Każde </w:t>
            </w:r>
            <w:r w:rsidRPr="00BA08AB">
              <w:rPr>
                <w:b/>
                <w:i/>
              </w:rPr>
              <w:t>państwo członkowskie zapewnia ustanowienie odpowiednich mechanizmów rejestrowania każdego statku rybackiego w krajowym rejestrze floty rybackiej, rejestrowania połowów i nakładu połowowego statków w dzienniku połowowym, a także monitorowania działalności s</w:t>
            </w:r>
            <w:r w:rsidRPr="00BA08AB">
              <w:rPr>
                <w:b/>
                <w:i/>
              </w:rPr>
              <w:t xml:space="preserve">tatków rybackich i wyładunków poprzez badania i pobieranie prób z połowów i nakładu połowowego, zgodnie z zasadami </w:t>
            </w:r>
            <w:r w:rsidRPr="00BA08AB">
              <w:rPr>
                <w:b/>
                <w:i/>
              </w:rPr>
              <w:lastRenderedPageBreak/>
              <w:t>określonymi przez każde państwo członkowskie.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 xml:space="preserve">Każde państwo członkowskie wyznacza punkty wyładunkowe, w których ma miejsce wyładunek ze </w:t>
            </w:r>
            <w:r w:rsidRPr="00BA08AB">
              <w:rPr>
                <w:b/>
                <w:i/>
              </w:rPr>
              <w:t>statków aktywnie prowadzących połowy kluczowego stada w Morzu Śródziemnym.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Dla każdego wyznaczonego portu zainteresowane państwa członkowskie określają czas i miejsce dozwolonego wyładunku i przeładunku.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Państwa członkowskie prowadzą inspekcje na</w:t>
            </w:r>
            <w:r w:rsidRPr="00BA08AB">
              <w:rPr>
                <w:b/>
                <w:i/>
              </w:rPr>
              <w:t xml:space="preserve"> podstawie analizy ryzyka. Zabrania się wyładunku lub przeładunku ze statków rybackich wszelkich ilości koryfeny złowionej w Morzu Śródziemnym w jakimkolwiek miejscu innym niż punkty wyznaczone przez państwa członkowskie.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 xml:space="preserve">Do dnia 30 listopada każdego </w:t>
            </w:r>
            <w:r w:rsidRPr="00BA08AB">
              <w:rPr>
                <w:b/>
                <w:i/>
              </w:rPr>
              <w:t>roku państwa członkowskie przekazują Sekretariatowi GFCM wszelkie zmiany w wykazie wyznaczonych punktów wyładunkowych, w których mogą mieć miejsce wyładunki kluczowego stada w Morzu Śródziemnym.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Państwa członkowskie będące stronami angażują się we wsp</w:t>
            </w:r>
            <w:r w:rsidRPr="00BA08AB">
              <w:rPr>
                <w:b/>
                <w:i/>
              </w:rPr>
              <w:t>ółpracę w zakresie zwalczania nielegalnych, nieraportowanych i nieuregulowanych połowów, w szczególności poprzez wymianę informacji i zbieranie danych wywiadowczych w celu zwalczania nielegalnej działalności”.</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w:t>
      </w:r>
      <w:r w:rsidRPr="00BA08AB">
        <w:t>asadnienie</w:t>
      </w:r>
      <w:r w:rsidRPr="00BA08AB">
        <w:rPr>
          <w:rStyle w:val="HideTWBExt"/>
          <w:i w:val="0"/>
        </w:rPr>
        <w:t>&lt;/TitreJust&gt;</w:t>
      </w:r>
    </w:p>
    <w:p w:rsidR="00C6436A" w:rsidRPr="00BA08AB" w:rsidRDefault="00774DE8" w:rsidP="00C6436A">
      <w:pPr>
        <w:pStyle w:val="Normal12Italic"/>
        <w:rPr>
          <w:noProof w:val="0"/>
        </w:rPr>
      </w:pPr>
      <w:r w:rsidRPr="00BA08AB">
        <w:t>Zalecenie GFCM/46/2023/14.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 c (nowy)</w:t>
      </w:r>
      <w:r w:rsidRPr="00BA08AB">
        <w:rPr>
          <w:rStyle w:val="HideTWBExt"/>
        </w:rPr>
        <w:t>&lt;/Article&gt;</w:t>
      </w:r>
    </w:p>
    <w:p w:rsidR="00C6436A" w:rsidRPr="00BA08AB" w:rsidRDefault="00774DE8" w:rsidP="00C6436A">
      <w:pPr>
        <w:keepNext/>
      </w:pPr>
      <w:r w:rsidRPr="00BA08AB">
        <w:rPr>
          <w:rStyle w:val="HideTWBExt"/>
        </w:rPr>
        <w:lastRenderedPageBreak/>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89 b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(45c)</w:t>
            </w:r>
            <w:r w:rsidRPr="00BA08AB">
              <w:rPr>
                <w:b/>
                <w:i/>
              </w:rPr>
              <w:tab/>
              <w:t>w tytule II rozdział VII 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89b</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Międzynarodowy wspólny program inspekcji i nadzoru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Państwa członkowskie </w:t>
            </w:r>
            <w:r w:rsidRPr="00BA08AB">
              <w:rPr>
                <w:b/>
                <w:i/>
              </w:rPr>
              <w:t>mogą przeprowadzać działania inspekcyjne i nadzorcze w ramach międzynarodowego wspólnego programu inspekcji i nadzoru („program”), obejmującego wody poza jurysdykcją krajową w podobszarach geograficznych GFCM 1–27 (Morze Śródziemne), jak określono w załącz</w:t>
            </w:r>
            <w:r w:rsidRPr="00BA08AB">
              <w:rPr>
                <w:b/>
                <w:i/>
              </w:rPr>
              <w:t>niku I („obszar inspekcji i nadzoru”).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Państwa członkowskie mogą wyznaczyć inspektorów i środki inspekcji i przeprowadzać inspekcje w ramach programu. Komisja lub wyznaczony przez nią organ mogą również wyznaczać inspektorów unijnych na potrzeby progr</w:t>
            </w:r>
            <w:r w:rsidRPr="00BA08AB">
              <w:rPr>
                <w:b/>
                <w:i/>
              </w:rPr>
              <w:t>amu.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Komisja lub wyznaczony przez nią organ koordynują w imieniu Unii działalność w zakresie nadzoru i inspekcji oraz mogą opracować w koordynacji z zainteresowanymi państwami członkowskimi wspólny plan rozmieszczenia umożliwiający Unii uczestnictwo w</w:t>
            </w:r>
            <w:r w:rsidRPr="00BA08AB">
              <w:rPr>
                <w:b/>
                <w:i/>
              </w:rPr>
              <w:t xml:space="preserve"> programie. Państwa członkowskie przyjmują niezbędne środki mające na celu ułatwienie wykonywania tych planów, w szczególności w odniesieniu do wymaganych zasobów ludzkich i materialnych oraz do okresów i obszarów geograficznych, w których zasoby te mają b</w:t>
            </w:r>
            <w:r w:rsidRPr="00BA08AB">
              <w:rPr>
                <w:b/>
                <w:i/>
              </w:rPr>
              <w:t>yć wykorzystane.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 xml:space="preserve">Każde państwo członkowskie przekazuje Komisji lub wyznaczonemu przez nią organowi, nie później niż dnia 15 listopada każdego roku, wykaz imion i nazwisk inspektorów uprawnionych do przeprowadzania inspekcji i nadzoru na </w:t>
            </w:r>
            <w:r w:rsidRPr="00BA08AB">
              <w:rPr>
                <w:b/>
                <w:i/>
              </w:rPr>
              <w:lastRenderedPageBreak/>
              <w:t>obszarze, o kt</w:t>
            </w:r>
            <w:r w:rsidRPr="00BA08AB">
              <w:rPr>
                <w:b/>
                <w:i/>
              </w:rPr>
              <w:t>órym mowa w ust. 1, jak również nazwy statków i samolotów wykorzystywanych do inspekcji i nadzoru, które zamierzają przydzielić do programu na następny rok. Komisja lub wyznaczony przez nią organ przesyła te informacje Sekretariatowi GFCM do dnia 1 grudnia</w:t>
            </w:r>
            <w:r w:rsidRPr="00BA08AB">
              <w:rPr>
                <w:b/>
                <w:i/>
              </w:rPr>
              <w:t xml:space="preserve"> każdego roku lub jak najszybciej przed rozpoczęciem inspekcji.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Inspektorzy wyznaczeni do programu posiadają legitymację inspektora GFCM wydaną przez właściwe organy, która jest zgodna z wzorem określonym w załączniku IV.</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Statki wykonujące zadani</w:t>
            </w:r>
            <w:r w:rsidRPr="00BA08AB">
              <w:rPr>
                <w:b/>
                <w:i/>
              </w:rPr>
              <w:t>a w zakresie międzynarodowych wejść na statek i inspekcji zgodnie z programem podnoszą specjalną banderę lub proporzec, zgodnie z opisem w załączniku V.</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7.</w:t>
            </w:r>
            <w:r w:rsidRPr="00BA08AB">
              <w:rPr>
                <w:b/>
                <w:i/>
              </w:rPr>
              <w:tab/>
              <w:t>Każde państwo członkowskie zapewnia, aby każda platforma inspekcyjna uprawniona do działania pod j</w:t>
            </w:r>
            <w:r w:rsidRPr="00BA08AB">
              <w:rPr>
                <w:b/>
                <w:i/>
              </w:rPr>
              <w:t>ego banderą, prowadząca działalność w obszarze, o którym mowa w ust. 1, utrzymywała bezpieczny kontakt, w miarę możliwości codziennie, ze wszystkimi pozostałymi platformami inspekcyjnymi działającymi w tym obszarze GFCM w celu wymiany informacji koniecznyc</w:t>
            </w:r>
            <w:r w:rsidRPr="00BA08AB">
              <w:rPr>
                <w:b/>
                <w:i/>
              </w:rPr>
              <w:t>h do koordynacji działań.</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8.</w:t>
            </w:r>
            <w:r w:rsidRPr="00BA08AB">
              <w:rPr>
                <w:b/>
                <w:i/>
              </w:rPr>
              <w:tab/>
              <w:t>Każde państwo członkowskie prowadzące działania inspekcyjne lub nadzorcze w obszarze, o którym mowa w ust. 1, dostarcza na każdą platformę inspekcyjną w momencie jej wejścia w ten obszar sporządzony zgodnie z załącznikiem VII</w:t>
            </w:r>
            <w:r w:rsidRPr="00BA08AB">
              <w:rPr>
                <w:b/>
                <w:i/>
              </w:rPr>
              <w:t xml:space="preserve"> wykaz obserwacji wejść na pokład i inspekcji, które zostały z niej wykonane w ciągu 10 poprzednich dni, z podaniem dat, współrzędnych geograficznych i innych istotnych informacji.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lastRenderedPageBreak/>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69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 d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 xml:space="preserve">Artykuł </w:t>
      </w:r>
      <w:r w:rsidRPr="00BA08AB">
        <w:t>89 c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CE014B">
            <w:pPr>
              <w:pStyle w:val="Normal6"/>
              <w:rPr>
                <w:szCs w:val="24"/>
              </w:rPr>
            </w:pPr>
            <w:r w:rsidRPr="00BA08AB">
              <w:rPr>
                <w:b/>
                <w:i/>
              </w:rPr>
              <w:t>(45d)</w:t>
            </w:r>
            <w:r w:rsidRPr="00BA08AB">
              <w:rPr>
                <w:b/>
                <w:i/>
              </w:rPr>
              <w:tab/>
              <w:t>w tytule II rozdział VII 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89c</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Przeprowadzanie inspekcji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Inspektorzy wyznaczeni do programu: a) przed wejściem na pokład powiadamiają </w:t>
            </w:r>
            <w:r w:rsidRPr="00BA08AB">
              <w:rPr>
                <w:b/>
                <w:i/>
              </w:rPr>
              <w:t>statek rybacki o nazwie statku inspekcyjnego; b) podnoszą na statku inspekcyjnym oraz na statku, na którego pokład wchodzą, proporzec opisany w załączniku V; c) ograniczają skład każdego zespołu inspekcyjnego do najwyżej trzech inspektorów.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Po wejściu</w:t>
            </w:r>
            <w:r w:rsidRPr="00BA08AB">
              <w:rPr>
                <w:b/>
                <w:i/>
              </w:rPr>
              <w:t xml:space="preserve"> na pokład inspektorzy przedstawiają kapitanowi statku rybackiego legitymacje opisane w załączniku IV. Inspekcje przeprowadza się w jednym z urzędowych języków GFCM oraz, w miarę możliwości, w języku używanym przez kapitana statku rybackiego.</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Inspekto</w:t>
            </w:r>
            <w:r w:rsidRPr="00BA08AB">
              <w:rPr>
                <w:b/>
                <w:i/>
              </w:rPr>
              <w:t>rzy sporządzają sprawozdanie z inspekcji w formacie określonym w załączniku VI.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Inspektorzy podpisują sprawozdanie w obecności kapitana statku, który ma prawo dodać do sprawozdania wszelkie uwagi, jakie uzna za odpowiednie, lub zwrócić się o ich dodan</w:t>
            </w:r>
            <w:r w:rsidRPr="00BA08AB">
              <w:rPr>
                <w:b/>
                <w:i/>
              </w:rPr>
              <w:t>ie i który również musi sprawozdanie podpisać.</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 xml:space="preserve">Kopie sprawozdania przekazuje się </w:t>
            </w:r>
            <w:r w:rsidRPr="00BA08AB">
              <w:rPr>
                <w:b/>
                <w:i/>
              </w:rPr>
              <w:lastRenderedPageBreak/>
              <w:t>kapitanowi statku oraz organom, którym podlega zespół przeprowadzający inspekcję; organ ten przekazuje kopie organom państwa bandery statku poddawanego inspekcji oraz Kom</w:t>
            </w:r>
            <w:r w:rsidRPr="00BA08AB">
              <w:rPr>
                <w:b/>
                <w:i/>
              </w:rPr>
              <w:t>isji lub wyznaczonemu przez nią organowi. Komisja przekazuje kopię sprawozdania do Sekretariatu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Skład zespołu przeprowadzającego inspekcję i czas jej trwania określa dowódca statku inspekcyjnego po uwzględnieniu wszystkich istotnych okoliczności</w:t>
            </w:r>
            <w:r w:rsidRPr="00BA08AB">
              <w:rPr>
                <w:b/>
                <w:i/>
              </w:rPr>
              <w:t xml:space="preserve">.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45 e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89 d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893113">
            <w:pPr>
              <w:pStyle w:val="Normal6"/>
              <w:rPr>
                <w:szCs w:val="24"/>
              </w:rPr>
            </w:pPr>
            <w:r w:rsidRPr="00BA08AB">
              <w:rPr>
                <w:b/>
                <w:i/>
              </w:rPr>
              <w:t>(45e)</w:t>
            </w:r>
            <w:r w:rsidRPr="00BA08AB">
              <w:rPr>
                <w:b/>
                <w:i/>
              </w:rPr>
              <w:tab/>
              <w:t>w tytule II rozdział VII 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89d</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Naruszenia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Do celów niniejszego</w:t>
            </w:r>
            <w:r w:rsidRPr="00BA08AB">
              <w:rPr>
                <w:b/>
                <w:i/>
              </w:rPr>
              <w:t xml:space="preserve"> artykułu za naruszenia uznaje się następujące czynności: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w:t>
            </w:r>
            <w:r w:rsidRPr="00BA08AB">
              <w:rPr>
                <w:b/>
                <w:i/>
              </w:rPr>
              <w:tab/>
              <w:t>czynności, o których mowa w art. 3 ust. 1 lit. a), b), c), e), f), g) i h) rozporządzenia (WE) nr 1005/2008;</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b)</w:t>
            </w:r>
            <w:r w:rsidRPr="00BA08AB">
              <w:rPr>
                <w:b/>
                <w:i/>
              </w:rPr>
              <w:tab/>
              <w:t>zakłócanie satelitarnego systemu monitorowania; oraz</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c)</w:t>
            </w:r>
            <w:r w:rsidRPr="00BA08AB">
              <w:rPr>
                <w:b/>
                <w:i/>
              </w:rPr>
              <w:tab/>
              <w:t xml:space="preserve">prowadzenie </w:t>
            </w:r>
            <w:r w:rsidRPr="00BA08AB">
              <w:rPr>
                <w:b/>
                <w:i/>
              </w:rPr>
              <w:t>działalności bez VMS.</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 xml:space="preserve">W przypadku każdego wejścia na pokład i inspekcji statku rybackiego, </w:t>
            </w:r>
            <w:r w:rsidRPr="00BA08AB">
              <w:rPr>
                <w:b/>
                <w:i/>
              </w:rPr>
              <w:lastRenderedPageBreak/>
              <w:t>podczas których inspektorzy wykryją naruszenie, organy państwa członkowskiego bandery statku inspekcyjnego niezwłocznie informują Komisję lub wyznaczony przez n</w:t>
            </w:r>
            <w:r w:rsidRPr="00BA08AB">
              <w:rPr>
                <w:b/>
                <w:i/>
              </w:rPr>
              <w:t>ią organ, które powiadamiają bezpośrednio państwo bandery poddanego inspekcji statku rybackiego i Sekretariat GFCM. Informują one również każdy statek inspekcyjny państwa bandery o statku rybackim, o którym wiadomo, że znajduje się w pobliżu.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 xml:space="preserve">Państwo </w:t>
            </w:r>
            <w:r w:rsidRPr="00BA08AB">
              <w:rPr>
                <w:b/>
                <w:i/>
              </w:rPr>
              <w:t>członkowskie bandery statku rybackiego zapewnia, aby po inspekcji, podczas której wykryto naruszenie, zaprzestał on wszelkiej działalności połowowej. Państwo członkowskie bandery wymaga, aby statek rybacki skierował się w ciągu 72 godzin do portu wyznaczon</w:t>
            </w:r>
            <w:r w:rsidRPr="00BA08AB">
              <w:rPr>
                <w:b/>
                <w:i/>
              </w:rPr>
              <w:t>ego przez to państwo, gdzie zostanie wszczęte dochodzenie.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W przypadku gdy podczas inspekcji stwierdzone zostanie naruszenie, o działaniach i działaniach następczych podjętych przez państwo członkowskie bandery powiadamia się Komisję lub wyznaczony pr</w:t>
            </w:r>
            <w:r w:rsidRPr="00BA08AB">
              <w:rPr>
                <w:b/>
                <w:i/>
              </w:rPr>
              <w:t>zez nią organ. Komisja lub wyznaczony przez nią organ przekazuje informacje o podjętych działaniach i działaniach następczych do Sekretariatu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Organy państw członkowskich traktują sprawozdania z inspekcji, o których mowa w art. 30 ust. 3, arkusze</w:t>
            </w:r>
            <w:r w:rsidRPr="00BA08AB">
              <w:rPr>
                <w:b/>
                <w:i/>
              </w:rPr>
              <w:t xml:space="preserve"> sprawozdań z obserwacji określone w załączniku VII oraz wnioski wynikające z inspekcji dokumentów dokonanych przez inspektorów w podobny sposób jak sprawozdania i wnioski inspektorów krajowych.”;</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Zgodnie z zaleceniem GFCM/46/2023/17.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71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47</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94a</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FD1D3D" w:rsidRPr="00BA08AB" w:rsidRDefault="00774DE8">
            <w:pPr>
              <w:pStyle w:val="ColumnHeading"/>
              <w:keepNext/>
              <w:rPr>
                <w:i w:val="0"/>
              </w:rPr>
            </w:pPr>
            <w:r w:rsidRPr="00BA08AB">
              <w:rPr>
                <w:i w:val="0"/>
              </w:rPr>
              <w:t>Artykuł 94a</w:t>
            </w:r>
          </w:p>
        </w:tc>
        <w:tc>
          <w:tcPr>
            <w:tcW w:w="4876" w:type="dxa"/>
          </w:tcPr>
          <w:p w:rsidR="00FD1D3D" w:rsidRPr="00BA08AB" w:rsidRDefault="00774DE8">
            <w:pPr>
              <w:pStyle w:val="ColumnHeading"/>
              <w:keepNext/>
              <w:rPr>
                <w:i w:val="0"/>
              </w:rPr>
            </w:pPr>
            <w:r w:rsidRPr="00BA08AB">
              <w:rPr>
                <w:i w:val="0"/>
              </w:rPr>
              <w:t>Artykuł 94a</w:t>
            </w:r>
          </w:p>
        </w:tc>
      </w:tr>
      <w:tr w:rsidR="00F17F65" w:rsidRPr="00BA08AB" w:rsidTr="00C6436A">
        <w:trPr>
          <w:jc w:val="center"/>
        </w:trPr>
        <w:tc>
          <w:tcPr>
            <w:tcW w:w="4876" w:type="dxa"/>
          </w:tcPr>
          <w:p w:rsidR="00FD1D3D" w:rsidRPr="00BA08AB" w:rsidRDefault="00774DE8">
            <w:pPr>
              <w:pStyle w:val="ColumnHeading"/>
              <w:keepNext/>
              <w:rPr>
                <w:i w:val="0"/>
              </w:rPr>
            </w:pPr>
            <w:r w:rsidRPr="00BA08AB">
              <w:rPr>
                <w:i w:val="0"/>
              </w:rPr>
              <w:t>Świadectwo połowowe dla turbota</w:t>
            </w:r>
          </w:p>
        </w:tc>
        <w:tc>
          <w:tcPr>
            <w:tcW w:w="4876" w:type="dxa"/>
          </w:tcPr>
          <w:p w:rsidR="00FD1D3D" w:rsidRPr="00BA08AB" w:rsidRDefault="00774DE8">
            <w:pPr>
              <w:pStyle w:val="ColumnHeading"/>
              <w:keepNext/>
              <w:rPr>
                <w:i w:val="0"/>
              </w:rPr>
            </w:pPr>
            <w:r w:rsidRPr="00BA08AB">
              <w:rPr>
                <w:i w:val="0"/>
              </w:rPr>
              <w:t>Świadectwo połowowe dla turbota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rPr>
                <w:b/>
                <w:i/>
              </w:rPr>
              <w:tab/>
            </w:r>
            <w:r w:rsidRPr="00BA08AB">
              <w:t xml:space="preserve">Państwa członkowskie </w:t>
            </w:r>
            <w:r w:rsidRPr="00BA08AB">
              <w:rPr>
                <w:b/>
                <w:bCs/>
                <w:i/>
                <w:iCs/>
              </w:rPr>
              <w:t>wydają świadectwo połowowe GFCM w celu określenia pochodzenia</w:t>
            </w:r>
            <w:r w:rsidRPr="00BA08AB">
              <w:t xml:space="preserve"> połowów turbota </w:t>
            </w:r>
            <w:r w:rsidRPr="00BA08AB">
              <w:rPr>
                <w:b/>
                <w:bCs/>
                <w:i/>
                <w:iCs/>
              </w:rPr>
              <w:t>w podobszarze geograficznym 29 na wszystkich etapach łańcucha</w:t>
            </w:r>
            <w:r w:rsidRPr="00BA08AB">
              <w:t xml:space="preserve"> dostaw.</w:t>
            </w:r>
            <w:r w:rsidRPr="00BA08AB">
              <w:rPr>
                <w:b/>
                <w:i/>
              </w:rPr>
              <w:t xml:space="preserve"> Świadectwo to wykorzystuje się do poświadczenia, że takie połowy zostały dokonane zgodnie ze środkami ochrony i zarządzania w dziedzinie rybołówstwa ustanowionymi w tytu</w:t>
            </w:r>
            <w:r w:rsidRPr="00BA08AB">
              <w:rPr>
                <w:b/>
                <w:i/>
              </w:rPr>
              <w:t>le II rozdział VIII.</w:t>
            </w:r>
          </w:p>
        </w:tc>
        <w:tc>
          <w:tcPr>
            <w:tcW w:w="4876" w:type="dxa"/>
            <w:hideMark/>
          </w:tcPr>
          <w:p w:rsidR="00C6436A" w:rsidRPr="00BA08AB" w:rsidRDefault="00774DE8" w:rsidP="00CB0189">
            <w:pPr>
              <w:pStyle w:val="Normal6"/>
              <w:rPr>
                <w:szCs w:val="24"/>
              </w:rPr>
            </w:pPr>
            <w:r w:rsidRPr="00BA08AB">
              <w:t>1.</w:t>
            </w:r>
            <w:r w:rsidRPr="00BA08AB">
              <w:rPr>
                <w:b/>
                <w:i/>
              </w:rPr>
              <w:tab/>
            </w:r>
            <w:r w:rsidRPr="00BA08AB">
              <w:t xml:space="preserve">Państwa członkowskie </w:t>
            </w:r>
            <w:r w:rsidRPr="00BA08AB">
              <w:rPr>
                <w:b/>
                <w:bCs/>
                <w:i/>
                <w:iCs/>
              </w:rPr>
              <w:t>w pełni wdrażają</w:t>
            </w:r>
            <w:r w:rsidRPr="00BA08AB">
              <w:t xml:space="preserve"> </w:t>
            </w:r>
            <w:r w:rsidRPr="00BA08AB">
              <w:rPr>
                <w:b/>
                <w:bCs/>
                <w:i/>
                <w:iCs/>
              </w:rPr>
              <w:t>system dokumentowania</w:t>
            </w:r>
            <w:r w:rsidRPr="00BA08AB">
              <w:t xml:space="preserve"> połowów turbota</w:t>
            </w:r>
            <w:r w:rsidRPr="00BA08AB">
              <w:rPr>
                <w:b/>
                <w:bCs/>
                <w:i/>
                <w:iCs/>
              </w:rPr>
              <w:t xml:space="preserve"> (CDS) do dnia [data wejścia w życie] w całym łańcuchu </w:t>
            </w:r>
            <w:r w:rsidRPr="00BA08AB">
              <w:t xml:space="preserve">dostaw, </w:t>
            </w:r>
            <w:r w:rsidRPr="00BA08AB">
              <w:rPr>
                <w:b/>
                <w:bCs/>
                <w:i/>
                <w:iCs/>
              </w:rPr>
              <w:t>aby zapewnić identyfikowalność turbota pozyskiwanego w Morzu Czarnym i przyczynić się do zwalc</w:t>
            </w:r>
            <w:r w:rsidRPr="00BA08AB">
              <w:rPr>
                <w:b/>
                <w:bCs/>
                <w:i/>
                <w:iCs/>
              </w:rPr>
              <w:t>zania nielegalnych, nieuregulowanych i nieraportowanych połowów (NNN).</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rPr>
                <w:b/>
                <w:i/>
              </w:rPr>
              <w:tab/>
            </w:r>
            <w:r w:rsidRPr="00BA08AB">
              <w:rPr>
                <w:b/>
                <w:bCs/>
                <w:i/>
                <w:iCs/>
              </w:rPr>
              <w:t>Wszystkim wyładunkom, przywozom, wywozom i powrotnym wywozom</w:t>
            </w:r>
            <w:r w:rsidRPr="00BA08AB">
              <w:t xml:space="preserve"> turbota </w:t>
            </w:r>
            <w:r w:rsidRPr="00BA08AB">
              <w:rPr>
                <w:b/>
                <w:bCs/>
                <w:i/>
                <w:iCs/>
              </w:rPr>
              <w:t>towarzyszy ważne świadectwo połowowe GFCM wydane</w:t>
            </w:r>
            <w:r w:rsidRPr="00BA08AB">
              <w:t xml:space="preserve"> przez </w:t>
            </w:r>
            <w:r w:rsidRPr="00BA08AB">
              <w:rPr>
                <w:b/>
                <w:bCs/>
                <w:i/>
                <w:iCs/>
              </w:rPr>
              <w:t>właściwe organy państw członkowskich</w:t>
            </w:r>
            <w:r w:rsidRPr="00BA08AB">
              <w:t>.</w:t>
            </w:r>
          </w:p>
        </w:tc>
        <w:tc>
          <w:tcPr>
            <w:tcW w:w="4876" w:type="dxa"/>
            <w:hideMark/>
          </w:tcPr>
          <w:p w:rsidR="00C6436A" w:rsidRPr="00BA08AB" w:rsidRDefault="00774DE8">
            <w:pPr>
              <w:pStyle w:val="Normal6"/>
              <w:rPr>
                <w:szCs w:val="24"/>
              </w:rPr>
            </w:pPr>
            <w:r w:rsidRPr="00BA08AB">
              <w:t>2.</w:t>
            </w:r>
            <w:r w:rsidRPr="00BA08AB">
              <w:rPr>
                <w:b/>
                <w:i/>
              </w:rPr>
              <w:tab/>
            </w:r>
            <w:r w:rsidRPr="00BA08AB">
              <w:rPr>
                <w:rStyle w:val="highlight-diff"/>
                <w:b/>
                <w:i/>
                <w:shd w:val="clear" w:color="auto" w:fill="FFFFFF"/>
              </w:rPr>
              <w:t>System dokumento</w:t>
            </w:r>
            <w:r w:rsidRPr="00BA08AB">
              <w:rPr>
                <w:rStyle w:val="highlight-diff"/>
                <w:b/>
                <w:i/>
                <w:shd w:val="clear" w:color="auto" w:fill="FFFFFF"/>
              </w:rPr>
              <w:t>wania</w:t>
            </w:r>
            <w:r w:rsidRPr="00BA08AB">
              <w:rPr>
                <w:shd w:val="clear" w:color="auto" w:fill="FFFFFF"/>
              </w:rPr>
              <w:t> </w:t>
            </w:r>
            <w:r w:rsidRPr="00BA08AB">
              <w:rPr>
                <w:b/>
                <w:bCs/>
                <w:i/>
                <w:iCs/>
                <w:shd w:val="clear" w:color="auto" w:fill="FFFFFF"/>
              </w:rPr>
              <w:t>połowów</w:t>
            </w:r>
            <w:r w:rsidRPr="00BA08AB">
              <w:rPr>
                <w:rStyle w:val="highlight-diff"/>
                <w:b/>
                <w:i/>
                <w:shd w:val="clear" w:color="auto" w:fill="FFFFFF"/>
              </w:rPr>
              <w:t xml:space="preserve"> </w:t>
            </w:r>
            <w:r w:rsidRPr="00BA08AB">
              <w:t xml:space="preserve">turbota </w:t>
            </w:r>
            <w:r w:rsidRPr="00BA08AB">
              <w:rPr>
                <w:rStyle w:val="highlight-diff"/>
                <w:b/>
                <w:i/>
              </w:rPr>
              <w:t xml:space="preserve">w formie papierowej ustanowiony w ust. 1 pozostaje bez uszczerbku dla innych obowiązujących krajowych systemów identyfikowalności zapewniających ten sam poziom nadzoru nad identyfikowalnością turbota </w:t>
            </w:r>
            <w:r w:rsidRPr="00BA08AB">
              <w:t>przez</w:t>
            </w:r>
            <w:r w:rsidRPr="00BA08AB">
              <w:rPr>
                <w:shd w:val="clear" w:color="auto" w:fill="FFFFFF"/>
              </w:rPr>
              <w:t xml:space="preserve"> </w:t>
            </w:r>
            <w:r w:rsidRPr="00BA08AB">
              <w:rPr>
                <w:b/>
                <w:bCs/>
                <w:i/>
                <w:iCs/>
                <w:shd w:val="clear" w:color="auto" w:fill="FFFFFF"/>
              </w:rPr>
              <w:t>państwa członkowskie</w:t>
            </w:r>
            <w:r w:rsidRPr="00BA08AB">
              <w:rPr>
                <w:shd w:val="clear" w:color="auto" w:fill="FFFFFF"/>
              </w:rPr>
              <w:t xml:space="preserve"> </w:t>
            </w:r>
            <w:r w:rsidRPr="00BA08AB">
              <w:rPr>
                <w:rStyle w:val="highlight-diff"/>
                <w:b/>
                <w:i/>
                <w:shd w:val="clear" w:color="auto" w:fill="FFFFFF"/>
              </w:rPr>
              <w:t>i</w:t>
            </w:r>
            <w:r w:rsidRPr="00BA08AB">
              <w:rPr>
                <w:shd w:val="clear" w:color="auto" w:fill="FFFFFF"/>
              </w:rPr>
              <w:t xml:space="preserve"> </w:t>
            </w:r>
            <w:r w:rsidRPr="00BA08AB">
              <w:rPr>
                <w:b/>
                <w:bCs/>
                <w:i/>
                <w:iCs/>
                <w:shd w:val="clear" w:color="auto" w:fill="FFFFFF"/>
              </w:rPr>
              <w:t>zawie</w:t>
            </w:r>
            <w:r w:rsidRPr="00BA08AB">
              <w:rPr>
                <w:b/>
                <w:bCs/>
                <w:i/>
                <w:iCs/>
                <w:shd w:val="clear" w:color="auto" w:fill="FFFFFF"/>
              </w:rPr>
              <w:t>ra</w:t>
            </w:r>
            <w:r w:rsidRPr="00BA08AB">
              <w:rPr>
                <w:shd w:val="clear" w:color="auto" w:fill="FFFFFF"/>
              </w:rPr>
              <w:t xml:space="preserve"> </w:t>
            </w:r>
            <w:r w:rsidRPr="00BA08AB">
              <w:rPr>
                <w:rStyle w:val="highlight-diff"/>
                <w:b/>
                <w:i/>
                <w:shd w:val="clear" w:color="auto" w:fill="FFFFFF"/>
              </w:rPr>
              <w:t>informacje wyszczególnione w załączniku XXIV</w:t>
            </w:r>
            <w:r w:rsidRPr="00BA08AB">
              <w:rPr>
                <w:shd w:val="clear" w:color="auto" w:fill="FFFFFF"/>
              </w:rPr>
              <w:t>.</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rPr>
                <w:b/>
                <w:i/>
              </w:rPr>
              <w:tab/>
            </w:r>
            <w:r w:rsidRPr="00BA08AB">
              <w:t>Każde świadectwo posiada niepowtarzalny numer identyfikacyjny.</w:t>
            </w:r>
            <w:r w:rsidRPr="00BA08AB">
              <w:rPr>
                <w:b/>
                <w:i/>
              </w:rPr>
              <w:t xml:space="preserve"> Numer ten jest właściwy dla państwa członkowskiego bandery i przydzielany każdemu statkowi rybackiemu upoważnionemu do połowów turbota. Świa</w:t>
            </w:r>
            <w:r w:rsidRPr="00BA08AB">
              <w:rPr>
                <w:b/>
                <w:i/>
              </w:rPr>
              <w:t>dectwa połowowego nie można przenosić na inny statek rybacki.</w:t>
            </w:r>
          </w:p>
        </w:tc>
        <w:tc>
          <w:tcPr>
            <w:tcW w:w="4876" w:type="dxa"/>
            <w:hideMark/>
          </w:tcPr>
          <w:p w:rsidR="00C6436A" w:rsidRPr="00BA08AB" w:rsidRDefault="00774DE8">
            <w:pPr>
              <w:pStyle w:val="Normal6"/>
              <w:rPr>
                <w:szCs w:val="24"/>
              </w:rPr>
            </w:pPr>
            <w:r w:rsidRPr="00BA08AB">
              <w:t>3.</w:t>
            </w:r>
            <w:r w:rsidRPr="00BA08AB">
              <w:rPr>
                <w:b/>
                <w:i/>
              </w:rPr>
              <w:tab/>
              <w:t>System dokumentowania połowów turbota w formie papierowej ma zastosowanie do pierwszych wyładunków, wywozu i powrotnego wywozu. Handel wewnętrzny nie jest objęty łańcuchem zatwierdzania.</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rPr>
                <w:b/>
                <w:i/>
              </w:rPr>
              <w:tab/>
            </w:r>
            <w:r w:rsidRPr="00BA08AB">
              <w:rPr>
                <w:b/>
                <w:bCs/>
                <w:i/>
                <w:iCs/>
              </w:rPr>
              <w:t xml:space="preserve">Właściwe organy odpowiedniego państwa członkowskiego bandery zatwierdzają świadectwa połowowe dla turbota dopiero gdy ustalą, po sprawdzeniu dokumentów uzupełniających i odpowiedniej dostawy, że wszystkie informacje zawarte </w:t>
            </w:r>
            <w:r w:rsidRPr="00BA08AB">
              <w:rPr>
                <w:b/>
                <w:bCs/>
                <w:i/>
                <w:iCs/>
              </w:rPr>
              <w:lastRenderedPageBreak/>
              <w:t>w świadectwach są dokładne.”;</w:t>
            </w:r>
          </w:p>
        </w:tc>
        <w:tc>
          <w:tcPr>
            <w:tcW w:w="4876" w:type="dxa"/>
            <w:hideMark/>
          </w:tcPr>
          <w:p w:rsidR="00C6436A" w:rsidRPr="00BA08AB" w:rsidRDefault="00774DE8">
            <w:pPr>
              <w:pStyle w:val="Normal6"/>
              <w:rPr>
                <w:szCs w:val="24"/>
              </w:rPr>
            </w:pPr>
            <w:r w:rsidRPr="00BA08AB">
              <w:lastRenderedPageBreak/>
              <w:t>4.</w:t>
            </w:r>
            <w:r w:rsidRPr="00BA08AB">
              <w:rPr>
                <w:b/>
                <w:i/>
              </w:rPr>
              <w:tab/>
            </w:r>
            <w:r w:rsidRPr="00BA08AB">
              <w:t>Każde świadectwo posiada niepowtarzalny numer identyfikacyjny.</w:t>
            </w:r>
            <w:r w:rsidRPr="00BA08AB">
              <w:rPr>
                <w:b/>
                <w:i/>
              </w:rPr>
              <w:t xml:space="preserve"> Numer ten jest specyficzny dla państwa bandery i przydzielany każdemu statkowi rybackiemu. </w:t>
            </w:r>
            <w:r w:rsidRPr="00BA08AB">
              <w:t xml:space="preserve">Świadectwa </w:t>
            </w:r>
            <w:r w:rsidRPr="00BA08AB">
              <w:rPr>
                <w:b/>
                <w:bCs/>
                <w:i/>
                <w:iCs/>
              </w:rPr>
              <w:t>tego</w:t>
            </w:r>
            <w:r w:rsidRPr="00BA08AB">
              <w:t xml:space="preserve"> nie można przenosić na inny statek rybacki.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 xml:space="preserve">Państwa członkowskie zatwierdzają </w:t>
            </w:r>
            <w:r w:rsidRPr="00BA08AB">
              <w:rPr>
                <w:b/>
                <w:i/>
              </w:rPr>
              <w:t>świadectwa połowowe, wyłącznie jeżeli prawidłowość informacji podanych w systemie dokumentowania połowów turbota sprawdzono na podstawie przedstawionych dokumentów i odpowiadającej im przesyłki.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 xml:space="preserve">Państwa członkowskie informują Sekretariat GFCM o swoim </w:t>
            </w:r>
            <w:r w:rsidRPr="00BA08AB">
              <w:rPr>
                <w:b/>
                <w:i/>
              </w:rPr>
              <w:t>systemie dokumentowania połowów, a także o ewentualnych wymogach dotyczących znakowania i identyfikacji oraz wymogach dotyczących identyfikowalności i monitorowania połowów turbota, które muszą być zgodne z przepisami niniejszego artykułu, aby skutecznie z</w:t>
            </w:r>
            <w:r w:rsidRPr="00BA08AB">
              <w:rPr>
                <w:b/>
                <w:i/>
              </w:rPr>
              <w:t>apewnić osiągnięcie celu identyfikowalności. O takich sprawozdaniach powiadamia się Sekretariat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7.</w:t>
            </w:r>
            <w:r w:rsidRPr="00BA08AB">
              <w:rPr>
                <w:b/>
                <w:i/>
              </w:rPr>
              <w:tab/>
              <w:t>Państwa członkowskie powiadamiają Sekretariat GFCM o swoich właściwych organach odpowiedzialnych za zatwierdzanie, sprawdzanie i weryfikację świadect</w:t>
            </w:r>
            <w:r w:rsidRPr="00BA08AB">
              <w:rPr>
                <w:b/>
                <w:i/>
              </w:rPr>
              <w:t>w połowowych, a także o punktach kontaktowych systemu dokumentowania połowów, pieczęci i innych informacjach istotnych dla wdrożenia systemu dokumentowania połowów.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8.</w:t>
            </w:r>
            <w:r w:rsidRPr="00BA08AB">
              <w:rPr>
                <w:b/>
                <w:i/>
              </w:rPr>
              <w:tab/>
              <w:t>Państwa członkowskie przechowują zatwierdzone świadectwa połowowe turbota w formie pap</w:t>
            </w:r>
            <w:r w:rsidRPr="00BA08AB">
              <w:rPr>
                <w:b/>
                <w:i/>
              </w:rPr>
              <w:t>ierowej przez okres pięciu lat.</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9.</w:t>
            </w:r>
            <w:r w:rsidRPr="00BA08AB">
              <w:rPr>
                <w:b/>
                <w:i/>
              </w:rPr>
              <w:tab/>
              <w:t>Państwa członkowskie składają Sekretariatowi GFCM coroczne sprawozdania z wdrażania systemu dokumentowania połowów turbota w formie papierowej w celu powiadomienia Komitetu ds. Zgodności oraz dostarczają szczegółowych i</w:t>
            </w:r>
            <w:r w:rsidRPr="00BA08AB">
              <w:rPr>
                <w:b/>
                <w:i/>
              </w:rPr>
              <w:t xml:space="preserve">nformacji i danych statystycznych dotyczących m.in. rocznych zatwierdzonych ilości, rocznych ilości przeznaczonych na handel, liczby zatwierdzonych certyfikatów pozyskania oraz wszelkich istotnych elementów uznanych za dostarczające informacji na </w:t>
            </w:r>
            <w:r w:rsidRPr="00BA08AB">
              <w:rPr>
                <w:b/>
                <w:i/>
              </w:rPr>
              <w:lastRenderedPageBreak/>
              <w:t>temat akt</w:t>
            </w:r>
            <w:r w:rsidRPr="00BA08AB">
              <w:rPr>
                <w:b/>
                <w:i/>
              </w:rPr>
              <w:t xml:space="preserve">ualnej sytuacji. Sprawozdania należy składać do Sekretariatu GFCM nie później niż 30 dni przed sesją Komitetu ds. Zgodności.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GFCM/46/2023/20.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48</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96a – akapit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Państwa członkowskie utrzymują zdolność połowową floty rybackiej lub nakład połowowy na poziomach </w:t>
            </w:r>
            <w:r w:rsidRPr="00BA08AB">
              <w:rPr>
                <w:b/>
                <w:bCs/>
                <w:i/>
                <w:iCs/>
              </w:rPr>
              <w:t>ustanowionych</w:t>
            </w:r>
            <w:r w:rsidRPr="00BA08AB">
              <w:t xml:space="preserve"> </w:t>
            </w:r>
            <w:r w:rsidRPr="00BA08AB">
              <w:rPr>
                <w:b/>
                <w:bCs/>
                <w:i/>
                <w:iCs/>
              </w:rPr>
              <w:t>na lata</w:t>
            </w:r>
            <w:r w:rsidRPr="00BA08AB">
              <w:t xml:space="preserve"> 2015–2021 w odniesieniu do eksploatacji kolenia pospolitego w Morzu Czarnym.</w:t>
            </w:r>
          </w:p>
        </w:tc>
        <w:tc>
          <w:tcPr>
            <w:tcW w:w="4876" w:type="dxa"/>
            <w:hideMark/>
          </w:tcPr>
          <w:p w:rsidR="00C6436A" w:rsidRPr="00BA08AB" w:rsidRDefault="00774DE8">
            <w:pPr>
              <w:pStyle w:val="Normal6"/>
              <w:rPr>
                <w:szCs w:val="24"/>
              </w:rPr>
            </w:pPr>
            <w:r w:rsidRPr="00BA08AB">
              <w:t>Państwa członkowskie utrzymują zdolność połowową floty ryb</w:t>
            </w:r>
            <w:r w:rsidRPr="00BA08AB">
              <w:t xml:space="preserve">ackiej lub nakład połowowy na poziomach </w:t>
            </w:r>
            <w:r w:rsidRPr="00BA08AB">
              <w:rPr>
                <w:b/>
                <w:bCs/>
                <w:i/>
                <w:iCs/>
              </w:rPr>
              <w:t>dozwolonych i praktykowanych w latach</w:t>
            </w:r>
            <w:r w:rsidRPr="00BA08AB">
              <w:t xml:space="preserve"> 2015–2021 w odniesieniu do eksploatacji kolenia pospolitego w Morzu Czarnym.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Zalecenia GFCM/44/2021/10 i GFCM</w:t>
      </w:r>
      <w:r w:rsidRPr="00BA08AB">
        <w:t>/47/2024/10.</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48</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96b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 xml:space="preserve">Państwa członkowskie zapewniają wprowadzenie wszelkich dodatkowych środków, aby usprawnić gromadzenie danych do celów monitorowania </w:t>
            </w:r>
            <w:r w:rsidRPr="00BA08AB">
              <w:lastRenderedPageBreak/>
              <w:t xml:space="preserve">naukowego </w:t>
            </w:r>
            <w:r w:rsidRPr="00BA08AB">
              <w:rPr>
                <w:b/>
                <w:bCs/>
                <w:i/>
                <w:iCs/>
              </w:rPr>
              <w:t>gatunku</w:t>
            </w:r>
            <w:r w:rsidRPr="00BA08AB">
              <w:t xml:space="preserve"> kolenia pospolitego.</w:t>
            </w:r>
          </w:p>
        </w:tc>
        <w:tc>
          <w:tcPr>
            <w:tcW w:w="4876" w:type="dxa"/>
            <w:hideMark/>
          </w:tcPr>
          <w:p w:rsidR="00C6436A" w:rsidRPr="00BA08AB" w:rsidRDefault="00774DE8">
            <w:pPr>
              <w:pStyle w:val="Normal6"/>
              <w:rPr>
                <w:szCs w:val="24"/>
              </w:rPr>
            </w:pPr>
            <w:r w:rsidRPr="00BA08AB">
              <w:lastRenderedPageBreak/>
              <w:t>3.</w:t>
            </w:r>
            <w:r w:rsidRPr="00BA08AB">
              <w:tab/>
              <w:t xml:space="preserve">Państwa członkowskie </w:t>
            </w:r>
            <w:r w:rsidRPr="00BA08AB">
              <w:t xml:space="preserve">zapewniają wprowadzenie wszelkich dodatkowych środków, aby usprawnić gromadzenie danych do celów monitorowania </w:t>
            </w:r>
            <w:r w:rsidRPr="00BA08AB">
              <w:lastRenderedPageBreak/>
              <w:t>naukowego kolenia pospolitego.</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w:t>
      </w:r>
      <w:r w:rsidRPr="00BA08AB">
        <w:t>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49 – litera a</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98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Państwa członkowskie</w:t>
            </w:r>
            <w:r w:rsidRPr="00BA08AB">
              <w:rPr>
                <w:b/>
                <w:bCs/>
                <w:i/>
                <w:iCs/>
              </w:rPr>
              <w:t xml:space="preserve"> zapewniają wysoki poziom</w:t>
            </w:r>
            <w:r w:rsidRPr="00BA08AB">
              <w:t xml:space="preserve"> ochrony </w:t>
            </w:r>
            <w:r w:rsidRPr="00BA08AB">
              <w:rPr>
                <w:b/>
                <w:bCs/>
                <w:i/>
                <w:iCs/>
              </w:rPr>
              <w:t>przed działalnością połowową w odniesieniu do</w:t>
            </w:r>
            <w:r w:rsidRPr="00BA08AB">
              <w:t xml:space="preserve"> gatunków spodoustych wymienionych w załączniku II</w:t>
            </w:r>
            <w:r w:rsidRPr="00BA08AB">
              <w:rPr>
                <w:b/>
                <w:bCs/>
                <w:i/>
                <w:iCs/>
              </w:rPr>
              <w:t xml:space="preserve"> i III</w:t>
            </w:r>
            <w:r w:rsidRPr="00BA08AB">
              <w:t xml:space="preserve"> do protokołu </w:t>
            </w:r>
            <w:r w:rsidRPr="00BA08AB">
              <w:rPr>
                <w:b/>
                <w:bCs/>
                <w:i/>
                <w:iCs/>
              </w:rPr>
              <w:t>dotyczącego</w:t>
            </w:r>
            <w:r w:rsidRPr="00BA08AB">
              <w:t xml:space="preserve"> obszarów szczególnie chronionych i różnorodności biologicznej w rejonie śródziemnomorskim.”;</w:t>
            </w:r>
          </w:p>
        </w:tc>
        <w:tc>
          <w:tcPr>
            <w:tcW w:w="4876" w:type="dxa"/>
            <w:hideMark/>
          </w:tcPr>
          <w:p w:rsidR="00C6436A" w:rsidRPr="00BA08AB" w:rsidRDefault="00774DE8">
            <w:pPr>
              <w:pStyle w:val="Normal6"/>
              <w:rPr>
                <w:szCs w:val="24"/>
              </w:rPr>
            </w:pPr>
            <w:r w:rsidRPr="00BA08AB">
              <w:t>1.</w:t>
            </w:r>
            <w:r w:rsidRPr="00BA08AB">
              <w:tab/>
              <w:t xml:space="preserve">Państwa członkowskie </w:t>
            </w:r>
            <w:r w:rsidRPr="00BA08AB">
              <w:rPr>
                <w:b/>
                <w:bCs/>
                <w:i/>
                <w:iCs/>
              </w:rPr>
              <w:t xml:space="preserve">wspierają dalsze działania służące poprawie stanu </w:t>
            </w:r>
            <w:r w:rsidRPr="00BA08AB">
              <w:t xml:space="preserve">ochrony gatunków spodoustych wymienionych w załączniku II do protokołu </w:t>
            </w:r>
            <w:r w:rsidRPr="00BA08AB">
              <w:rPr>
                <w:b/>
                <w:bCs/>
                <w:i/>
                <w:iCs/>
              </w:rPr>
              <w:t>oraz łagodzeniu lub eliminowaniu, w miarę możliwości, ryzyka przypadkowego połowu podczas operacji połowowych lub</w:t>
            </w:r>
            <w:r w:rsidRPr="00BA08AB">
              <w:rPr>
                <w:b/>
                <w:bCs/>
                <w:i/>
                <w:iCs/>
              </w:rPr>
              <w:t xml:space="preserve"> związanej z tym upadkowości w odniesieniu do</w:t>
            </w:r>
            <w:r w:rsidRPr="00BA08AB">
              <w:t xml:space="preserve"> obszarów szczególnie chronionych i różnorodności biologicznej w rejonie śródziemnomorskim.”;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GFCM/44/2021/16.</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49 – litera b</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98 – ustęp 4</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w:t>
            </w:r>
            <w:r w:rsidRPr="00BA08AB">
              <w:t>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tab/>
              <w:t xml:space="preserve">Najpóźniej do dnia 15 kwietnia 2026 r. państwa członkowskie zgłaszają Komisji co najmniej jedno działanie ukierunkowane na gatunek/płeć, wymienione w załączniku XVII </w:t>
            </w:r>
            <w:r w:rsidRPr="00BA08AB">
              <w:lastRenderedPageBreak/>
              <w:t>i stosowane w </w:t>
            </w:r>
            <w:r w:rsidRPr="00BA08AB">
              <w:rPr>
                <w:b/>
                <w:bCs/>
                <w:i/>
                <w:iCs/>
              </w:rPr>
              <w:t>podobszarze geograficznym</w:t>
            </w:r>
            <w:r w:rsidRPr="00BA08AB">
              <w:t>, w którym p</w:t>
            </w:r>
            <w:r w:rsidRPr="00BA08AB">
              <w:t>rowadzona jest działalność połowowa, lub co najmniej pięć ukierunkowanych na dany gatunek działań łącznie, służących poprawie stanu ochrony spodoustych, łagodzeniu i, w miarę możliwości, wyeliminowaniu ryzyka przypadkowego połowu spodoustych podczas operac</w:t>
            </w:r>
            <w:r w:rsidRPr="00BA08AB">
              <w:t>ji połowowych i związanej z tym ich upadkowości. Komisja przekazuje te informacje sekretariatowi GFCM do dnia 30 kwietnia 2026 r.</w:t>
            </w:r>
          </w:p>
        </w:tc>
        <w:tc>
          <w:tcPr>
            <w:tcW w:w="4876" w:type="dxa"/>
            <w:hideMark/>
          </w:tcPr>
          <w:p w:rsidR="00C6436A" w:rsidRPr="00BA08AB" w:rsidRDefault="00774DE8">
            <w:pPr>
              <w:pStyle w:val="Normal6"/>
              <w:rPr>
                <w:szCs w:val="24"/>
              </w:rPr>
            </w:pPr>
            <w:r w:rsidRPr="00BA08AB">
              <w:lastRenderedPageBreak/>
              <w:t>4.</w:t>
            </w:r>
            <w:r w:rsidRPr="00BA08AB">
              <w:tab/>
              <w:t xml:space="preserve">Najpóźniej do dnia 15 kwietnia 2026 r. państwa członkowskie zgłaszają Komisji co najmniej jedno działanie ukierunkowane na </w:t>
            </w:r>
            <w:r w:rsidRPr="00BA08AB">
              <w:t xml:space="preserve">gatunek/płeć, wymienione w załączniku XVII </w:t>
            </w:r>
            <w:r w:rsidRPr="00BA08AB">
              <w:lastRenderedPageBreak/>
              <w:t>i stosowane w </w:t>
            </w:r>
            <w:r w:rsidRPr="00BA08AB">
              <w:rPr>
                <w:b/>
                <w:bCs/>
                <w:i/>
                <w:iCs/>
              </w:rPr>
              <w:t>podobszarach geograficznych 1–27</w:t>
            </w:r>
            <w:r w:rsidRPr="00BA08AB">
              <w:t>, w którym prowadzona jest działalność połowowa, lub co najmniej pięć ukierunkowanych na dany gatunek działań łącznie, służących poprawie stanu ochrony spodoustych, ła</w:t>
            </w:r>
            <w:r w:rsidRPr="00BA08AB">
              <w:t>godzeniu i, w miarę możliwości, wyeliminowaniu ryzyka przypadkowego połowu spodoustych podczas operacji połowowych i związanej z tym ich upadkowości. Komisja przekazuje te informacje sekretariatowi GFCM do dnia 30 kwietnia 2026 r.</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49 – litera b</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98 – ustęp 5</w:t>
      </w:r>
      <w:r w:rsidRPr="00BA08AB">
        <w:rPr>
          <w:rStyle w:val="HideTWBExt"/>
        </w:rPr>
        <w:t>&lt;</w:t>
      </w:r>
      <w:r w:rsidRPr="00BA08AB">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5.</w:t>
            </w:r>
            <w:r w:rsidRPr="00BA08AB">
              <w:tab/>
              <w:t xml:space="preserve">Państwa członkowskie wymagają, aby statki rybackie poławiające gatunki rekinów jako przyłów lub przypadkowy połów ograniczały przyłów rekinów wymienionych w załączniku III do Protokołu dotyczącego </w:t>
            </w:r>
            <w:r w:rsidRPr="00BA08AB">
              <w:t>obszarów szczególnie chronionych i różnorodności biologicznej w Morzu Śródziemnym do maksymalnego odsetka całkowitej masy połowu w relacji pełnej na każdy rejs lub do nie więcej niż trzech osobników.”;</w:t>
            </w:r>
          </w:p>
        </w:tc>
        <w:tc>
          <w:tcPr>
            <w:tcW w:w="4876" w:type="dxa"/>
            <w:hideMark/>
          </w:tcPr>
          <w:p w:rsidR="00C6436A" w:rsidRPr="00BA08AB" w:rsidRDefault="00774DE8">
            <w:pPr>
              <w:pStyle w:val="Normal6"/>
              <w:rPr>
                <w:szCs w:val="24"/>
              </w:rPr>
            </w:pPr>
            <w:r w:rsidRPr="00BA08AB">
              <w:t>5.</w:t>
            </w:r>
            <w:r w:rsidRPr="00BA08AB">
              <w:tab/>
            </w:r>
            <w:r w:rsidRPr="00BA08AB">
              <w:t xml:space="preserve">Państwa członkowskie wymagają, aby statki rybackie poławiające gatunki rekinów </w:t>
            </w:r>
            <w:r w:rsidRPr="00BA08AB">
              <w:rPr>
                <w:b/>
                <w:bCs/>
                <w:i/>
                <w:iCs/>
              </w:rPr>
              <w:t>w podobszarach geograficznych 1–27</w:t>
            </w:r>
            <w:r w:rsidRPr="00BA08AB">
              <w:t xml:space="preserve"> jako przyłów lub przypadkowy połów ograniczały przyłów rekinów wymienionych w załączniku III do Protokołu dotyczącego obszarów szczególnie chr</w:t>
            </w:r>
            <w:r w:rsidRPr="00BA08AB">
              <w:t>onionych i różnorodności biologicznej w Morzu Śródziemnym do maksymalnego odsetka całkowitej masy połowu w relacji pełnej na każdy rejs lub do nie więcej niż trzech osobników.”;</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Poprawki </w:t>
      </w:r>
      <w:r w:rsidRPr="00BA08AB">
        <w:t>językowe.</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77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102 – ustęp 3</w:t>
      </w:r>
      <w:r w:rsidRPr="00BA08A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510CEC">
        <w:trPr>
          <w:jc w:val="center"/>
        </w:trPr>
        <w:tc>
          <w:tcPr>
            <w:tcW w:w="9752" w:type="dxa"/>
            <w:gridSpan w:val="2"/>
          </w:tcPr>
          <w:p w:rsidR="00C6436A" w:rsidRPr="00BA08AB" w:rsidRDefault="00C6436A">
            <w:pPr>
              <w:keepNext/>
            </w:pPr>
          </w:p>
        </w:tc>
      </w:tr>
      <w:tr w:rsidR="00F17F65" w:rsidRPr="00BA08AB" w:rsidTr="00510CEC">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510CEC">
        <w:trPr>
          <w:jc w:val="center"/>
        </w:trPr>
        <w:tc>
          <w:tcPr>
            <w:tcW w:w="4876" w:type="dxa"/>
            <w:hideMark/>
          </w:tcPr>
          <w:p w:rsidR="00C6436A" w:rsidRPr="00BA08AB" w:rsidRDefault="00774DE8">
            <w:pPr>
              <w:pStyle w:val="Normal6"/>
            </w:pPr>
            <w:r w:rsidRPr="00BA08AB">
              <w:rPr>
                <w:b/>
                <w:i/>
              </w:rPr>
              <w:t>(50)</w:t>
            </w:r>
            <w:r w:rsidRPr="00BA08AB">
              <w:rPr>
                <w:b/>
                <w:i/>
              </w:rPr>
              <w:tab/>
              <w:t>w art. 102 dodaje się ustęp w brzmieniu:</w:t>
            </w:r>
          </w:p>
        </w:tc>
        <w:tc>
          <w:tcPr>
            <w:tcW w:w="4876" w:type="dxa"/>
            <w:hideMark/>
          </w:tcPr>
          <w:p w:rsidR="00C6436A" w:rsidRPr="00BA08AB" w:rsidRDefault="00774DE8">
            <w:pPr>
              <w:pStyle w:val="Normal6"/>
              <w:rPr>
                <w:szCs w:val="24"/>
              </w:rPr>
            </w:pPr>
            <w:r w:rsidRPr="00BA08AB">
              <w:rPr>
                <w:b/>
                <w:i/>
              </w:rPr>
              <w:t>skreśla się</w:t>
            </w:r>
          </w:p>
        </w:tc>
      </w:tr>
      <w:tr w:rsidR="00F17F65" w:rsidRPr="00BA08AB" w:rsidTr="00510CEC">
        <w:trPr>
          <w:jc w:val="center"/>
        </w:trPr>
        <w:tc>
          <w:tcPr>
            <w:tcW w:w="4876" w:type="dxa"/>
            <w:hideMark/>
          </w:tcPr>
          <w:p w:rsidR="00C6436A" w:rsidRPr="00BA08AB" w:rsidRDefault="00774DE8">
            <w:pPr>
              <w:pStyle w:val="Normal6"/>
            </w:pPr>
            <w:r w:rsidRPr="00BA08AB">
              <w:rPr>
                <w:b/>
                <w:i/>
              </w:rPr>
              <w:t>3.</w:t>
            </w:r>
            <w:r w:rsidRPr="00BA08AB">
              <w:rPr>
                <w:b/>
                <w:i/>
              </w:rPr>
              <w:tab/>
              <w:t xml:space="preserve">W strefach geograficznych Morza Śródziemnego (podobszary geograficzne 1–27), gdzie przyłów gatunków ptaków morskich wymienionych w załączniku II do </w:t>
            </w:r>
            <w:r w:rsidRPr="00BA08AB">
              <w:rPr>
                <w:b/>
                <w:i/>
              </w:rPr>
              <w:t>protokołu do konwencji barcelońskiej dotyczącego obszarów szczególnie chronionych i różnorodności biologicznej ma miejsce zgodnie z opinią Naukowego Komitetu Doradczego ds. Rybołówstwa (głównie w przypadku przypadkowego połowu ptaków morskich podczas opera</w:t>
            </w:r>
            <w:r w:rsidRPr="00BA08AB">
              <w:rPr>
                <w:b/>
                <w:i/>
              </w:rPr>
              <w:t>cji połowowych), stosuje się następujące środki:</w:t>
            </w:r>
          </w:p>
        </w:tc>
        <w:tc>
          <w:tcPr>
            <w:tcW w:w="4876" w:type="dxa"/>
          </w:tcPr>
          <w:p w:rsidR="00C6436A" w:rsidRPr="00BA08AB" w:rsidRDefault="00C6436A">
            <w:pPr>
              <w:pStyle w:val="Normal6"/>
              <w:rPr>
                <w:szCs w:val="24"/>
              </w:rPr>
            </w:pPr>
          </w:p>
        </w:tc>
      </w:tr>
      <w:tr w:rsidR="00F17F65" w:rsidRPr="00BA08AB" w:rsidTr="00510CEC">
        <w:trPr>
          <w:jc w:val="center"/>
        </w:trPr>
        <w:tc>
          <w:tcPr>
            <w:tcW w:w="4876" w:type="dxa"/>
            <w:hideMark/>
          </w:tcPr>
          <w:p w:rsidR="00C6436A" w:rsidRPr="00BA08AB" w:rsidRDefault="00774DE8">
            <w:pPr>
              <w:pStyle w:val="Normal6"/>
            </w:pPr>
            <w:r w:rsidRPr="00BA08AB">
              <w:rPr>
                <w:b/>
                <w:i/>
              </w:rPr>
              <w:t>a)</w:t>
            </w:r>
            <w:r w:rsidRPr="00BA08AB">
              <w:rPr>
                <w:b/>
                <w:i/>
              </w:rPr>
              <w:tab/>
              <w:t>Państwa członkowskie gromadzą dane, aby w pełni scharakteryzować przyłów ptaków morskich w połowach, w tym przypadkowy połów krytycznie zagrożonego burzyka balearskiego. Do dnia 15 kwietnia każdego roku</w:t>
            </w:r>
            <w:r w:rsidRPr="00BA08AB">
              <w:rPr>
                <w:b/>
                <w:i/>
              </w:rPr>
              <w:t xml:space="preserve"> państwa członkowskie przekazują Komisji informacje, o których mowa w załączniku XXII. Komisja przekazuje te informacje Sekretariatowi GFCM do dnia 30 kwietnia każdego roku;</w:t>
            </w:r>
          </w:p>
        </w:tc>
        <w:tc>
          <w:tcPr>
            <w:tcW w:w="4876" w:type="dxa"/>
          </w:tcPr>
          <w:p w:rsidR="00C6436A" w:rsidRPr="00BA08AB" w:rsidRDefault="00C6436A">
            <w:pPr>
              <w:pStyle w:val="Normal6"/>
              <w:rPr>
                <w:szCs w:val="24"/>
              </w:rPr>
            </w:pPr>
          </w:p>
        </w:tc>
      </w:tr>
      <w:tr w:rsidR="00F17F65" w:rsidRPr="00BA08AB" w:rsidTr="00510CEC">
        <w:trPr>
          <w:jc w:val="center"/>
        </w:trPr>
        <w:tc>
          <w:tcPr>
            <w:tcW w:w="4876" w:type="dxa"/>
            <w:hideMark/>
          </w:tcPr>
          <w:p w:rsidR="00C6436A" w:rsidRPr="00BA08AB" w:rsidRDefault="00774DE8">
            <w:pPr>
              <w:pStyle w:val="Normal6"/>
            </w:pPr>
            <w:r w:rsidRPr="00BA08AB">
              <w:rPr>
                <w:b/>
                <w:i/>
              </w:rPr>
              <w:t>b)</w:t>
            </w:r>
            <w:r w:rsidRPr="00BA08AB">
              <w:rPr>
                <w:b/>
                <w:i/>
              </w:rPr>
              <w:tab/>
              <w:t xml:space="preserve">państwa członkowskie oceniają do 2024 r. skuteczność co najmniej dwóch </w:t>
            </w:r>
            <w:r w:rsidRPr="00BA08AB">
              <w:rPr>
                <w:b/>
                <w:i/>
              </w:rPr>
              <w:t>przejściowych środków łagodzących, wymienionych w załączniku XVIII, służących poprawie stanu ochrony gatunków ptaków morskich, łagodzeniu i, w miarę możliwości, wyeliminowaniu ryzyka przypadkowego połowu ptaków morskich podczas operacji połowowych i związa</w:t>
            </w:r>
            <w:r w:rsidRPr="00BA08AB">
              <w:rPr>
                <w:b/>
                <w:i/>
              </w:rPr>
              <w:t>nej z tym upadkowości.”;</w:t>
            </w:r>
          </w:p>
        </w:tc>
        <w:tc>
          <w:tcPr>
            <w:tcW w:w="4876" w:type="dxa"/>
          </w:tcPr>
          <w:p w:rsidR="00C6436A" w:rsidRPr="00BA08AB" w:rsidRDefault="00C6436A">
            <w:pPr>
              <w:pStyle w:val="Normal6"/>
              <w:rPr>
                <w:szCs w:val="24"/>
              </w:rPr>
            </w:pP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lastRenderedPageBreak/>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GFCM//44/2021/13 uchylone zaleceniem GFCM/46/2023/22.</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103a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 xml:space="preserve">Do 2026 r. państwa członkowskie zgłaszają Komisji co </w:t>
            </w:r>
            <w:r w:rsidRPr="00BA08AB">
              <w:t>najmniej dwa środki łagodzące przyjęte na podstawie pkt 1 i 2. W związku z tym należy uwzględnić obszary i floty o wyższym stopniu ryzyka wynikającego z interakcji.</w:t>
            </w:r>
          </w:p>
        </w:tc>
        <w:tc>
          <w:tcPr>
            <w:tcW w:w="4876" w:type="dxa"/>
            <w:hideMark/>
          </w:tcPr>
          <w:p w:rsidR="00C6436A" w:rsidRPr="00BA08AB" w:rsidRDefault="00774DE8" w:rsidP="00AC7816">
            <w:pPr>
              <w:pStyle w:val="Normal6"/>
              <w:rPr>
                <w:szCs w:val="24"/>
              </w:rPr>
            </w:pPr>
            <w:r w:rsidRPr="00BA08AB">
              <w:t>3.</w:t>
            </w:r>
            <w:r w:rsidRPr="00BA08AB">
              <w:tab/>
              <w:t xml:space="preserve">Do </w:t>
            </w:r>
            <w:r w:rsidRPr="00BA08AB">
              <w:rPr>
                <w:b/>
                <w:bCs/>
                <w:i/>
                <w:iCs/>
              </w:rPr>
              <w:t>dnia</w:t>
            </w:r>
            <w:r w:rsidRPr="00BA08AB">
              <w:rPr>
                <w:b/>
                <w:bCs/>
              </w:rPr>
              <w:t xml:space="preserve"> </w:t>
            </w:r>
            <w:r w:rsidRPr="00BA08AB">
              <w:rPr>
                <w:b/>
                <w:bCs/>
                <w:i/>
                <w:iCs/>
              </w:rPr>
              <w:t>31 grudnia</w:t>
            </w:r>
            <w:r w:rsidRPr="00BA08AB">
              <w:t xml:space="preserve"> 2026 r. państwa członkowskie zgłaszają Komisji co najmniej dwa środki</w:t>
            </w:r>
            <w:r w:rsidRPr="00BA08AB">
              <w:t xml:space="preserve"> łagodzące przyjęte na podstawie pkt 1 i 2. W związku z tym należy uwzględnić obszary i floty o wyższym stopniu ryzyka wynikającego z interakcji.</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79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w:t>
      </w:r>
      <w:r w:rsidRPr="00BA08AB">
        <w:t>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105a – akapit 1 – litera d</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d)</w:t>
            </w:r>
            <w:r w:rsidRPr="00BA08AB">
              <w:tab/>
            </w:r>
            <w:r w:rsidRPr="00BA08AB">
              <w:rPr>
                <w:b/>
                <w:bCs/>
                <w:i/>
                <w:iCs/>
              </w:rPr>
              <w:t>maksymalne progi</w:t>
            </w:r>
            <w:r w:rsidRPr="00BA08AB">
              <w:t xml:space="preserve"> potencjalnego przyłowu;</w:t>
            </w:r>
          </w:p>
        </w:tc>
        <w:tc>
          <w:tcPr>
            <w:tcW w:w="4876" w:type="dxa"/>
            <w:hideMark/>
          </w:tcPr>
          <w:p w:rsidR="00C6436A" w:rsidRPr="00BA08AB" w:rsidRDefault="00774DE8">
            <w:pPr>
              <w:pStyle w:val="Normal6"/>
              <w:rPr>
                <w:szCs w:val="24"/>
              </w:rPr>
            </w:pPr>
            <w:r w:rsidRPr="00BA08AB">
              <w:t>d)</w:t>
            </w:r>
            <w:r w:rsidRPr="00BA08AB">
              <w:tab/>
            </w:r>
            <w:r w:rsidRPr="00BA08AB">
              <w:rPr>
                <w:b/>
                <w:bCs/>
                <w:i/>
                <w:iCs/>
              </w:rPr>
              <w:t>wdrożenie maksymalnych progów</w:t>
            </w:r>
            <w:r w:rsidRPr="00BA08AB">
              <w:t xml:space="preserve"> potencjalnego przyłowu;</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105 a – ustęp 1 – litera e</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e)</w:t>
            </w:r>
            <w:r w:rsidRPr="00BA08AB">
              <w:tab/>
              <w:t>stosowanie akustycznych urządzeń odstraszających;</w:t>
            </w:r>
          </w:p>
        </w:tc>
        <w:tc>
          <w:tcPr>
            <w:tcW w:w="4876" w:type="dxa"/>
            <w:hideMark/>
          </w:tcPr>
          <w:p w:rsidR="00C6436A" w:rsidRPr="00BA08AB" w:rsidRDefault="00774DE8">
            <w:pPr>
              <w:pStyle w:val="Normal6"/>
              <w:rPr>
                <w:szCs w:val="24"/>
              </w:rPr>
            </w:pPr>
            <w:r w:rsidRPr="00BA08AB">
              <w:t>e)</w:t>
            </w:r>
            <w:r w:rsidRPr="00BA08AB">
              <w:tab/>
              <w:t>stosowanie akustycznych urządzeń ods</w:t>
            </w:r>
            <w:r w:rsidRPr="00BA08AB">
              <w:t xml:space="preserve">traszających; </w:t>
            </w:r>
            <w:r w:rsidRPr="00BA08AB">
              <w:rPr>
                <w:b/>
                <w:i/>
              </w:rPr>
              <w:t>oraz</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105a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 xml:space="preserve">Państwa członkowskie zachęca się, aby ułatwiały wdrażanie środków mających na celu uniknięcie zaplątania się drapieżników podczas ataków oraz zmniejszenie </w:t>
            </w:r>
            <w:r w:rsidRPr="00BA08AB">
              <w:t>upadkowości po uwolnieniu, poprzez odpowiednie wytyczne i szkolenia.</w:t>
            </w:r>
          </w:p>
        </w:tc>
        <w:tc>
          <w:tcPr>
            <w:tcW w:w="4876" w:type="dxa"/>
            <w:hideMark/>
          </w:tcPr>
          <w:p w:rsidR="00C6436A" w:rsidRPr="00BA08AB" w:rsidRDefault="00774DE8">
            <w:pPr>
              <w:pStyle w:val="Normal6"/>
              <w:rPr>
                <w:szCs w:val="24"/>
              </w:rPr>
            </w:pPr>
            <w:r w:rsidRPr="00BA08AB">
              <w:t>2.</w:t>
            </w:r>
            <w:r w:rsidRPr="00BA08AB">
              <w:tab/>
            </w:r>
            <w:r w:rsidRPr="00BA08AB">
              <w:rPr>
                <w:i/>
                <w:iCs/>
              </w:rPr>
              <w:t>(Nie dotyczy polskiej wersji językowej)</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Celem poprawki jest lepsze dostosowanie tekstu do zalecenia GFCM/44/2021/15</w:t>
      </w:r>
      <w:r w:rsidRPr="00BA08AB">
        <w: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53 – litera b</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106 – akapit 1 – litera</w:t>
      </w:r>
      <w:r w:rsidRPr="00BA08AB">
        <w:t xml:space="preserve"> b</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e)</w:t>
            </w:r>
            <w:r w:rsidRPr="00BA08AB">
              <w:tab/>
              <w:t xml:space="preserve">każde zdarzenie przypadkowego połowu, uwolnienia lub odrzutów gatunków rekinów wymienionych w załączniku II lub załączniku III do protokołu dotyczącego obszarów szczególnie chronionych </w:t>
            </w:r>
            <w:r w:rsidRPr="00BA08AB">
              <w:t xml:space="preserve">i różnorodności biologicznej w rejonie Morza </w:t>
            </w:r>
            <w:r w:rsidRPr="00BA08AB">
              <w:lastRenderedPageBreak/>
              <w:t>Śródziemnego.”;</w:t>
            </w:r>
          </w:p>
        </w:tc>
        <w:tc>
          <w:tcPr>
            <w:tcW w:w="4876" w:type="dxa"/>
            <w:hideMark/>
          </w:tcPr>
          <w:p w:rsidR="00C6436A" w:rsidRPr="00BA08AB" w:rsidRDefault="00774DE8">
            <w:pPr>
              <w:pStyle w:val="Normal6"/>
              <w:rPr>
                <w:szCs w:val="24"/>
              </w:rPr>
            </w:pPr>
            <w:r w:rsidRPr="00BA08AB">
              <w:lastRenderedPageBreak/>
              <w:t>e)</w:t>
            </w:r>
            <w:r w:rsidRPr="00BA08AB">
              <w:tab/>
              <w:t xml:space="preserve">każde zdarzenie przypadkowego połowu, uwolnienia lub odrzutów </w:t>
            </w:r>
            <w:r w:rsidRPr="00BA08AB">
              <w:rPr>
                <w:b/>
                <w:bCs/>
                <w:i/>
                <w:iCs/>
              </w:rPr>
              <w:t>w podobszarach geograficznych 1–27</w:t>
            </w:r>
            <w:r w:rsidRPr="00BA08AB">
              <w:t xml:space="preserve"> gatunków rekinów wymienionych w załączniku II lub załączniku III do protokołu dotyczącego obsza</w:t>
            </w:r>
            <w:r w:rsidRPr="00BA08AB">
              <w:t xml:space="preserve">rów szczególnie chronionych i różnorodności biologicznej w rejonie Morza </w:t>
            </w:r>
            <w:r w:rsidRPr="00BA08AB">
              <w:lastRenderedPageBreak/>
              <w:t>Śródziemnego.”;</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w:t>
      </w:r>
      <w:r w:rsidRPr="00BA08AB">
        <w:t>t 53 – litera c</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106 – akapit 1 – litera f</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f)</w:t>
            </w:r>
            <w:r w:rsidRPr="00BA08AB">
              <w:tab/>
              <w:t>każde zdarzenie przypadkowego połowu spodoustych</w:t>
            </w:r>
            <w:r w:rsidRPr="00BA08AB">
              <w:rPr>
                <w:b/>
                <w:bCs/>
                <w:i/>
                <w:iCs/>
              </w:rPr>
              <w:t>”</w:t>
            </w:r>
            <w:r w:rsidRPr="00BA08AB">
              <w:t>;</w:t>
            </w:r>
          </w:p>
        </w:tc>
        <w:tc>
          <w:tcPr>
            <w:tcW w:w="4876" w:type="dxa"/>
            <w:hideMark/>
          </w:tcPr>
          <w:p w:rsidR="00C6436A" w:rsidRPr="00BA08AB" w:rsidRDefault="00774DE8">
            <w:pPr>
              <w:pStyle w:val="Normal6"/>
              <w:rPr>
                <w:szCs w:val="24"/>
              </w:rPr>
            </w:pPr>
            <w:r w:rsidRPr="00BA08AB">
              <w:t>f)</w:t>
            </w:r>
            <w:r w:rsidRPr="00BA08AB">
              <w:tab/>
              <w:t xml:space="preserve">każde zdarzenie </w:t>
            </w:r>
            <w:r w:rsidRPr="00BA08AB">
              <w:t>przypadkowego połowu spodoustych</w:t>
            </w:r>
            <w:r w:rsidRPr="00BA08AB">
              <w:rPr>
                <w:b/>
                <w:bCs/>
                <w:i/>
                <w:iCs/>
              </w:rPr>
              <w:t xml:space="preserve"> w podobszarach geograficznych 1–27</w:t>
            </w:r>
            <w:r w:rsidRPr="00BA08AB">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106d – ustęp 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Statki rybackie upoważnione do połowów w </w:t>
            </w:r>
            <w:r w:rsidRPr="00BA08AB">
              <w:rPr>
                <w:b/>
                <w:bCs/>
                <w:i/>
                <w:iCs/>
              </w:rPr>
              <w:t>strefie B</w:t>
            </w:r>
            <w:r w:rsidRPr="00BA08AB">
              <w:t xml:space="preserve"> są wyposażone w zdalne monitorowanie elektroniczne z wykorzystaniem zwiększonej częstotliwości przesyłania danych, a także elektroniczny dziennik połowowy w dobrym stanie technicznym lub równoważny dokument, a narzędzia połowowe znajdujące się na statku l</w:t>
            </w:r>
            <w:r w:rsidRPr="00BA08AB">
              <w:t>ub używane są należycie zidentyfikowane, ponumerowane i oznakowane przed rozpoczęciem jakiejkolwiek operacji połowowej lub żeglugi w obszarze ograniczonych połowów. W miarę możliwości częstotliwość przekazywania danych z satelitarnych systemów monitorowani</w:t>
            </w:r>
            <w:r w:rsidRPr="00BA08AB">
              <w:t xml:space="preserve">a statków (VMS lub zautomatyzowanych systemów </w:t>
            </w:r>
            <w:r w:rsidRPr="00BA08AB">
              <w:lastRenderedPageBreak/>
              <w:t>identyfikacji) wynosi co najmniej raz na 30 minut w momencie wpłynięcia statku rybackiego do dowolnego obszaru ograniczonych połowów.</w:t>
            </w:r>
          </w:p>
        </w:tc>
        <w:tc>
          <w:tcPr>
            <w:tcW w:w="4876" w:type="dxa"/>
            <w:hideMark/>
          </w:tcPr>
          <w:p w:rsidR="00C6436A" w:rsidRPr="00BA08AB" w:rsidRDefault="00774DE8">
            <w:pPr>
              <w:pStyle w:val="Normal6"/>
              <w:rPr>
                <w:szCs w:val="24"/>
              </w:rPr>
            </w:pPr>
            <w:r w:rsidRPr="00BA08AB">
              <w:lastRenderedPageBreak/>
              <w:t>2.</w:t>
            </w:r>
            <w:r w:rsidRPr="00BA08AB">
              <w:tab/>
              <w:t>Statki rybackie upoważnione do połowów w </w:t>
            </w:r>
            <w:r w:rsidRPr="00BA08AB">
              <w:rPr>
                <w:b/>
                <w:bCs/>
                <w:i/>
                <w:iCs/>
              </w:rPr>
              <w:t>części D.2 załącznika XI</w:t>
            </w:r>
            <w:r w:rsidRPr="00BA08AB">
              <w:t xml:space="preserve"> są wypo</w:t>
            </w:r>
            <w:r w:rsidRPr="00BA08AB">
              <w:t>sażone w zdalne monitorowanie elektroniczne z wykorzystaniem zwiększonej częstotliwości przesyłania danych, a także elektroniczny dziennik połowowy w dobrym stanie technicznym lub równoważny dokument, a narzędzia połowowe znajdujące się na statku lub używa</w:t>
            </w:r>
            <w:r w:rsidRPr="00BA08AB">
              <w:t>ne są należycie zidentyfikowane, ponumerowane i oznakowane przed rozpoczęciem jakiejkolwiek operacji połowowej lub żeglugi w obszarze ograniczonych połowów. W miarę możliwości częstotliwość przekazywania danych z satelitarnych systemów monitorowania statkó</w:t>
            </w:r>
            <w:r w:rsidRPr="00BA08AB">
              <w:t xml:space="preserve">w (VMS lub zautomatyzowanych systemów </w:t>
            </w:r>
            <w:r w:rsidRPr="00BA08AB">
              <w:lastRenderedPageBreak/>
              <w:t>identyfikacji) wynosi co najmniej raz na 30 minut w momencie wpłynięcia statku rybackiego do dowolnego obszaru ograniczonych połowów.</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Sprostowanie </w:t>
      </w:r>
      <w:r w:rsidRPr="00BA08AB">
        <w:t>błędu referencyjnego popełnionego przez Komisję.</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w:t>
      </w:r>
      <w:r w:rsidRPr="00BA08AB">
        <w:rPr>
          <w:rStyle w:val="HideTWBExt"/>
        </w:rPr>
        <w:t>cle2&gt;</w:t>
      </w:r>
      <w:r w:rsidRPr="00BA08AB">
        <w:t>Artykuł 106d – ustęp 4</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tab/>
              <w:t xml:space="preserve">Do dnia 15 maja każdego roku państwa członkowskie przesyłają Komisji sprawozdanie na temat środków zarządzania przyjętych w obszarach ograniczonych połowów. Komisja jest </w:t>
            </w:r>
            <w:r w:rsidRPr="00BA08AB">
              <w:t>uprawniona do przyjęcia aktów delegowanych uzupełniających niniejsze rozporządzenie zgodnie z art. 140 niniejszego rozporządzenia</w:t>
            </w:r>
            <w:r w:rsidRPr="00BA08AB">
              <w:rPr>
                <w:b/>
                <w:bCs/>
                <w:i/>
                <w:iCs/>
              </w:rPr>
              <w:t xml:space="preserve"> i art. 18 ust. 1–6 rozporządzenia (UE) nr 1380/2013</w:t>
            </w:r>
            <w:r w:rsidRPr="00BA08AB">
              <w:t xml:space="preserve"> w odniesieniu do treści sprawozdania, jak zostanie to uzgodnione na poziom</w:t>
            </w:r>
            <w:r w:rsidRPr="00BA08AB">
              <w:t>ie GFCM.</w:t>
            </w:r>
          </w:p>
        </w:tc>
        <w:tc>
          <w:tcPr>
            <w:tcW w:w="4876" w:type="dxa"/>
            <w:hideMark/>
          </w:tcPr>
          <w:p w:rsidR="00C6436A" w:rsidRPr="00BA08AB" w:rsidRDefault="00774DE8">
            <w:pPr>
              <w:pStyle w:val="Normal6"/>
              <w:rPr>
                <w:szCs w:val="24"/>
              </w:rPr>
            </w:pPr>
            <w:r w:rsidRPr="00BA08AB">
              <w:t>4.</w:t>
            </w:r>
            <w:r w:rsidRPr="00BA08AB">
              <w:tab/>
              <w:t>Do dnia 15 maja każdego roku państwa członkowskie przesyłają Komisji sprawozdanie na temat środków zarządzania przyjętych w obszarach ograniczonych połowów. Komisja jest uprawniona do przyjęcia aktów delegowanych uzupełniających niniejsze rozpo</w:t>
            </w:r>
            <w:r w:rsidRPr="00BA08AB">
              <w:t>rządzenie zgodnie z art. 140 niniejszego rozporządzenia w odniesieniu do treści sprawozdania, jak zostanie to uzgodnione na poziomie GFCM.</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Regionalizacja.</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w:t>
      </w:r>
      <w:r w:rsidRPr="00BA08AB">
        <w:rPr>
          <w:rStyle w:val="HideTWBExt"/>
        </w:rPr>
        <w:t>&gt;</w:t>
      </w:r>
      <w:r w:rsidRPr="00774DE8">
        <w:t>86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106d – ustęp 5 – wprowadzenie</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proponowany przez </w:t>
            </w:r>
            <w:r w:rsidRPr="00BA08AB">
              <w:t>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5.</w:t>
            </w:r>
            <w:r w:rsidRPr="00BA08AB">
              <w:tab/>
              <w:t>Sprawozdania przewidziane w ust. </w:t>
            </w:r>
            <w:r w:rsidRPr="00BA08AB">
              <w:rPr>
                <w:b/>
                <w:bCs/>
                <w:i/>
                <w:iCs/>
              </w:rPr>
              <w:t>2</w:t>
            </w:r>
            <w:r w:rsidRPr="00BA08AB">
              <w:t xml:space="preserve"> obejmują:</w:t>
            </w:r>
          </w:p>
        </w:tc>
        <w:tc>
          <w:tcPr>
            <w:tcW w:w="4876" w:type="dxa"/>
            <w:hideMark/>
          </w:tcPr>
          <w:p w:rsidR="00C6436A" w:rsidRPr="00BA08AB" w:rsidRDefault="00774DE8">
            <w:pPr>
              <w:pStyle w:val="Normal6"/>
              <w:rPr>
                <w:szCs w:val="24"/>
              </w:rPr>
            </w:pPr>
            <w:r w:rsidRPr="00BA08AB">
              <w:t>5.</w:t>
            </w:r>
            <w:r w:rsidRPr="00BA08AB">
              <w:tab/>
              <w:t>Sprawozdania przewidziane w ust. </w:t>
            </w:r>
            <w:r w:rsidRPr="00BA08AB">
              <w:rPr>
                <w:b/>
                <w:bCs/>
                <w:i/>
                <w:iCs/>
              </w:rPr>
              <w:t>4</w:t>
            </w:r>
            <w:r w:rsidRPr="00BA08AB">
              <w:t xml:space="preserve"> obejmują:</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106d – ustęp 5 – litera c</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c)</w:t>
            </w:r>
            <w:r w:rsidRPr="00BA08AB">
              <w:tab/>
              <w:t xml:space="preserve">wyniki programów kontroli, w tym co najmniej liczbę </w:t>
            </w:r>
            <w:r w:rsidRPr="00BA08AB">
              <w:t>wykrytych naruszeń, rodzaj naruszenia i zastosowane sankcje;</w:t>
            </w:r>
          </w:p>
        </w:tc>
        <w:tc>
          <w:tcPr>
            <w:tcW w:w="4876" w:type="dxa"/>
            <w:hideMark/>
          </w:tcPr>
          <w:p w:rsidR="00C6436A" w:rsidRPr="00BA08AB" w:rsidRDefault="00774DE8">
            <w:pPr>
              <w:pStyle w:val="Normal6"/>
              <w:rPr>
                <w:szCs w:val="24"/>
              </w:rPr>
            </w:pPr>
            <w:r w:rsidRPr="00BA08AB">
              <w:t>c)</w:t>
            </w:r>
            <w:r w:rsidRPr="00BA08AB">
              <w:tab/>
              <w:t xml:space="preserve">wyniki programów kontroli, w tym co najmniej liczbę wykrytych naruszeń </w:t>
            </w:r>
            <w:r w:rsidRPr="00BA08AB">
              <w:rPr>
                <w:b/>
                <w:bCs/>
                <w:i/>
                <w:iCs/>
              </w:rPr>
              <w:t>popełnionych poza obszarami suwerenności państw członkowskich</w:t>
            </w:r>
            <w:r w:rsidRPr="00BA08AB">
              <w:t>, rodzaj naruszenia i zastosowane sankcje;</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55</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107</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We wschodniej części Zatoki Lwiej ustanawia się obszar ograniczonych połowów</w:t>
            </w:r>
            <w:r w:rsidRPr="00BA08AB">
              <w:rPr>
                <w:b/>
                <w:bCs/>
                <w:i/>
                <w:iCs/>
              </w:rPr>
              <w:t>, wyznaczony odcinkami łączącymi punkty o współrzędnych geograficznych określonych w załączniku XI część A</w:t>
            </w:r>
            <w:r w:rsidRPr="00BA08AB">
              <w:t>.</w:t>
            </w:r>
          </w:p>
        </w:tc>
        <w:tc>
          <w:tcPr>
            <w:tcW w:w="4876" w:type="dxa"/>
            <w:hideMark/>
          </w:tcPr>
          <w:p w:rsidR="00C6436A" w:rsidRPr="00BA08AB" w:rsidRDefault="00774DE8">
            <w:pPr>
              <w:pStyle w:val="Normal6"/>
              <w:rPr>
                <w:szCs w:val="24"/>
              </w:rPr>
            </w:pPr>
            <w:r w:rsidRPr="00BA08AB">
              <w:t>1.</w:t>
            </w:r>
            <w:r w:rsidRPr="00BA08AB">
              <w:tab/>
              <w:t>We wschodniej części Zat</w:t>
            </w:r>
            <w:r w:rsidRPr="00BA08AB">
              <w:t xml:space="preserve">oki Lwiej </w:t>
            </w:r>
            <w:r w:rsidRPr="00BA08AB">
              <w:rPr>
                <w:b/>
                <w:bCs/>
                <w:i/>
                <w:iCs/>
              </w:rPr>
              <w:t>(podobszar geograficzny 7)</w:t>
            </w:r>
            <w:r w:rsidRPr="00BA08AB">
              <w:t xml:space="preserve"> ustanawia się obszar ograniczonych połowów </w:t>
            </w:r>
            <w:r w:rsidRPr="00BA08AB">
              <w:rPr>
                <w:b/>
                <w:bCs/>
                <w:i/>
                <w:iCs/>
              </w:rPr>
              <w:t>w celu wzmocnienia ochrony skupisk tarłowych i wrażliwych siedlisk głębinowych</w:t>
            </w:r>
            <w:r w:rsidRPr="00BA08AB">
              <w:t>.</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rPr>
                <w:b/>
                <w:i/>
              </w:rPr>
              <w:tab/>
              <w:t>W części A strefa (1) zakazuje się profesjonalnych statków rybackich ukierunkowanych na poło</w:t>
            </w:r>
            <w:r w:rsidRPr="00BA08AB">
              <w:rPr>
                <w:b/>
                <w:i/>
              </w:rPr>
              <w:t xml:space="preserve">wy stad dennych przy użyciu sieci ciągnionych, takli dennych, pelagicznych sznurów haczykowych oraz sieci dennych, jak </w:t>
            </w:r>
            <w:r w:rsidRPr="00BA08AB">
              <w:rPr>
                <w:b/>
                <w:i/>
              </w:rPr>
              <w:lastRenderedPageBreak/>
              <w:t>również połowów rekreacyjnych.</w:t>
            </w:r>
          </w:p>
        </w:tc>
        <w:tc>
          <w:tcPr>
            <w:tcW w:w="4876" w:type="dxa"/>
            <w:hideMark/>
          </w:tcPr>
          <w:p w:rsidR="00C6436A" w:rsidRPr="00BA08AB" w:rsidRDefault="00774DE8">
            <w:pPr>
              <w:pStyle w:val="Normal6"/>
              <w:rPr>
                <w:szCs w:val="24"/>
              </w:rPr>
            </w:pPr>
            <w:r w:rsidRPr="00BA08AB">
              <w:lastRenderedPageBreak/>
              <w:t>2.</w:t>
            </w:r>
            <w:r w:rsidRPr="00BA08AB">
              <w:rPr>
                <w:b/>
                <w:i/>
              </w:rPr>
              <w:tab/>
              <w:t xml:space="preserve">Obszar ograniczonych połowów na mocy ust. 1 zostaje podzielony na strefę A i strefę B oraz ograniczony </w:t>
            </w:r>
            <w:r w:rsidRPr="00BA08AB">
              <w:rPr>
                <w:b/>
                <w:i/>
              </w:rPr>
              <w:t xml:space="preserve">liniami łączącymi współrzędne geograficzne określone w załączniku XI część A. </w:t>
            </w:r>
          </w:p>
        </w:tc>
      </w:tr>
      <w:tr w:rsidR="00F17F65" w:rsidRPr="00BA08AB" w:rsidTr="00C6436A">
        <w:trPr>
          <w:jc w:val="center"/>
        </w:trPr>
        <w:tc>
          <w:tcPr>
            <w:tcW w:w="4876" w:type="dxa"/>
            <w:hideMark/>
          </w:tcPr>
          <w:p w:rsidR="00C6436A" w:rsidRPr="00BA08AB" w:rsidRDefault="00774DE8">
            <w:pPr>
              <w:pStyle w:val="Normal6"/>
            </w:pPr>
            <w:r w:rsidRPr="00BA08AB">
              <w:rPr>
                <w:b/>
                <w:i/>
              </w:rPr>
              <w:t>3.</w:t>
            </w:r>
            <w:r w:rsidRPr="00BA08AB">
              <w:rPr>
                <w:b/>
                <w:i/>
              </w:rPr>
              <w:tab/>
              <w:t xml:space="preserve">Od dnia 1 listopada do dnia 30 kwietnia każdego roku zabrania się działalności połowowej ukierunkowanej na stada denne przy użyciu sieci ciągnionych, takli dennych, </w:t>
            </w:r>
            <w:r w:rsidRPr="00BA08AB">
              <w:rPr>
                <w:b/>
                <w:i/>
              </w:rPr>
              <w:t>pelagicznych sznurów haczykowych oraz sieci dennych w części A strefa (2).”;</w:t>
            </w:r>
          </w:p>
        </w:tc>
        <w:tc>
          <w:tcPr>
            <w:tcW w:w="4876" w:type="dxa"/>
          </w:tcPr>
          <w:p w:rsidR="00C6436A" w:rsidRPr="00BA08AB" w:rsidRDefault="00C6436A">
            <w:pPr>
              <w:pStyle w:val="Normal6"/>
            </w:pP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89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 xml:space="preserve">Wniosek dotyczący </w:t>
      </w:r>
      <w:r w:rsidRPr="00BA08AB">
        <w:t>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55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107a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543BCF">
            <w:pPr>
              <w:pStyle w:val="Normal6"/>
              <w:rPr>
                <w:szCs w:val="24"/>
              </w:rPr>
            </w:pPr>
            <w:r w:rsidRPr="00BA08AB">
              <w:rPr>
                <w:b/>
                <w:i/>
              </w:rPr>
              <w:t>(55a)</w:t>
            </w:r>
            <w:r w:rsidRPr="00BA08AB">
              <w:rPr>
                <w:b/>
                <w:i/>
              </w:rPr>
              <w:tab/>
              <w:t xml:space="preserve">dodaje się artykuł </w:t>
            </w:r>
            <w:r w:rsidRPr="00BA08AB">
              <w:rPr>
                <w:b/>
                <w:i/>
              </w:rPr>
              <w:t>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107a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Zarządzanie zdolnością połowową i nakładem połowowym oraz ich monitorowanie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 xml:space="preserve">Aby przyczynić się do ochrony wrażliwych ekosystemów morskich i podstawowych siedlisk ryb dla stad dennych, takich jak morszczuk europejski </w:t>
            </w:r>
            <w:r w:rsidRPr="00BA08AB">
              <w:rPr>
                <w:b/>
                <w:i/>
              </w:rPr>
              <w:t>(Merluccius merluccius), w obszarze A zakazuje się wszelkich profesjonalnych statków rybackich ukierunkowanych na połowy stad dennych przy użyciu sieci ciągnionych, takli dennych, pelagicznych sznurów haczykowych oraz sieci dennych.</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W obszarze A zakaz</w:t>
            </w:r>
            <w:r w:rsidRPr="00BA08AB">
              <w:rPr>
                <w:b/>
                <w:i/>
              </w:rPr>
              <w:t>ane są wszelkie połowy rekreacyjne.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 xml:space="preserve">Od dnia 1 listopada do dnia 30 kwietnia każdego roku w strefie B zabrania się działalności połowowej ukierunkowanej na stada denne przy użyciu sieci ciągnionych, takli dennych, </w:t>
            </w:r>
            <w:r w:rsidRPr="00BA08AB">
              <w:rPr>
                <w:b/>
                <w:i/>
              </w:rPr>
              <w:lastRenderedPageBreak/>
              <w:t xml:space="preserve">pelagicznych sznurów haczykowych oraz </w:t>
            </w:r>
            <w:r w:rsidRPr="00BA08AB">
              <w:rPr>
                <w:b/>
                <w:i/>
              </w:rPr>
              <w:t>sieci dennych. 4.</w:t>
            </w:r>
            <w:r w:rsidRPr="00BA08AB">
              <w:rPr>
                <w:b/>
                <w:i/>
              </w:rPr>
              <w:tab/>
              <w:t xml:space="preserve">W obszarze B zakazane są wszelkie połowy rekreacyjne”. </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w:t>
      </w:r>
      <w:r w:rsidRPr="00BA08AB">
        <w:rPr>
          <w:rStyle w:val="HideTWBExt"/>
        </w:rPr>
        <w:t>/DocAmend&gt;</w:t>
      </w:r>
    </w:p>
    <w:p w:rsidR="00C6436A" w:rsidRPr="00BA08AB" w:rsidRDefault="00774DE8" w:rsidP="00C6436A">
      <w:pPr>
        <w:pStyle w:val="NormalBold"/>
      </w:pPr>
      <w:r w:rsidRPr="00BA08AB">
        <w:rPr>
          <w:rStyle w:val="HideTWBExt"/>
        </w:rPr>
        <w:t>&lt;Article&gt;</w:t>
      </w:r>
      <w:r w:rsidRPr="00BA08AB">
        <w:t>Artykuł 1 – akapit 1 – punkt 56</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108</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1.</w:t>
            </w:r>
            <w:r w:rsidRPr="00BA08AB">
              <w:rPr>
                <w:b/>
                <w:i/>
              </w:rPr>
              <w:tab/>
            </w:r>
            <w:r w:rsidRPr="00BA08AB">
              <w:t>Nakład połowowy (dni na morzu)</w:t>
            </w:r>
            <w:r w:rsidRPr="00BA08AB">
              <w:rPr>
                <w:b/>
                <w:bCs/>
                <w:i/>
                <w:iCs/>
              </w:rPr>
              <w:t xml:space="preserve"> – dotyczący stad dennych – dla statków używających</w:t>
            </w:r>
            <w:r w:rsidRPr="00BA08AB">
              <w:t xml:space="preserve"> sieci ciągnionych, dennych i pelagicznych sznurów haczykowych </w:t>
            </w:r>
            <w:r w:rsidRPr="00BA08AB">
              <w:rPr>
                <w:b/>
                <w:bCs/>
                <w:i/>
                <w:iCs/>
              </w:rPr>
              <w:t>oraz</w:t>
            </w:r>
            <w:r w:rsidRPr="00BA08AB">
              <w:t xml:space="preserve"> sieci dennych </w:t>
            </w:r>
            <w:r w:rsidRPr="00BA08AB">
              <w:rPr>
                <w:b/>
                <w:bCs/>
                <w:i/>
                <w:iCs/>
              </w:rPr>
              <w:t>w obszarze ograniczonych połowów, o którym mowa w art. 107,</w:t>
            </w:r>
            <w:r w:rsidRPr="00BA08AB">
              <w:t xml:space="preserve"> nie przekracza poziomu nakładu połowowego </w:t>
            </w:r>
            <w:r w:rsidRPr="00BA08AB">
              <w:rPr>
                <w:b/>
                <w:bCs/>
                <w:i/>
                <w:iCs/>
              </w:rPr>
              <w:t xml:space="preserve">zastosowanego w 2008 </w:t>
            </w:r>
            <w:r w:rsidRPr="00BA08AB">
              <w:rPr>
                <w:b/>
                <w:bCs/>
                <w:i/>
                <w:iCs/>
              </w:rPr>
              <w:t>roku przez każde z państw członkowskich na tym obszarze</w:t>
            </w:r>
            <w:r w:rsidRPr="00BA08AB">
              <w:t>.</w:t>
            </w:r>
          </w:p>
        </w:tc>
        <w:tc>
          <w:tcPr>
            <w:tcW w:w="4876" w:type="dxa"/>
            <w:hideMark/>
          </w:tcPr>
          <w:p w:rsidR="00C6436A" w:rsidRPr="00BA08AB" w:rsidRDefault="00774DE8">
            <w:pPr>
              <w:pStyle w:val="Normal6"/>
              <w:rPr>
                <w:szCs w:val="24"/>
              </w:rPr>
            </w:pPr>
            <w:r w:rsidRPr="00BA08AB">
              <w:rPr>
                <w:b/>
                <w:bCs/>
                <w:i/>
                <w:iCs/>
              </w:rPr>
              <w:t>Roczny</w:t>
            </w:r>
            <w:r w:rsidRPr="00BA08AB">
              <w:t xml:space="preserve"> nakład połowowy (dni na morzu) </w:t>
            </w:r>
            <w:r w:rsidRPr="00BA08AB">
              <w:rPr>
                <w:b/>
                <w:bCs/>
                <w:i/>
                <w:iCs/>
              </w:rPr>
              <w:t>wykorzystywany w odniesieniu do stad dennych przez statki upoważnione do połowów w [WA1] obszarze ograniczonych połowów</w:t>
            </w:r>
            <w:r w:rsidRPr="00BA08AB">
              <w:t xml:space="preserve"> </w:t>
            </w:r>
            <w:r w:rsidRPr="00BA08AB">
              <w:rPr>
                <w:b/>
                <w:bCs/>
                <w:i/>
                <w:iCs/>
              </w:rPr>
              <w:t>używające</w:t>
            </w:r>
            <w:r w:rsidRPr="00BA08AB">
              <w:t xml:space="preserve"> sieci ciągnionych, dennych i pe</w:t>
            </w:r>
            <w:r w:rsidRPr="00BA08AB">
              <w:t>lagicznych sznurów haczykowych</w:t>
            </w:r>
            <w:r w:rsidRPr="00BA08AB">
              <w:rPr>
                <w:b/>
                <w:bCs/>
                <w:i/>
                <w:iCs/>
              </w:rPr>
              <w:t xml:space="preserve"> lub</w:t>
            </w:r>
            <w:r w:rsidRPr="00BA08AB">
              <w:t xml:space="preserve"> sieci dennych nie przekracza poziomu nakładu połowowego </w:t>
            </w:r>
            <w:r w:rsidRPr="00BA08AB">
              <w:rPr>
                <w:b/>
                <w:bCs/>
                <w:i/>
                <w:iCs/>
              </w:rPr>
              <w:t>wykorzystywanego w okresie odniesienia (ustalonym na lata 2015–2017)</w:t>
            </w:r>
            <w:r w:rsidRPr="00BA08AB">
              <w:t>.</w:t>
            </w:r>
          </w:p>
        </w:tc>
      </w:tr>
      <w:tr w:rsidR="00F17F65" w:rsidRPr="00BA08AB" w:rsidTr="00C6436A">
        <w:trPr>
          <w:jc w:val="center"/>
        </w:trPr>
        <w:tc>
          <w:tcPr>
            <w:tcW w:w="4876" w:type="dxa"/>
            <w:hideMark/>
          </w:tcPr>
          <w:p w:rsidR="00C6436A" w:rsidRPr="00BA08AB" w:rsidRDefault="00774DE8">
            <w:pPr>
              <w:pStyle w:val="Normal6"/>
            </w:pPr>
            <w:r w:rsidRPr="00BA08AB">
              <w:rPr>
                <w:b/>
                <w:i/>
              </w:rPr>
              <w:t>2.</w:t>
            </w:r>
            <w:r w:rsidRPr="00BA08AB">
              <w:rPr>
                <w:b/>
                <w:i/>
              </w:rPr>
              <w:tab/>
              <w:t>Państwa członkowskie nie przenoszą nakładu połowowego między upoważnionymi do połowów w obs</w:t>
            </w:r>
            <w:r w:rsidRPr="00BA08AB">
              <w:rPr>
                <w:b/>
                <w:i/>
              </w:rPr>
              <w:t>zarach ograniczonych połowów statkami, które są wyposażone w różne narzędzia połowowe.”;</w:t>
            </w:r>
          </w:p>
        </w:tc>
        <w:tc>
          <w:tcPr>
            <w:tcW w:w="4876" w:type="dxa"/>
          </w:tcPr>
          <w:p w:rsidR="00C6436A" w:rsidRPr="00BA08AB" w:rsidRDefault="00C6436A">
            <w:pPr>
              <w:pStyle w:val="Normal6"/>
              <w:rPr>
                <w:b/>
                <w:i/>
              </w:rPr>
            </w:pP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91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w:t>
      </w:r>
      <w:r w:rsidRPr="00BA08AB">
        <w:t xml:space="preserve">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56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 xml:space="preserve">Artykuł 110 – ustęp 3 </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(56a)</w:t>
            </w:r>
            <w:r w:rsidRPr="00BA08AB">
              <w:rPr>
                <w:b/>
                <w:i/>
              </w:rPr>
              <w:tab/>
              <w:t xml:space="preserve">w art. 110 ust. 3 otrzymuje </w:t>
            </w:r>
            <w:r w:rsidRPr="00BA08AB">
              <w:rPr>
                <w:b/>
                <w:i/>
              </w:rPr>
              <w:t>brzmienie:</w:t>
            </w:r>
          </w:p>
        </w:tc>
      </w:tr>
      <w:tr w:rsidR="00F17F65" w:rsidRPr="00BA08AB" w:rsidTr="00C6436A">
        <w:trPr>
          <w:jc w:val="center"/>
        </w:trPr>
        <w:tc>
          <w:tcPr>
            <w:tcW w:w="4876" w:type="dxa"/>
            <w:hideMark/>
          </w:tcPr>
          <w:p w:rsidR="00C6436A" w:rsidRPr="00BA08AB" w:rsidRDefault="00774DE8">
            <w:pPr>
              <w:pStyle w:val="Normal6"/>
            </w:pPr>
            <w:r w:rsidRPr="00BA08AB">
              <w:rPr>
                <w:b/>
                <w:i/>
              </w:rPr>
              <w:t>3. Najpóźniej do dnia 16 lutego 2012 r. państwa członkowskie powiadamiają Komisję o przepisach krajowych obowiązujących w dniu 31 grudnia 2008 r. dotyczących:</w:t>
            </w:r>
          </w:p>
        </w:tc>
        <w:tc>
          <w:tcPr>
            <w:tcW w:w="4876" w:type="dxa"/>
            <w:hideMark/>
          </w:tcPr>
          <w:p w:rsidR="00C6436A" w:rsidRPr="00BA08AB" w:rsidRDefault="00774DE8">
            <w:pPr>
              <w:pStyle w:val="Normal6"/>
              <w:rPr>
                <w:szCs w:val="24"/>
              </w:rPr>
            </w:pPr>
            <w:r w:rsidRPr="00BA08AB">
              <w:rPr>
                <w:b/>
                <w:i/>
              </w:rPr>
              <w:t>„3. Najpóźniej do dnia 16 lutego 2012 r. państwa członkowskie powiadamiają Komisję o </w:t>
            </w:r>
            <w:r w:rsidRPr="00BA08AB">
              <w:rPr>
                <w:b/>
                <w:i/>
              </w:rPr>
              <w:t>przepisach krajowych obowiązujących w dniu 31 grudnia 2008 r. dotyczących:</w:t>
            </w:r>
          </w:p>
        </w:tc>
      </w:tr>
      <w:tr w:rsidR="00F17F65" w:rsidRPr="00BA08AB" w:rsidTr="00C6436A">
        <w:trPr>
          <w:jc w:val="center"/>
        </w:trPr>
        <w:tc>
          <w:tcPr>
            <w:tcW w:w="4876" w:type="dxa"/>
          </w:tcPr>
          <w:p w:rsidR="003322C9" w:rsidRPr="00BA08AB" w:rsidRDefault="00774DE8">
            <w:pPr>
              <w:pStyle w:val="Normal6"/>
              <w:rPr>
                <w:b/>
                <w:i/>
              </w:rPr>
            </w:pPr>
            <w:r w:rsidRPr="00BA08AB">
              <w:t>a)</w:t>
            </w:r>
            <w:r w:rsidRPr="00BA08AB">
              <w:tab/>
            </w:r>
            <w:r w:rsidRPr="00BA08AB">
              <w:rPr>
                <w:b/>
                <w:bCs/>
                <w:i/>
                <w:iCs/>
              </w:rPr>
              <w:t>maksymalnej liczby godzin dziennie, w których statek może prowadzić</w:t>
            </w:r>
            <w:r w:rsidRPr="00BA08AB">
              <w:t xml:space="preserve"> działalność połowową;</w:t>
            </w:r>
          </w:p>
        </w:tc>
        <w:tc>
          <w:tcPr>
            <w:tcW w:w="4876" w:type="dxa"/>
          </w:tcPr>
          <w:p w:rsidR="003322C9" w:rsidRPr="00BA08AB" w:rsidRDefault="00774DE8">
            <w:pPr>
              <w:pStyle w:val="Normal6"/>
              <w:rPr>
                <w:b/>
                <w:i/>
              </w:rPr>
            </w:pPr>
            <w:r w:rsidRPr="00BA08AB">
              <w:t>a)</w:t>
            </w:r>
            <w:r w:rsidRPr="00BA08AB">
              <w:rPr>
                <w:b/>
                <w:i/>
              </w:rPr>
              <w:tab/>
            </w:r>
            <w:r w:rsidRPr="00BA08AB">
              <w:rPr>
                <w:b/>
                <w:bCs/>
                <w:i/>
                <w:iCs/>
              </w:rPr>
              <w:t>maksymalnego dziennego czasu przeznaczonego na</w:t>
            </w:r>
            <w:r w:rsidRPr="00BA08AB">
              <w:t xml:space="preserve"> działalność połowową;</w:t>
            </w:r>
          </w:p>
        </w:tc>
      </w:tr>
      <w:tr w:rsidR="00F17F65" w:rsidRPr="00BA08AB" w:rsidTr="00C6436A">
        <w:trPr>
          <w:jc w:val="center"/>
        </w:trPr>
        <w:tc>
          <w:tcPr>
            <w:tcW w:w="4876" w:type="dxa"/>
            <w:hideMark/>
          </w:tcPr>
          <w:p w:rsidR="00C6436A" w:rsidRPr="00BA08AB" w:rsidRDefault="00774DE8">
            <w:pPr>
              <w:pStyle w:val="Normal6"/>
            </w:pPr>
            <w:r w:rsidRPr="00BA08AB">
              <w:t>b)</w:t>
            </w:r>
            <w:r w:rsidRPr="00BA08AB">
              <w:tab/>
            </w:r>
            <w:r w:rsidRPr="00BA08AB">
              <w:t xml:space="preserve">maksymalnej liczby dni </w:t>
            </w:r>
            <w:r w:rsidRPr="00BA08AB">
              <w:rPr>
                <w:b/>
                <w:bCs/>
                <w:i/>
                <w:iCs/>
              </w:rPr>
              <w:t xml:space="preserve">w tygodniu, w których statek może przebywać </w:t>
            </w:r>
            <w:r w:rsidRPr="00BA08AB">
              <w:t>na morzu</w:t>
            </w:r>
            <w:r w:rsidRPr="00BA08AB">
              <w:rPr>
                <w:b/>
                <w:bCs/>
                <w:i/>
                <w:iCs/>
              </w:rPr>
              <w:t xml:space="preserve"> i pozostawać poza portem</w:t>
            </w:r>
            <w:r w:rsidRPr="00BA08AB">
              <w:t>; oraz</w:t>
            </w:r>
          </w:p>
        </w:tc>
        <w:tc>
          <w:tcPr>
            <w:tcW w:w="4876" w:type="dxa"/>
            <w:hideMark/>
          </w:tcPr>
          <w:p w:rsidR="00C6436A" w:rsidRPr="00BA08AB" w:rsidRDefault="00774DE8">
            <w:pPr>
              <w:pStyle w:val="Normal6"/>
              <w:rPr>
                <w:szCs w:val="24"/>
              </w:rPr>
            </w:pPr>
            <w:r w:rsidRPr="00BA08AB">
              <w:t>b)</w:t>
            </w:r>
            <w:r w:rsidRPr="00BA08AB">
              <w:tab/>
              <w:t>maksymalnej liczby dni na morzu; oraz</w:t>
            </w:r>
          </w:p>
        </w:tc>
      </w:tr>
      <w:tr w:rsidR="00F17F65" w:rsidRPr="00BA08AB" w:rsidTr="00C6436A">
        <w:trPr>
          <w:jc w:val="center"/>
        </w:trPr>
        <w:tc>
          <w:tcPr>
            <w:tcW w:w="4876" w:type="dxa"/>
            <w:hideMark/>
          </w:tcPr>
          <w:p w:rsidR="00C6436A" w:rsidRPr="00BA08AB" w:rsidRDefault="00774DE8">
            <w:pPr>
              <w:pStyle w:val="Normal6"/>
            </w:pPr>
            <w:r w:rsidRPr="00BA08AB">
              <w:t>c)</w:t>
            </w:r>
            <w:r w:rsidRPr="00BA08AB">
              <w:tab/>
              <w:t xml:space="preserve">obowiązkowego czasu wyjścia </w:t>
            </w:r>
            <w:r w:rsidRPr="00BA08AB">
              <w:rPr>
                <w:b/>
                <w:bCs/>
                <w:i/>
                <w:iCs/>
              </w:rPr>
              <w:t>statków rybackich</w:t>
            </w:r>
            <w:r w:rsidRPr="00BA08AB">
              <w:t xml:space="preserve"> z </w:t>
            </w:r>
            <w:r w:rsidRPr="00BA08AB">
              <w:rPr>
                <w:b/>
                <w:bCs/>
                <w:i/>
                <w:iCs/>
              </w:rPr>
              <w:t>ich</w:t>
            </w:r>
            <w:r w:rsidRPr="00BA08AB">
              <w:t xml:space="preserve"> zarejestrowanego portu i powrotu do niego.</w:t>
            </w:r>
          </w:p>
        </w:tc>
        <w:tc>
          <w:tcPr>
            <w:tcW w:w="4876" w:type="dxa"/>
            <w:hideMark/>
          </w:tcPr>
          <w:p w:rsidR="00C6436A" w:rsidRPr="00BA08AB" w:rsidRDefault="00774DE8">
            <w:pPr>
              <w:pStyle w:val="Normal6"/>
              <w:rPr>
                <w:szCs w:val="24"/>
              </w:rPr>
            </w:pPr>
            <w:r w:rsidRPr="00BA08AB">
              <w:t>c)</w:t>
            </w:r>
            <w:r w:rsidRPr="00BA08AB">
              <w:tab/>
            </w:r>
            <w:r w:rsidRPr="00BA08AB">
              <w:t>obowiązkowego</w:t>
            </w:r>
            <w:r w:rsidRPr="00BA08AB">
              <w:rPr>
                <w:b/>
                <w:bCs/>
                <w:i/>
                <w:iCs/>
              </w:rPr>
              <w:t xml:space="preserve"> z mocy prawa</w:t>
            </w:r>
            <w:r w:rsidRPr="00BA08AB">
              <w:t xml:space="preserve"> czasu wyjścia z zarejestrowanego portu i powrotu do niego</w:t>
            </w:r>
            <w:r w:rsidRPr="00BA08AB">
              <w:rPr>
                <w:b/>
                <w:bCs/>
                <w:i/>
                <w:iCs/>
              </w:rPr>
              <w:t>”</w:t>
            </w:r>
            <w:r w:rsidRPr="00BA08AB">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w:t>
      </w:r>
      <w:r w:rsidRPr="00BA08AB">
        <w:rPr>
          <w:rStyle w:val="HideTWBExt"/>
        </w:rPr>
        <w:t>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56 b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110 – ustęp 3 a (nowy)</w:t>
      </w:r>
      <w:r w:rsidRPr="00BA08AB">
        <w:rPr>
          <w:rStyle w:val="HideTWBExt"/>
        </w:rPr>
        <w:t>&lt;/Articl</w:t>
      </w:r>
      <w:r w:rsidRPr="00BA08AB">
        <w:rPr>
          <w:rStyle w:val="HideTWBExt"/>
        </w:rPr>
        <w:t>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8B724D">
            <w:pPr>
              <w:pStyle w:val="Normal6"/>
              <w:rPr>
                <w:szCs w:val="24"/>
              </w:rPr>
            </w:pPr>
            <w:r w:rsidRPr="00BA08AB">
              <w:rPr>
                <w:b/>
                <w:i/>
              </w:rPr>
              <w:t>(56b)</w:t>
            </w:r>
            <w:r w:rsidRPr="00BA08AB">
              <w:rPr>
                <w:b/>
                <w:i/>
              </w:rPr>
              <w:tab/>
              <w:t>w art. 110 dodaje się ustęp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„3a.</w:t>
            </w:r>
            <w:r w:rsidRPr="00BA08AB">
              <w:rPr>
                <w:b/>
                <w:i/>
              </w:rPr>
              <w:tab/>
              <w:t xml:space="preserve">Państwa członkowskie nie przenoszą nakładu połowowego między upoważnionymi do połowów w obszarach ograniczonych połowów statkami, które są wyposażone </w:t>
            </w:r>
            <w:r w:rsidRPr="00BA08AB">
              <w:rPr>
                <w:b/>
                <w:i/>
              </w:rPr>
              <w:t xml:space="preserve">w różne narzędzia połowowe.”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w:t>
      </w:r>
      <w:r w:rsidRPr="00BA08AB">
        <w:t>unkt 56 c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110a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ED2CA8">
            <w:pPr>
              <w:pStyle w:val="Normal6"/>
              <w:rPr>
                <w:szCs w:val="24"/>
              </w:rPr>
            </w:pPr>
            <w:r w:rsidRPr="00BA08AB">
              <w:rPr>
                <w:b/>
                <w:i/>
              </w:rPr>
              <w:t>(56c)</w:t>
            </w:r>
            <w:r w:rsidRPr="00BA08AB">
              <w:rPr>
                <w:b/>
                <w:i/>
              </w:rPr>
              <w:tab/>
              <w:t>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110a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Monitorowanie naukowe</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 xml:space="preserve">Państwa </w:t>
            </w:r>
            <w:r w:rsidRPr="00BA08AB">
              <w:rPr>
                <w:b/>
                <w:i/>
              </w:rPr>
              <w:t>członkowskie zapewniają, by:</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Opracowano plan monitorowania naukowego dla obszarów ograniczonych połowów.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Wyniki planu monitorowania obszarów ograniczonych połowów były regularnie zgłaszane i omawiane w ramach odpowiednich organów pomocniczych Nau</w:t>
            </w:r>
            <w:r w:rsidRPr="00BA08AB">
              <w:rPr>
                <w:b/>
                <w:i/>
              </w:rPr>
              <w:t>kowego Komitetu Doradczego ds. Rybołówstwa. Naukowy Komitet Doradczy ds. Rybołówstwa regularnie ocenia plan monitorowania i jego skuteczność.</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Informacje na temat wszystkich statków upoważnionych do połowów w strefie B obszarów ograniczonych połowów by</w:t>
            </w:r>
            <w:r w:rsidRPr="00BA08AB">
              <w:rPr>
                <w:b/>
                <w:i/>
              </w:rPr>
              <w:t xml:space="preserve">ły rejestrowane przez państwa członkowskie (wymienione w załączniku VIII) i udostępniane publicznie na stronie internetowej GFCM w sposób zgodny z polityką i procedurami GFCM w zakresie </w:t>
            </w:r>
            <w:r w:rsidRPr="00BA08AB">
              <w:rPr>
                <w:b/>
                <w:i/>
              </w:rPr>
              <w:lastRenderedPageBreak/>
              <w:t>poufności danych.</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Informacje na temat działalności połowowej, dan</w:t>
            </w:r>
            <w:r w:rsidRPr="00BA08AB">
              <w:rPr>
                <w:b/>
                <w:i/>
              </w:rPr>
              <w:t xml:space="preserve">e dotyczące połowów kluczowych gatunków, przypadkowe połowy, uwalnianie lub odrzucanie gatunków wrażliwych wymienionych w w załączniku II lub w załączniku III do Protokołu dotyczącego obszarów szczególnie chronionych i różnorodności biologicznej w rejonie </w:t>
            </w:r>
            <w:r w:rsidRPr="00BA08AB">
              <w:rPr>
                <w:b/>
                <w:i/>
              </w:rPr>
              <w:t>śródziemnomorskim (protokół dotyczący obszarów szczególnie chronionych i różnorodności biologicznej) do Konwencji o ochronie środowiska morskiego i regionu przybrzeżnego Morza Śródziemnego były zapisywane w elektronicznym dzienniku połowowym lub w równoważ</w:t>
            </w:r>
            <w:r w:rsidRPr="00BA08AB">
              <w:rPr>
                <w:b/>
                <w:i/>
              </w:rPr>
              <w:t>nym dokumencie, zgodnie z normami międzynarodowymi i wymogami w zakresie przekazywania danych określonymi w odpowiednich zaleceniach GFCM.</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Takie informacje są zgłaszane organom krajowym w celu powiadomienia Sekretariatu GFCM, zgodnie z podręcznikiem d</w:t>
            </w:r>
            <w:r w:rsidRPr="00BA08AB">
              <w:rPr>
                <w:b/>
                <w:i/>
              </w:rPr>
              <w:t>otyczący ram odniesienia na potrzeby gromadzenia danych (ang. Data Collection Reference Framework, DCRF).</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Były wprowadzane wszelkie inne dodatkowe środki, na przykład 5-procentowy udział obserwatorów na pokładzie lub zdalne monitorowanie elektroniczne</w:t>
            </w:r>
            <w:r w:rsidRPr="00BA08AB">
              <w:rPr>
                <w:b/>
                <w:i/>
              </w:rPr>
              <w:t xml:space="preserve"> służące wyrównaniu szans między wszystkimi statkami w celu usprawnienia gromadzenia danych w związku z naukowym monitorowaniem kluczowych gatunków”.</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94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56 d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110b (nowy)</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 xml:space="preserve">Tekst </w:t>
            </w:r>
            <w:r w:rsidRPr="00BA08AB">
              <w:t>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ED2CA8">
            <w:pPr>
              <w:pStyle w:val="Normal6"/>
              <w:rPr>
                <w:szCs w:val="24"/>
              </w:rPr>
            </w:pPr>
            <w:r w:rsidRPr="00BA08AB">
              <w:rPr>
                <w:b/>
                <w:i/>
              </w:rPr>
              <w:t>(56d)</w:t>
            </w:r>
            <w:r w:rsidRPr="00BA08AB">
              <w:rPr>
                <w:b/>
                <w:i/>
              </w:rPr>
              <w:tab/>
              <w:t>dodaje się artykuł w brzmieniu:</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„Artykuł 110b</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Środki kontroli i egzekwowania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Państwa członkowskie prowadzą rejestr statków upoważnionych do połowów w obszarach ograniczonych połowów.</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ED2CA8">
            <w:pPr>
              <w:pStyle w:val="Normal6"/>
              <w:rPr>
                <w:szCs w:val="24"/>
              </w:rPr>
            </w:pPr>
            <w:r w:rsidRPr="00BA08AB">
              <w:rPr>
                <w:b/>
                <w:i/>
              </w:rPr>
              <w:t>2.</w:t>
            </w:r>
            <w:r w:rsidRPr="00BA08AB">
              <w:rPr>
                <w:b/>
                <w:i/>
              </w:rPr>
              <w:tab/>
              <w:t xml:space="preserve">Do dnia [data </w:t>
            </w:r>
            <w:r w:rsidRPr="00BA08AB">
              <w:rPr>
                <w:b/>
                <w:i/>
              </w:rPr>
              <w:t>wejścia w życie] państwa członkowskie przekazują Sekretariatowi GFCM, za pośrednictwem platformy internetowej ram odniesienia na potrzeby gromadzenia danych GFCM (DCRF), wykaz statków pływających pod ich banderą upoważnionych do połowów w obszarach ogranic</w:t>
            </w:r>
            <w:r w:rsidRPr="00BA08AB">
              <w:rPr>
                <w:b/>
                <w:i/>
              </w:rPr>
              <w:t>zonych połowów. W odniesieniu do każdego statku wykaz zawiera informacje, o których mowa w załączniku VIII.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Do dnia 31 maja każdego roku państwa członkowskie przesyłają Sekretariatowi GFCM sprawozdanie na temat środków zarządzania, jakie przyjęły w ob</w:t>
            </w:r>
            <w:r w:rsidRPr="00BA08AB">
              <w:rPr>
                <w:b/>
                <w:i/>
              </w:rPr>
              <w:t>szarach ograniczonych połowów. Aby ułatwić przyjęcie wspólnego podejścia w całym obszarze stosowania GFCM, sprawozdanie to przygotowuje się zgodnie ze wspólnymi wytycznymi opracowanymi przez Sekretariat GFCM. Sprawozdanie zostanie opublikowane na stronie i</w:t>
            </w:r>
            <w:r w:rsidRPr="00BA08AB">
              <w:rPr>
                <w:b/>
                <w:i/>
              </w:rPr>
              <w:t>nternetowej GFCM w ciągu dwóch miesięcy od jego otrzymania w sposób zgodny z polityką i procedurami GFCM w zakresie poufności danych.</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ED2CA8">
            <w:pPr>
              <w:pStyle w:val="Normal6"/>
              <w:rPr>
                <w:szCs w:val="24"/>
              </w:rPr>
            </w:pPr>
            <w:r w:rsidRPr="00BA08AB">
              <w:rPr>
                <w:b/>
                <w:i/>
              </w:rPr>
              <w:t>4.</w:t>
            </w:r>
            <w:r w:rsidRPr="00BA08AB">
              <w:rPr>
                <w:b/>
                <w:i/>
              </w:rPr>
              <w:tab/>
              <w:t>Do dnia [data wejścia w życie] państwa członkowskie przekazują Sekretariatowi GFCM obowiązujące do 31 grudnia 2023 r.</w:t>
            </w:r>
            <w:r w:rsidRPr="00BA08AB">
              <w:rPr>
                <w:b/>
                <w:i/>
              </w:rPr>
              <w:t xml:space="preserve"> warunki prawne dotyczące maksymalnego czasu trwania </w:t>
            </w:r>
            <w:r w:rsidRPr="00BA08AB">
              <w:rPr>
                <w:b/>
                <w:i/>
              </w:rPr>
              <w:lastRenderedPageBreak/>
              <w:t>dnia połowowego.</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Państwa członkowskie zapewniają, aby statki rybackie działające w obszarach ograniczonych połowów wywiązywały się z obowiązków określonych w pkt 1 i 2.</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 xml:space="preserve">Profesjonalne statki </w:t>
            </w:r>
            <w:r w:rsidRPr="00BA08AB">
              <w:rPr>
                <w:b/>
                <w:i/>
              </w:rPr>
              <w:t>rybackie o długości przekraczającej 12 m przepływające tranzytem przez obszary ograniczonych połowów muszą mieć na pokładzie działający transponder na potrzeby satelitarnych systemów monitorowania statków (VMS) lub systemów automatycznej identyfikacji (AIS</w:t>
            </w:r>
            <w:r w:rsidRPr="00BA08AB">
              <w:rPr>
                <w:b/>
                <w:i/>
              </w:rPr>
              <w:t>) wyświetlających zwiększoną transmisję danych oraz muszą być wyposażone we wszystkie narzędzia połowowe zamocowane i zasztauowane przez cały czas trwania tranzytu. Zgodnie z zaleceniem GFCM profesjonalne statki rybackie muszą poruszać się wyznaczonym kurs</w:t>
            </w:r>
            <w:r w:rsidRPr="00BA08AB">
              <w:rPr>
                <w:b/>
                <w:i/>
              </w:rPr>
              <w:t>em ze stałą prędkością nie mniejszą niż 6 węzłów, z wyjątkiem przypadków działania siły wyższej lub niekorzystnych warunków. W takich przypadkach kapitan statku niezwłocznie informuje ośrodek monitorowania rybołówstwa państwa bandery statku, aby mógł on po</w:t>
            </w:r>
            <w:r w:rsidRPr="00BA08AB">
              <w:rPr>
                <w:b/>
                <w:i/>
              </w:rPr>
              <w:t xml:space="preserve">wiadomić właściwe organy państw członkowskich o działaniu siły wyższej”.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57</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112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(57)</w:t>
            </w:r>
            <w:r w:rsidRPr="00BA08AB">
              <w:rPr>
                <w:b/>
                <w:i/>
              </w:rPr>
              <w:tab/>
              <w:t>Uchyla się art. 112 rozporządzenia.</w:t>
            </w:r>
          </w:p>
        </w:tc>
        <w:tc>
          <w:tcPr>
            <w:tcW w:w="4876" w:type="dxa"/>
            <w:hideMark/>
          </w:tcPr>
          <w:p w:rsidR="00C6436A" w:rsidRPr="00BA08AB" w:rsidRDefault="00774DE8">
            <w:pPr>
              <w:pStyle w:val="Normal6"/>
              <w:rPr>
                <w:szCs w:val="24"/>
              </w:rPr>
            </w:pPr>
            <w:r w:rsidRPr="00BA08AB">
              <w:rPr>
                <w:b/>
                <w:i/>
              </w:rPr>
              <w:t>skreśla się</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Zalecenie GFCM//44/2021/5 uchylone zaleceniem GFCM/46/2023/1.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Artykuł 1 – akapit 1 – </w:t>
      </w:r>
      <w:r w:rsidRPr="00BA08AB">
        <w:t>punkt 60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120c – ustęp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 xml:space="preserve">Kapitanowie statków rybackich o długości całkowitej powyżej 15 metrów, pływających pod </w:t>
            </w:r>
            <w:r w:rsidRPr="00BA08AB">
              <w:t>banderą państw członkowskich i uczestniczących w operacji przeładunkowej, wypełniają deklarację przeładunkową GFCM zgodnie z załącznikiem XX i wskazują w szczególności wszystkie przeładowane lub przyjęte ilości każdego gatunku powyżej 50 kg ekwiwalentu mas</w:t>
            </w:r>
            <w:r w:rsidRPr="00BA08AB">
              <w:t>y w relacji pełnej lub liczbę osobników, w stosownych przypadkach.</w:t>
            </w:r>
          </w:p>
        </w:tc>
        <w:tc>
          <w:tcPr>
            <w:tcW w:w="4876" w:type="dxa"/>
            <w:hideMark/>
          </w:tcPr>
          <w:p w:rsidR="00C6436A" w:rsidRPr="00BA08AB" w:rsidRDefault="00774DE8">
            <w:pPr>
              <w:pStyle w:val="Normal6"/>
              <w:rPr>
                <w:szCs w:val="24"/>
              </w:rPr>
            </w:pPr>
            <w:r w:rsidRPr="00BA08AB">
              <w:t>1.</w:t>
            </w:r>
            <w:r w:rsidRPr="00BA08AB">
              <w:tab/>
            </w:r>
            <w:r w:rsidRPr="00BA08AB">
              <w:rPr>
                <w:b/>
                <w:bCs/>
                <w:i/>
                <w:iCs/>
              </w:rPr>
              <w:t>Niezależnie od art. 21 rozporządzenia 1224/2009</w:t>
            </w:r>
            <w:r w:rsidRPr="00BA08AB">
              <w:t xml:space="preserve"> kapitanowie statków rybackich o długości całkowitej powyżej 15 metrów, pływających pod banderą państw członkowskich i uczestniczących w operacji przeładunkowej, wypełniają deklarację przeładunkową GFCM zgodnie z załącznikiem XX i wskazują w szczególności </w:t>
            </w:r>
            <w:r w:rsidRPr="00BA08AB">
              <w:t>wszystkie przeładowane lub przyjęte ilości każdego gatunku powyżej 50 kg ekwiwalentu masy w relacji pełnej lub liczbę osobników, w stosownych przypadkach.</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w:t>
      </w:r>
      <w:r w:rsidRPr="00BA08AB">
        <w:t>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120d – ustęp 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 xml:space="preserve">Od wszystkich statków </w:t>
            </w:r>
            <w:r w:rsidRPr="00BA08AB">
              <w:t xml:space="preserve">przekazujących i przyjmujących upoważnionych do przeładunku wymaga się posiadania na statku operacyjnego satelitarnego systemu monitorowania statków i korzystania z niego zgodnie </w:t>
            </w:r>
            <w:r w:rsidRPr="00BA08AB">
              <w:lastRenderedPageBreak/>
              <w:t>z </w:t>
            </w:r>
            <w:r w:rsidRPr="00BA08AB">
              <w:rPr>
                <w:b/>
                <w:bCs/>
                <w:i/>
                <w:iCs/>
              </w:rPr>
              <w:t>minimalnymi normami, o których mowa w zaleceniu GFCM/33/2009/7</w:t>
            </w:r>
            <w:r w:rsidRPr="00BA08AB">
              <w:t>.</w:t>
            </w:r>
          </w:p>
        </w:tc>
        <w:tc>
          <w:tcPr>
            <w:tcW w:w="4876" w:type="dxa"/>
            <w:hideMark/>
          </w:tcPr>
          <w:p w:rsidR="00C6436A" w:rsidRPr="00BA08AB" w:rsidRDefault="00774DE8">
            <w:pPr>
              <w:pStyle w:val="Normal6"/>
              <w:rPr>
                <w:szCs w:val="24"/>
              </w:rPr>
            </w:pPr>
            <w:r w:rsidRPr="00BA08AB">
              <w:lastRenderedPageBreak/>
              <w:t>3.</w:t>
            </w:r>
            <w:r w:rsidRPr="00BA08AB">
              <w:tab/>
              <w:t>Od wszys</w:t>
            </w:r>
            <w:r w:rsidRPr="00BA08AB">
              <w:t xml:space="preserve">tkich statków przekazujących i przyjmujących upoważnionych do przeładunku wymaga się posiadania na statku operacyjnego satelitarnego systemu monitorowania statków i korzystania z niego zgodnie </w:t>
            </w:r>
            <w:r w:rsidRPr="00BA08AB">
              <w:lastRenderedPageBreak/>
              <w:t>z </w:t>
            </w:r>
            <w:r w:rsidRPr="00BA08AB">
              <w:rPr>
                <w:b/>
                <w:bCs/>
                <w:i/>
                <w:iCs/>
              </w:rPr>
              <w:t>właściwościami opisanymi w art. 19 rozporządzenia 404/2011</w:t>
            </w:r>
            <w:r w:rsidRPr="00BA08AB">
              <w:t>.</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VMS objęto rozporządzeniem 1224/2009. Charakterystykę satelitarnych urządzeń lokacyjnych opisano w rozporządzeniu 404/2011.</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 xml:space="preserve">Wniosek </w:t>
      </w:r>
      <w:r w:rsidRPr="00BA08AB">
        <w:t>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60</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120h – akapit 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Do </w:t>
            </w:r>
            <w:r w:rsidRPr="00BA08AB">
              <w:rPr>
                <w:b/>
                <w:bCs/>
                <w:i/>
                <w:iCs/>
              </w:rPr>
              <w:t>dnia 1 stycznia 2025 r.</w:t>
            </w:r>
            <w:r w:rsidRPr="00BA08AB">
              <w:t xml:space="preserve"> państwa członkowskie wprowadzają i utrzymują system obowiązkowych licencji lub rejestrów, obejmujący wszystkich rybaków rekreacyjnych.</w:t>
            </w:r>
          </w:p>
        </w:tc>
        <w:tc>
          <w:tcPr>
            <w:tcW w:w="4876" w:type="dxa"/>
            <w:hideMark/>
          </w:tcPr>
          <w:p w:rsidR="00C6436A" w:rsidRPr="00BA08AB" w:rsidRDefault="00774DE8" w:rsidP="00ED2CA8">
            <w:pPr>
              <w:pStyle w:val="Normal6"/>
              <w:rPr>
                <w:szCs w:val="24"/>
              </w:rPr>
            </w:pPr>
            <w:r w:rsidRPr="00BA08AB">
              <w:t xml:space="preserve">Do </w:t>
            </w:r>
            <w:r w:rsidRPr="00BA08AB">
              <w:rPr>
                <w:b/>
                <w:bCs/>
                <w:i/>
                <w:iCs/>
              </w:rPr>
              <w:t>[data wejścia w życie]</w:t>
            </w:r>
            <w:r w:rsidRPr="00BA08AB">
              <w:t xml:space="preserve"> państwa członkowskie wprowadzają i utrzymują system obowiązkowych licencji lub rejestrów, obej</w:t>
            </w:r>
            <w:r w:rsidRPr="00BA08AB">
              <w:t>mujący wszystkich rybaków rekreacyjnych.</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99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64</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r w:rsidRPr="00BA08AB">
        <w:rPr>
          <w:rStyle w:val="HideTWBExt"/>
        </w:rPr>
        <w:t>&lt;Article2&gt;</w:t>
      </w:r>
      <w:r w:rsidRPr="00BA08AB">
        <w:t>Artykuł 130a – ustęp 4</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tab/>
              <w:t xml:space="preserve">Państwa członkowskie dokonujące wejścia na statek bez przynależności państwowej niezwłocznie powiadamiają o tym Komisję. Komisja niezwłocznie </w:t>
            </w:r>
            <w:r w:rsidRPr="00BA08AB">
              <w:t>powiadamia o tym Sekretariat GFCM.</w:t>
            </w:r>
          </w:p>
        </w:tc>
        <w:tc>
          <w:tcPr>
            <w:tcW w:w="4876" w:type="dxa"/>
            <w:hideMark/>
          </w:tcPr>
          <w:p w:rsidR="00C6436A" w:rsidRPr="00BA08AB" w:rsidRDefault="00774DE8">
            <w:pPr>
              <w:pStyle w:val="Normal6"/>
              <w:rPr>
                <w:szCs w:val="24"/>
              </w:rPr>
            </w:pPr>
            <w:r w:rsidRPr="00BA08AB">
              <w:t>4.</w:t>
            </w:r>
            <w:r w:rsidRPr="00BA08AB">
              <w:tab/>
            </w:r>
            <w:r w:rsidRPr="00BA08AB">
              <w:rPr>
                <w:b/>
                <w:i/>
              </w:rPr>
              <w:t>W przypadku zaobserwowania statku i uzasadnionego podejrzenia, że nie posiada on przynależności państwowej, państwo członkowskie, które dokonało obserwacji, może wejść na pokład statku w celu potwierdzenia jego przynal</w:t>
            </w:r>
            <w:r w:rsidRPr="00BA08AB">
              <w:rPr>
                <w:b/>
                <w:i/>
              </w:rPr>
              <w:t>eżności państwowej.</w:t>
            </w:r>
            <w:r w:rsidRPr="00BA08AB">
              <w:t xml:space="preserve"> Państwa członkowskie dokonujące wejścia na statek bez przynależności państwowej niezwłocznie powiadamiają o tym Komisję. Komisja </w:t>
            </w:r>
            <w:r w:rsidRPr="00BA08AB">
              <w:lastRenderedPageBreak/>
              <w:t>niezwłocznie powiadamia o tym Sekretariat GFCM.</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64</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130a – ustęp 7</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7.</w:t>
            </w:r>
            <w:r w:rsidRPr="00BA08AB">
              <w:rPr>
                <w:b/>
                <w:i/>
              </w:rPr>
              <w:tab/>
              <w:t xml:space="preserve">Komisja jest uprawniona do przyjęcia aktów delegowanych uzupełniających niniejsze rozporządzenie zgodnie z art. 140 niniejszego rozporządzenia i art. 18 ust. 1–6 rozporządzenia (UE) nr 1380/2013 w odniesieniu do danych podawanych w załączniku </w:t>
            </w:r>
            <w:r w:rsidRPr="00BA08AB">
              <w:rPr>
                <w:b/>
                <w:i/>
              </w:rPr>
              <w:t>VII.”;</w:t>
            </w:r>
          </w:p>
        </w:tc>
        <w:tc>
          <w:tcPr>
            <w:tcW w:w="4876" w:type="dxa"/>
            <w:hideMark/>
          </w:tcPr>
          <w:p w:rsidR="00C6436A" w:rsidRPr="00BA08AB" w:rsidRDefault="00774DE8">
            <w:pPr>
              <w:pStyle w:val="Normal6"/>
              <w:rPr>
                <w:szCs w:val="24"/>
              </w:rPr>
            </w:pPr>
            <w:r w:rsidRPr="00BA08AB">
              <w:rPr>
                <w:b/>
                <w:i/>
              </w:rPr>
              <w:t>skreśla się</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W art. 139 należy dodać uprawnienie. W związku z tym należy skreślić art. 130a ust. 7.</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w:t>
      </w:r>
      <w:r w:rsidRPr="00BA08AB">
        <w:t>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65 – wprowadzenie</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139</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(65)</w:t>
            </w:r>
            <w:r w:rsidRPr="00BA08AB">
              <w:tab/>
            </w:r>
            <w:r w:rsidRPr="00BA08AB">
              <w:rPr>
                <w:b/>
                <w:bCs/>
                <w:i/>
                <w:iCs/>
              </w:rPr>
              <w:t>w</w:t>
            </w:r>
            <w:r w:rsidRPr="00BA08AB">
              <w:t xml:space="preserve"> art. 139 </w:t>
            </w:r>
            <w:r w:rsidRPr="00BA08AB">
              <w:rPr>
                <w:b/>
                <w:bCs/>
                <w:i/>
                <w:iCs/>
              </w:rPr>
              <w:t xml:space="preserve">ust. 1 dodaje się punkty </w:t>
            </w:r>
            <w:r w:rsidRPr="00BA08AB">
              <w:rPr>
                <w:b/>
                <w:bCs/>
                <w:i/>
                <w:iCs/>
              </w:rPr>
              <w:t>w brzmieniu</w:t>
            </w:r>
            <w:r w:rsidRPr="00BA08AB">
              <w:t>:</w:t>
            </w:r>
          </w:p>
        </w:tc>
        <w:tc>
          <w:tcPr>
            <w:tcW w:w="4876" w:type="dxa"/>
            <w:hideMark/>
          </w:tcPr>
          <w:p w:rsidR="00C6436A" w:rsidRPr="00BA08AB" w:rsidRDefault="00774DE8">
            <w:pPr>
              <w:pStyle w:val="Normal6"/>
              <w:rPr>
                <w:szCs w:val="24"/>
              </w:rPr>
            </w:pPr>
            <w:r w:rsidRPr="00BA08AB">
              <w:t>(65)</w:t>
            </w:r>
            <w:r w:rsidRPr="00BA08AB">
              <w:tab/>
              <w:t xml:space="preserve">art. 139 </w:t>
            </w:r>
            <w:r w:rsidRPr="00BA08AB">
              <w:rPr>
                <w:b/>
                <w:bCs/>
                <w:i/>
                <w:iCs/>
              </w:rPr>
              <w:t>otrzymuje brzmienie</w:t>
            </w:r>
            <w:r w:rsidRPr="00BA08AB">
              <w:t>:</w:t>
            </w:r>
          </w:p>
        </w:tc>
      </w:tr>
      <w:tr w:rsidR="00F17F65" w:rsidRPr="00BA08AB" w:rsidTr="00C6436A">
        <w:trPr>
          <w:jc w:val="center"/>
        </w:trPr>
        <w:tc>
          <w:tcPr>
            <w:tcW w:w="4876" w:type="dxa"/>
          </w:tcPr>
          <w:p w:rsidR="00ED2CA8" w:rsidRPr="00BA08AB" w:rsidRDefault="00ED2CA8">
            <w:pPr>
              <w:pStyle w:val="Normal6"/>
            </w:pPr>
          </w:p>
        </w:tc>
        <w:tc>
          <w:tcPr>
            <w:tcW w:w="4876" w:type="dxa"/>
          </w:tcPr>
          <w:p w:rsidR="00ED2CA8" w:rsidRPr="00BA08AB" w:rsidRDefault="00774DE8">
            <w:pPr>
              <w:pStyle w:val="Normal6"/>
            </w:pPr>
            <w:r w:rsidRPr="00BA08AB">
              <w:t>„Artykuł 139</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Przekazanie uprawnień</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bCs/>
                <w:i/>
                <w:iCs/>
              </w:rPr>
              <w:t xml:space="preserve">W zakresie, w jakim jest to konieczne do wprowadzenia do prawa Unii zmian we wdrożonych już środkach GFCM, które </w:t>
            </w:r>
            <w:r w:rsidRPr="00BA08AB">
              <w:rPr>
                <w:b/>
                <w:bCs/>
                <w:i/>
                <w:iCs/>
              </w:rPr>
              <w:lastRenderedPageBreak/>
              <w:t>stają się wiążące dla Unii, Komisja jest uprawniona do</w:t>
            </w:r>
            <w:r w:rsidRPr="00BA08AB">
              <w:rPr>
                <w:b/>
                <w:bCs/>
                <w:i/>
                <w:iCs/>
              </w:rPr>
              <w:t xml:space="preserve"> przyjmowania aktów delegowanych zmieniających niniejsze rozporządzenie, zgodnie z art. 140, w odniesieniu do</w:t>
            </w:r>
            <w:r w:rsidRPr="00BA08AB">
              <w:t>:</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w:t>
            </w:r>
            <w:r w:rsidRPr="00BA08AB">
              <w:rPr>
                <w:b/>
                <w:i/>
              </w:rPr>
              <w:tab/>
              <w:t>dostarczania Sekretariatowi GFCM informacji na mocy art. 120 ust. 4;</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(2)</w:t>
            </w:r>
            <w:r w:rsidRPr="00BA08AB">
              <w:rPr>
                <w:b/>
                <w:i/>
              </w:rPr>
              <w:tab/>
              <w:t>uzgodnień dotyczących wykazu upoważnionych statków przekazywaneg</w:t>
            </w:r>
            <w:r w:rsidRPr="00BA08AB">
              <w:rPr>
                <w:b/>
                <w:i/>
              </w:rPr>
              <w:t>o Sekretariatowi GFCM na podstawie art. 9, 10, 15, 24, 34, 47, 61, 70, 74e, 75c, 78 ust. 3, 86, 96c, 106b, 106d ust. 1, 116 i 122 oraz danych, jakie należy podać w załącznikach VIII, XIX i XXIII;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(3)</w:t>
            </w:r>
            <w:r w:rsidRPr="00BA08AB">
              <w:rPr>
                <w:b/>
                <w:i/>
              </w:rPr>
              <w:tab/>
              <w:t>wprowadzenia stałego CDS w odniesieniu do korala czerw</w:t>
            </w:r>
            <w:r w:rsidRPr="00BA08AB">
              <w:rPr>
                <w:b/>
                <w:i/>
              </w:rPr>
              <w:t>onego na podstawie art. 55 i załącznika X;</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(4)</w:t>
            </w:r>
            <w:r w:rsidRPr="00BA08AB">
              <w:rPr>
                <w:b/>
                <w:i/>
              </w:rPr>
              <w:tab/>
              <w:t>środków stosowanych przez państwo portu, określonych w art. 123–127;</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(5)</w:t>
            </w:r>
            <w:r w:rsidRPr="00BA08AB">
              <w:rPr>
                <w:b/>
                <w:i/>
              </w:rPr>
              <w:tab/>
              <w:t>tabeli, mapy i współrzędnych geograficznych podobszarów geograficznych określonych w załączniku 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(6)</w:t>
            </w:r>
            <w:r w:rsidRPr="00BA08AB">
              <w:rPr>
                <w:b/>
                <w:i/>
              </w:rPr>
              <w:tab/>
              <w:t>procedur inspekcji prowadzo</w:t>
            </w:r>
            <w:r w:rsidRPr="00BA08AB">
              <w:rPr>
                <w:b/>
                <w:i/>
              </w:rPr>
              <w:t>nych przez państwo portu w odniesieniu do statków określonych w załączniku II;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(7)</w:t>
            </w:r>
            <w:r w:rsidRPr="00BA08AB">
              <w:rPr>
                <w:b/>
                <w:i/>
              </w:rPr>
              <w:tab/>
              <w:t>macierzy statystycznych GFCM określonych w załączniku III; oraz</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(8)</w:t>
            </w:r>
            <w:r w:rsidRPr="00BA08AB">
              <w:rPr>
                <w:b/>
                <w:i/>
              </w:rPr>
              <w:tab/>
              <w:t>odesłań do aktów międzynarodowych określonych w art. 3 ust. 10, art. 12a, art. 120 ust. 2 i art. 120e</w:t>
            </w:r>
            <w:r w:rsidRPr="00BA08AB">
              <w:rPr>
                <w:b/>
                <w:i/>
              </w:rPr>
              <w:t xml:space="preserve"> ust. 3.</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(9)</w:t>
            </w:r>
            <w:r w:rsidRPr="00BA08AB">
              <w:rPr>
                <w:b/>
                <w:i/>
              </w:rPr>
              <w:tab/>
              <w:t>informacji na temat obserwacji statków w załączniku VII;</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szCs w:val="24"/>
              </w:rPr>
            </w:pPr>
            <w:r w:rsidRPr="00BA08AB">
              <w:rPr>
                <w:b/>
                <w:i/>
              </w:rPr>
              <w:t>(10)</w:t>
            </w:r>
            <w:r w:rsidRPr="00BA08AB">
              <w:rPr>
                <w:b/>
                <w:i/>
              </w:rPr>
              <w:tab/>
              <w:t>środków dotyczących turbota określonych w art. 90–94a.”;</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 xml:space="preserve">W niniejszym rozporządzeniu dodaje się szereg </w:t>
      </w:r>
      <w:r w:rsidRPr="00BA08AB">
        <w:t xml:space="preserve">przepisów i załączników zawierających ustalenia dotyczące przekazywania wykazów upoważnionych statków, które należy dodać do art. 139. Zalecenia GFCM, o których mowa w tekście, mogą zostać zmienione w przyszłości. </w:t>
      </w:r>
      <w:r w:rsidRPr="00BA08AB">
        <w:lastRenderedPageBreak/>
        <w:t>Komisja powinna mieć możliwość dostosowani</w:t>
      </w:r>
      <w:r w:rsidRPr="00BA08AB">
        <w:t>a tych odniesień do aktualnych zaleceń.</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65</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139 – akapit 1 – punkt 11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(11)</w:t>
            </w:r>
            <w:r w:rsidRPr="00BA08AB">
              <w:rPr>
                <w:b/>
                <w:i/>
              </w:rPr>
              <w:tab/>
              <w:t>wdrożenia nowego wzoru obserwacji zgodnie z art. 130a i załącznikiem VII;</w:t>
            </w:r>
          </w:p>
        </w:tc>
        <w:tc>
          <w:tcPr>
            <w:tcW w:w="4876" w:type="dxa"/>
            <w:hideMark/>
          </w:tcPr>
          <w:p w:rsidR="00C6436A" w:rsidRPr="00BA08AB" w:rsidRDefault="00774DE8">
            <w:pPr>
              <w:pStyle w:val="Normal6"/>
              <w:rPr>
                <w:szCs w:val="24"/>
              </w:rPr>
            </w:pPr>
            <w:r w:rsidRPr="00BA08AB">
              <w:rPr>
                <w:b/>
                <w:i/>
              </w:rPr>
              <w:t>skreśla się</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65</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139 – akapit 1 – punkt 12</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i/>
              </w:rPr>
              <w:t>(12)</w:t>
            </w:r>
            <w:r w:rsidRPr="00BA08AB">
              <w:rPr>
                <w:b/>
                <w:i/>
              </w:rPr>
              <w:tab/>
              <w:t>środków dotyczących turbota określonych w art. 90–94a.”;</w:t>
            </w:r>
          </w:p>
        </w:tc>
        <w:tc>
          <w:tcPr>
            <w:tcW w:w="4876" w:type="dxa"/>
            <w:hideMark/>
          </w:tcPr>
          <w:p w:rsidR="00C6436A" w:rsidRPr="00BA08AB" w:rsidRDefault="00774DE8">
            <w:pPr>
              <w:pStyle w:val="Normal6"/>
              <w:rPr>
                <w:szCs w:val="24"/>
              </w:rPr>
            </w:pPr>
            <w:r w:rsidRPr="00BA08AB">
              <w:rPr>
                <w:b/>
                <w:i/>
              </w:rPr>
              <w:t>skreśla się</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66</w:t>
      </w:r>
      <w:r w:rsidRPr="00BA08AB">
        <w:t xml:space="preserve"> a (nowy)</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Artykuł 140</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obowiązujący</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rsidP="00ED2CA8">
            <w:pPr>
              <w:pStyle w:val="Normal6"/>
              <w:rPr>
                <w:szCs w:val="24"/>
              </w:rPr>
            </w:pPr>
            <w:r w:rsidRPr="00BA08AB">
              <w:rPr>
                <w:b/>
                <w:i/>
              </w:rPr>
              <w:t>(66a)</w:t>
            </w:r>
            <w:r w:rsidRPr="00BA08AB">
              <w:rPr>
                <w:b/>
                <w:i/>
              </w:rPr>
              <w:tab/>
              <w:t>art. 140 otrzymuje brzmienie:</w:t>
            </w:r>
          </w:p>
        </w:tc>
      </w:tr>
      <w:tr w:rsidR="00F17F65" w:rsidRPr="00BA08AB" w:rsidTr="00C6436A">
        <w:trPr>
          <w:jc w:val="center"/>
        </w:trPr>
        <w:tc>
          <w:tcPr>
            <w:tcW w:w="4876" w:type="dxa"/>
          </w:tcPr>
          <w:p w:rsidR="00ED2CA8" w:rsidRPr="00BA08AB" w:rsidRDefault="00774DE8">
            <w:pPr>
              <w:pStyle w:val="Normal6"/>
            </w:pPr>
            <w:r w:rsidRPr="00BA08AB">
              <w:t>Artykuł 140</w:t>
            </w:r>
          </w:p>
        </w:tc>
        <w:tc>
          <w:tcPr>
            <w:tcW w:w="4876" w:type="dxa"/>
          </w:tcPr>
          <w:p w:rsidR="00ED2CA8" w:rsidRPr="00BA08AB" w:rsidRDefault="00774DE8" w:rsidP="00ED2CA8">
            <w:pPr>
              <w:pStyle w:val="Normal6"/>
            </w:pPr>
            <w:r w:rsidRPr="00BA08AB">
              <w:t>„Artykuł 140</w:t>
            </w:r>
          </w:p>
        </w:tc>
      </w:tr>
      <w:tr w:rsidR="00F17F65" w:rsidRPr="00BA08AB" w:rsidTr="00C6436A">
        <w:trPr>
          <w:jc w:val="center"/>
        </w:trPr>
        <w:tc>
          <w:tcPr>
            <w:tcW w:w="4876" w:type="dxa"/>
          </w:tcPr>
          <w:p w:rsidR="00ED2CA8" w:rsidRPr="00BA08AB" w:rsidRDefault="00774DE8">
            <w:pPr>
              <w:pStyle w:val="Normal6"/>
            </w:pPr>
            <w:r w:rsidRPr="00BA08AB">
              <w:t>Wykonywanie przekazanych uprawnień</w:t>
            </w:r>
          </w:p>
        </w:tc>
        <w:tc>
          <w:tcPr>
            <w:tcW w:w="4876" w:type="dxa"/>
          </w:tcPr>
          <w:p w:rsidR="00ED2CA8" w:rsidRPr="00BA08AB" w:rsidRDefault="00774DE8" w:rsidP="00ED2CA8">
            <w:pPr>
              <w:pStyle w:val="Normal6"/>
            </w:pPr>
            <w:r w:rsidRPr="00BA08AB">
              <w:t xml:space="preserve">Wykonywanie </w:t>
            </w:r>
            <w:r w:rsidRPr="00BA08AB">
              <w:t>przekazanych uprawnień</w:t>
            </w:r>
          </w:p>
        </w:tc>
      </w:tr>
      <w:tr w:rsidR="00F17F65" w:rsidRPr="00BA08AB" w:rsidTr="00C6436A">
        <w:trPr>
          <w:jc w:val="center"/>
        </w:trPr>
        <w:tc>
          <w:tcPr>
            <w:tcW w:w="4876" w:type="dxa"/>
            <w:hideMark/>
          </w:tcPr>
          <w:p w:rsidR="00C6436A" w:rsidRPr="00BA08AB" w:rsidRDefault="00774DE8">
            <w:pPr>
              <w:pStyle w:val="Normal6"/>
            </w:pPr>
            <w:r w:rsidRPr="00BA08AB">
              <w:lastRenderedPageBreak/>
              <w:t>1.</w:t>
            </w:r>
            <w:r w:rsidRPr="00BA08AB">
              <w:tab/>
              <w:t>Powierzenie Komisji uprawnień do przyjmowania aktów delegowanych podlega warunkom określonym w niniejszym artykule.</w:t>
            </w:r>
          </w:p>
        </w:tc>
        <w:tc>
          <w:tcPr>
            <w:tcW w:w="4876" w:type="dxa"/>
            <w:hideMark/>
          </w:tcPr>
          <w:p w:rsidR="00C6436A" w:rsidRPr="00BA08AB" w:rsidRDefault="00774DE8">
            <w:pPr>
              <w:pStyle w:val="Normal6"/>
              <w:rPr>
                <w:szCs w:val="24"/>
              </w:rPr>
            </w:pPr>
            <w:r w:rsidRPr="00BA08AB">
              <w:t>1.</w:t>
            </w:r>
            <w:r w:rsidRPr="00BA08AB">
              <w:tab/>
              <w:t>Powierzenie Komisji uprawnień do przyjmowania aktów delegowanych podlega warunkom określonym w niniejszym arty</w:t>
            </w:r>
            <w:r w:rsidRPr="00BA08AB">
              <w:t>kule.</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 xml:space="preserve">Uprawnienia do przyjmowania aktów delegowanych, o których mowa w art. 41, 42 i 139, powierza się Komisji na okres trzech lat od dnia 1 listopada 2023 r. Komisja sporządza sprawozdanie dotyczące przekazania uprawnień nie później niż dziewięć </w:t>
            </w:r>
            <w:r w:rsidRPr="00BA08AB">
              <w:t>miesięcy przed końcem okresu trzech lat. Przekazanie uprawnień zostaje automatycznie przedłużone na takie same okresy, chyba że Parlament Europejski lub Rada sprzeciwią się takiemu przedłużeniu nie później niż trzy miesiące przed końcem każdego okresu.</w:t>
            </w:r>
          </w:p>
        </w:tc>
        <w:tc>
          <w:tcPr>
            <w:tcW w:w="4876" w:type="dxa"/>
            <w:hideMark/>
          </w:tcPr>
          <w:p w:rsidR="00C6436A" w:rsidRPr="00BA08AB" w:rsidRDefault="00774DE8">
            <w:pPr>
              <w:pStyle w:val="Normal6"/>
              <w:rPr>
                <w:szCs w:val="24"/>
              </w:rPr>
            </w:pPr>
            <w:r w:rsidRPr="00BA08AB">
              <w:t>2.</w:t>
            </w:r>
            <w:r w:rsidRPr="00BA08AB">
              <w:tab/>
            </w:r>
            <w:r w:rsidRPr="00BA08AB">
              <w:t>Uprawnienia do przyjmowania aktów delegowanych, o których mowa w art. 41, 42</w:t>
            </w:r>
            <w:r w:rsidRPr="00BA08AB">
              <w:rPr>
                <w:b/>
                <w:i/>
              </w:rPr>
              <w:t>, 106d</w:t>
            </w:r>
            <w:r w:rsidRPr="00BA08AB">
              <w:t xml:space="preserve"> i 139, powierza się Komisji na okres trzech lat od dnia 1 listopada 2023 r. Komisja sporządza sprawozdanie dotyczące przekazania uprawnień nie później niż dziewięć miesięcy </w:t>
            </w:r>
            <w:r w:rsidRPr="00BA08AB">
              <w:t>przed końcem okresu trzech lat. Przekazanie uprawnień zostaje automatycznie przedłużone na takie same okresy, chyba że Parlament Europejski lub Rada sprzeciwią się takiemu przedłużeniu nie później niż trzy miesiące przed końcem każdego okresu.</w:t>
            </w:r>
          </w:p>
        </w:tc>
      </w:tr>
      <w:tr w:rsidR="00F17F65" w:rsidRPr="00BA08AB" w:rsidTr="00C6436A">
        <w:trPr>
          <w:jc w:val="center"/>
        </w:trPr>
        <w:tc>
          <w:tcPr>
            <w:tcW w:w="4876" w:type="dxa"/>
            <w:hideMark/>
          </w:tcPr>
          <w:p w:rsidR="00C6436A" w:rsidRPr="00BA08AB" w:rsidRDefault="00774DE8">
            <w:pPr>
              <w:pStyle w:val="Normal6"/>
            </w:pPr>
            <w:r w:rsidRPr="00BA08AB">
              <w:t>3.</w:t>
            </w:r>
            <w:r w:rsidRPr="00BA08AB">
              <w:tab/>
              <w:t>Przekaza</w:t>
            </w:r>
            <w:r w:rsidRPr="00BA08AB">
              <w:t>nie uprawnień, o którym mowa w art. 41, 42 i 139, może zostać w dowolnym momencie odwołane przez Parlament Europejski lub przez Radę. Decyzja o odwołaniu kończy przekazanie określonych w niej uprawnień. Decyzja o odwołaniu staje się skuteczna następnego dn</w:t>
            </w:r>
            <w:r w:rsidRPr="00BA08AB">
              <w:t>ia po jej opublikowaniu w Dzienniku Urzędowym Unii Europejskiej lub w późniejszym terminie określonym w tej decyzji. Nie wpływa ona na ważność już obowiązujących aktów delegowanych.</w:t>
            </w:r>
          </w:p>
        </w:tc>
        <w:tc>
          <w:tcPr>
            <w:tcW w:w="4876" w:type="dxa"/>
            <w:hideMark/>
          </w:tcPr>
          <w:p w:rsidR="00C6436A" w:rsidRPr="00BA08AB" w:rsidRDefault="00774DE8">
            <w:pPr>
              <w:pStyle w:val="Normal6"/>
              <w:rPr>
                <w:szCs w:val="24"/>
              </w:rPr>
            </w:pPr>
            <w:r w:rsidRPr="00BA08AB">
              <w:t>3.</w:t>
            </w:r>
            <w:r w:rsidRPr="00BA08AB">
              <w:tab/>
              <w:t>Przekazanie uprawnień, o którym mowa w art. 41, 42,</w:t>
            </w:r>
            <w:r w:rsidRPr="00BA08AB">
              <w:rPr>
                <w:b/>
                <w:i/>
              </w:rPr>
              <w:t xml:space="preserve"> 106d</w:t>
            </w:r>
            <w:r w:rsidRPr="00BA08AB">
              <w:t xml:space="preserve"> i 139, może zo</w:t>
            </w:r>
            <w:r w:rsidRPr="00BA08AB">
              <w:t>stać w dowolnym momencie odwołane przez Parlament Europejski lub przez Radę. Decyzja o odwołaniu kończy przekazanie określonych w niej uprawnień. Decyzja o odwołaniu staje się skuteczna następnego dnia po jej opublikowaniu w Dzienniku Urzędowym Unii Europe</w:t>
            </w:r>
            <w:r w:rsidRPr="00BA08AB">
              <w:t>jskiej lub w późniejszym terminie określonym w tej decyzji. Nie wpływa ona na ważność już obowiązujących aktów delegowanych.</w:t>
            </w:r>
          </w:p>
        </w:tc>
      </w:tr>
      <w:tr w:rsidR="00F17F65" w:rsidRPr="00BA08AB" w:rsidTr="00C6436A">
        <w:trPr>
          <w:jc w:val="center"/>
        </w:trPr>
        <w:tc>
          <w:tcPr>
            <w:tcW w:w="4876" w:type="dxa"/>
            <w:hideMark/>
          </w:tcPr>
          <w:p w:rsidR="00C6436A" w:rsidRPr="00BA08AB" w:rsidRDefault="00774DE8">
            <w:pPr>
              <w:pStyle w:val="Normal6"/>
            </w:pPr>
            <w:r w:rsidRPr="00BA08AB">
              <w:t>4.</w:t>
            </w:r>
            <w:r w:rsidRPr="00BA08AB">
              <w:tab/>
              <w:t xml:space="preserve">Przed przyjęciem aktu delegowanego Komisja konsultuje się z ekspertami wyznaczonymi przez każde państwo członkowskie zgodnie z </w:t>
            </w:r>
            <w:r w:rsidRPr="00BA08AB">
              <w:t>zasadami określonymi w Porozumieniu międzyinstytucjonalnym z dnia 13 kwietnia 2016 r. w sprawie lepszego stanowienia prawa.</w:t>
            </w:r>
          </w:p>
        </w:tc>
        <w:tc>
          <w:tcPr>
            <w:tcW w:w="4876" w:type="dxa"/>
            <w:hideMark/>
          </w:tcPr>
          <w:p w:rsidR="00C6436A" w:rsidRPr="00BA08AB" w:rsidRDefault="00774DE8">
            <w:pPr>
              <w:pStyle w:val="Normal6"/>
              <w:rPr>
                <w:szCs w:val="24"/>
              </w:rPr>
            </w:pPr>
            <w:r w:rsidRPr="00BA08AB">
              <w:t>4.</w:t>
            </w:r>
            <w:r w:rsidRPr="00BA08AB">
              <w:tab/>
              <w:t>Przed przyjęciem aktu delegowanego Komisja konsultuje się z ekspertami wyznaczonymi przez każde państwo członkowskie zgodnie z za</w:t>
            </w:r>
            <w:r w:rsidRPr="00BA08AB">
              <w:t>sadami określonymi w Porozumieniu międzyinstytucjonalnym z dnia 13 kwietnia 2016 r. w sprawie lepszego stanowienia prawa.</w:t>
            </w:r>
          </w:p>
        </w:tc>
      </w:tr>
      <w:tr w:rsidR="00F17F65" w:rsidRPr="00BA08AB" w:rsidTr="00C6436A">
        <w:trPr>
          <w:jc w:val="center"/>
        </w:trPr>
        <w:tc>
          <w:tcPr>
            <w:tcW w:w="4876" w:type="dxa"/>
            <w:hideMark/>
          </w:tcPr>
          <w:p w:rsidR="00C6436A" w:rsidRPr="00BA08AB" w:rsidRDefault="00774DE8">
            <w:pPr>
              <w:pStyle w:val="Normal6"/>
            </w:pPr>
            <w:r w:rsidRPr="00BA08AB">
              <w:t>5.</w:t>
            </w:r>
            <w:r w:rsidRPr="00BA08AB">
              <w:tab/>
              <w:t>Niezwłocznie po przyjęciu aktu delegowanego Komisja przekazuje go równocześnie Parlamentowi Europejskiemu i Radzie.</w:t>
            </w:r>
          </w:p>
        </w:tc>
        <w:tc>
          <w:tcPr>
            <w:tcW w:w="4876" w:type="dxa"/>
            <w:hideMark/>
          </w:tcPr>
          <w:p w:rsidR="00C6436A" w:rsidRPr="00BA08AB" w:rsidRDefault="00774DE8">
            <w:pPr>
              <w:pStyle w:val="Normal6"/>
              <w:rPr>
                <w:szCs w:val="24"/>
              </w:rPr>
            </w:pPr>
            <w:r w:rsidRPr="00BA08AB">
              <w:t>5.</w:t>
            </w:r>
            <w:r w:rsidRPr="00BA08AB">
              <w:tab/>
              <w:t>Niezwłoczni</w:t>
            </w:r>
            <w:r w:rsidRPr="00BA08AB">
              <w:t>e po przyjęciu aktu delegowanego Komisja przekazuje go równocześnie Parlamentowi Europejskiemu i Radzie.</w:t>
            </w:r>
          </w:p>
        </w:tc>
      </w:tr>
      <w:tr w:rsidR="00F17F65" w:rsidRPr="00BA08AB" w:rsidTr="00C6436A">
        <w:trPr>
          <w:jc w:val="center"/>
        </w:trPr>
        <w:tc>
          <w:tcPr>
            <w:tcW w:w="4876" w:type="dxa"/>
            <w:hideMark/>
          </w:tcPr>
          <w:p w:rsidR="00C6436A" w:rsidRPr="00BA08AB" w:rsidRDefault="00774DE8">
            <w:pPr>
              <w:pStyle w:val="Normal6"/>
            </w:pPr>
            <w:r w:rsidRPr="00BA08AB">
              <w:t>6.</w:t>
            </w:r>
            <w:r w:rsidRPr="00BA08AB">
              <w:tab/>
              <w:t>Akt delegowany przyjęty na podstawie art. 41, 42 i 139 wchodzi w życie tylko wówczas, gdy ani Parlament Europejski, ani Rada nie wyraziły sprzeciwu</w:t>
            </w:r>
            <w:r w:rsidRPr="00BA08AB">
              <w:t xml:space="preserve"> w terminie dwóch miesięcy od przekazania tego aktu Parlamentowi </w:t>
            </w:r>
            <w:r w:rsidRPr="00BA08AB">
              <w:lastRenderedPageBreak/>
              <w:t>Europejskiemu i Radzie, lub gdy, przed upływem tego terminu, zarówno Parlament Europejski, jak i Rada poinformowały Komisję, że nie wniosą sprzeciwu. Termin ten przedłuża się o dwa miesiące z</w:t>
            </w:r>
            <w:r w:rsidRPr="00BA08AB">
              <w:t xml:space="preserve"> inicjatywy Parlamentu Europejskiego lub Rady.</w:t>
            </w:r>
          </w:p>
        </w:tc>
        <w:tc>
          <w:tcPr>
            <w:tcW w:w="4876" w:type="dxa"/>
            <w:hideMark/>
          </w:tcPr>
          <w:p w:rsidR="00C6436A" w:rsidRPr="00BA08AB" w:rsidRDefault="00774DE8" w:rsidP="00ED2CA8">
            <w:pPr>
              <w:pStyle w:val="Normal6"/>
              <w:rPr>
                <w:szCs w:val="24"/>
              </w:rPr>
            </w:pPr>
            <w:r w:rsidRPr="00BA08AB">
              <w:lastRenderedPageBreak/>
              <w:t>6.</w:t>
            </w:r>
            <w:r w:rsidRPr="00BA08AB">
              <w:tab/>
              <w:t>Akt delegowany przyjęty na podstawie art. 41, 42</w:t>
            </w:r>
            <w:r w:rsidRPr="00BA08AB">
              <w:rPr>
                <w:b/>
                <w:bCs/>
                <w:i/>
                <w:iCs/>
              </w:rPr>
              <w:t>, 106d</w:t>
            </w:r>
            <w:r w:rsidRPr="00BA08AB">
              <w:t xml:space="preserve"> i 139 wchodzi w życie tylko wówczas, gdy ani Parlament Europejski, ani Rada nie wyraziły sprzeciwu w terminie dwóch miesięcy od przekazania tego aktu P</w:t>
            </w:r>
            <w:r w:rsidRPr="00BA08AB">
              <w:t xml:space="preserve">arlamentowi </w:t>
            </w:r>
            <w:r w:rsidRPr="00BA08AB">
              <w:lastRenderedPageBreak/>
              <w:t>Europejskiemu i Radzie, lub gdy, przed upływem tego terminu, zarówno Parlament Europejski, jak i Rada poinformowały Komisję, że nie wniosą sprzeciwu. Termin ten przedłuża się o dwa miesiące z inicjatywy Parlamentu Europejskiego lub Rady”.</w:t>
            </w:r>
            <w:r w:rsidRPr="00BA08AB">
              <w:rPr>
                <w:b/>
                <w:i/>
              </w:rPr>
              <w:t xml:space="preserve"> </w:t>
            </w:r>
          </w:p>
        </w:tc>
      </w:tr>
    </w:tbl>
    <w:p w:rsidR="00C6436A" w:rsidRPr="00BA08AB" w:rsidRDefault="00774DE8" w:rsidP="00C6436A">
      <w:pPr>
        <w:pStyle w:val="Olang"/>
      </w:pPr>
      <w:r w:rsidRPr="00BA08AB">
        <w:rPr>
          <w:noProof w:val="0"/>
        </w:rPr>
        <w:lastRenderedPageBreak/>
        <w:t>Or.</w:t>
      </w:r>
      <w:r w:rsidRPr="00BA08AB">
        <w:rPr>
          <w:noProof w:val="0"/>
        </w:rPr>
        <w:t xml:space="preserve">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4B7199" w:rsidRPr="00BA08AB" w:rsidRDefault="00774DE8" w:rsidP="00C6436A">
      <w:pPr>
        <w:pStyle w:val="JustificationTitle"/>
      </w:pPr>
      <w:r w:rsidRPr="00BA08AB">
        <w:t>(https://eur-lex.europa.eu/legal-content/PL/TXT/?uri=CELEX:32023R2124)</w:t>
      </w:r>
    </w:p>
    <w:p w:rsidR="00C6436A" w:rsidRPr="00BA08AB" w:rsidRDefault="00774DE8" w:rsidP="00C6436A">
      <w:pPr>
        <w:pStyle w:val="JustificationTitle"/>
        <w:rPr>
          <w:noProof w:val="0"/>
        </w:rPr>
      </w:pPr>
      <w:r w:rsidRPr="00BA08AB">
        <w:rPr>
          <w:rStyle w:val="HideTWBExt"/>
          <w:i w:val="0"/>
        </w:rPr>
        <w:t>&lt;TitreJust&gt;</w:t>
      </w:r>
      <w:r w:rsidRPr="00BA08AB">
        <w:t>Uzasadnienie</w:t>
      </w:r>
      <w:r w:rsidRPr="00BA08AB">
        <w:rPr>
          <w:rStyle w:val="HideTWBExt"/>
          <w:i w:val="0"/>
        </w:rPr>
        <w:t>&lt;/TitreJust&gt;</w:t>
      </w:r>
    </w:p>
    <w:p w:rsidR="00C6436A" w:rsidRPr="00BA08AB" w:rsidRDefault="00774DE8" w:rsidP="00C6436A">
      <w:pPr>
        <w:pStyle w:val="Normal12Italic"/>
        <w:rPr>
          <w:noProof w:val="0"/>
        </w:rPr>
      </w:pPr>
      <w:r w:rsidRPr="00BA08AB">
        <w:t>W art. 106d wprowadza się nowe uprawnienie Komisji do uzupełnienia rozporządzenia 2023/2124. Artykuł ten powinien zostać</w:t>
      </w:r>
      <w:r w:rsidRPr="00BA08AB">
        <w:t xml:space="preserve"> włączony do artykułu dotyczącego wykonywania przekazanych uprawnień.</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Artykuł 1 – akapit 1 – punkt 68</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(68)</w:t>
            </w:r>
            <w:r w:rsidRPr="00BA08AB">
              <w:tab/>
              <w:t xml:space="preserve">załączniki XVII, XVIII, XIX, XX, XXI, XXII </w:t>
            </w:r>
            <w:r w:rsidRPr="00BA08AB">
              <w:rPr>
                <w:b/>
                <w:bCs/>
                <w:i/>
                <w:iCs/>
              </w:rPr>
              <w:t>oraz</w:t>
            </w:r>
            <w:r w:rsidRPr="00BA08AB">
              <w:t xml:space="preserve"> XXIII dodaje się zgodnie z pkt 2) załącznika do niniejszego rozporządzenia.</w:t>
            </w:r>
          </w:p>
        </w:tc>
        <w:tc>
          <w:tcPr>
            <w:tcW w:w="4876" w:type="dxa"/>
            <w:hideMark/>
          </w:tcPr>
          <w:p w:rsidR="00C6436A" w:rsidRPr="00BA08AB" w:rsidRDefault="00774DE8">
            <w:pPr>
              <w:pStyle w:val="Normal6"/>
              <w:rPr>
                <w:szCs w:val="24"/>
              </w:rPr>
            </w:pPr>
            <w:r w:rsidRPr="00BA08AB">
              <w:t>(68)</w:t>
            </w:r>
            <w:r w:rsidRPr="00BA08AB">
              <w:tab/>
              <w:t>załączniki XVII, XVIII, XIX, XX, XXI, XXII</w:t>
            </w:r>
            <w:r w:rsidRPr="00BA08AB">
              <w:rPr>
                <w:b/>
                <w:bCs/>
                <w:i/>
                <w:iCs/>
              </w:rPr>
              <w:t>,</w:t>
            </w:r>
            <w:r w:rsidRPr="00BA08AB">
              <w:t xml:space="preserve"> XXIV </w:t>
            </w:r>
            <w:r w:rsidRPr="00BA08AB">
              <w:rPr>
                <w:b/>
                <w:bCs/>
                <w:i/>
                <w:iCs/>
              </w:rPr>
              <w:t>oraz XXIV</w:t>
            </w:r>
            <w:r w:rsidRPr="00BA08AB">
              <w:t xml:space="preserve"> dodaje się zgodnie z pkt 2) załącznika do niniejszego rozporządzenia.</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 – wprowadzenie</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(1)</w:t>
            </w:r>
            <w:r w:rsidRPr="00BA08AB">
              <w:tab/>
              <w:t>Załączniki VII, VIII oraz XI otrzymują brzmienie:</w:t>
            </w:r>
          </w:p>
        </w:tc>
        <w:tc>
          <w:tcPr>
            <w:tcW w:w="4876" w:type="dxa"/>
            <w:hideMark/>
          </w:tcPr>
          <w:p w:rsidR="00C6436A" w:rsidRPr="00BA08AB" w:rsidRDefault="00774DE8">
            <w:pPr>
              <w:pStyle w:val="Normal6"/>
              <w:rPr>
                <w:szCs w:val="24"/>
              </w:rPr>
            </w:pPr>
            <w:r w:rsidRPr="00BA08AB">
              <w:t>(1)</w:t>
            </w:r>
            <w:r w:rsidRPr="00BA08AB">
              <w:tab/>
              <w:t>Załączniki VII, VIII</w:t>
            </w:r>
            <w:r w:rsidRPr="00BA08AB">
              <w:rPr>
                <w:b/>
                <w:bCs/>
                <w:i/>
                <w:iCs/>
              </w:rPr>
              <w:t>, X</w:t>
            </w:r>
            <w:r w:rsidRPr="00BA08AB">
              <w:t xml:space="preserve"> oraz XI otrzymują brzmienie:</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107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tytuł</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rPr>
                <w:b/>
                <w:bCs/>
                <w:i/>
                <w:iCs/>
              </w:rPr>
              <w:t>ARKUSZ SPRAWOZDANIA</w:t>
            </w:r>
            <w:r w:rsidRPr="00BA08AB">
              <w:t xml:space="preserve"> Z OBSERWACJI</w:t>
            </w:r>
          </w:p>
        </w:tc>
        <w:tc>
          <w:tcPr>
            <w:tcW w:w="4876" w:type="dxa"/>
            <w:hideMark/>
          </w:tcPr>
          <w:p w:rsidR="00C6436A" w:rsidRPr="00BA08AB" w:rsidRDefault="00774DE8">
            <w:pPr>
              <w:pStyle w:val="Normal6"/>
              <w:rPr>
                <w:szCs w:val="24"/>
              </w:rPr>
            </w:pPr>
            <w:r w:rsidRPr="00BA08AB">
              <w:rPr>
                <w:b/>
                <w:bCs/>
                <w:i/>
                <w:iCs/>
              </w:rPr>
              <w:t>SPRAWOZDANIE</w:t>
            </w:r>
            <w:r w:rsidRPr="00BA08AB">
              <w:t xml:space="preserve"> Z OBSERWACJI</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rPr>
          <w:szCs w:val="24"/>
        </w:rPr>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w:t>
      </w:r>
      <w:r w:rsidRPr="00BA08AB">
        <w:rPr>
          <w:rStyle w:val="HideTWBExt"/>
        </w:rPr>
        <w:t>ocAmend2&gt;</w:t>
      </w:r>
    </w:p>
    <w:p w:rsidR="00C6436A" w:rsidRPr="00BA08AB" w:rsidRDefault="00774DE8" w:rsidP="00C6436A">
      <w:r w:rsidRPr="00BA08AB">
        <w:rPr>
          <w:rStyle w:val="HideTWBExt"/>
        </w:rPr>
        <w:t>&lt;Article2&gt;</w:t>
      </w:r>
      <w:r w:rsidRPr="00BA08AB">
        <w:t>Załącznik VII – wiersz 2</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t>Pozycja obserwowanego statku:</w:t>
            </w:r>
          </w:p>
        </w:tc>
        <w:tc>
          <w:tcPr>
            <w:tcW w:w="4876" w:type="dxa"/>
            <w:hideMark/>
          </w:tcPr>
          <w:p w:rsidR="00C6436A" w:rsidRPr="00BA08AB" w:rsidRDefault="00774DE8">
            <w:pPr>
              <w:pStyle w:val="TableParagraph"/>
              <w:spacing w:before="154" w:line="252" w:lineRule="exact"/>
              <w:ind w:left="110"/>
              <w:rPr>
                <w:szCs w:val="24"/>
              </w:rPr>
            </w:pPr>
            <w:r w:rsidRPr="00BA08AB">
              <w:t>2.</w:t>
            </w:r>
            <w:r w:rsidRPr="00BA08AB">
              <w:tab/>
              <w:t>Pozycja obserwowanego statku:</w:t>
            </w:r>
          </w:p>
        </w:tc>
      </w:tr>
      <w:tr w:rsidR="00F17F65" w:rsidRPr="00BA08AB" w:rsidTr="00C6436A">
        <w:trPr>
          <w:jc w:val="center"/>
        </w:trPr>
        <w:tc>
          <w:tcPr>
            <w:tcW w:w="4876" w:type="dxa"/>
            <w:hideMark/>
          </w:tcPr>
          <w:p w:rsidR="00C6436A" w:rsidRPr="00BA08AB" w:rsidRDefault="00774DE8">
            <w:pPr>
              <w:pStyle w:val="Normal6"/>
            </w:pPr>
            <w:r w:rsidRPr="00BA08AB">
              <w:t>Szerokość geograficzna</w:t>
            </w:r>
            <w:r w:rsidRPr="00BA08AB">
              <w:tab/>
              <w:t>Długość geograficzna</w:t>
            </w:r>
          </w:p>
        </w:tc>
        <w:tc>
          <w:tcPr>
            <w:tcW w:w="4876" w:type="dxa"/>
            <w:hideMark/>
          </w:tcPr>
          <w:p w:rsidR="00C6436A" w:rsidRPr="00BA08AB" w:rsidRDefault="00774DE8">
            <w:pPr>
              <w:pStyle w:val="Normal6"/>
              <w:rPr>
                <w:rFonts w:eastAsia="Calibri"/>
                <w:noProof/>
              </w:rPr>
            </w:pPr>
            <w:r w:rsidRPr="00BA08AB">
              <w:t>Szerokość geograficzna</w:t>
            </w:r>
            <w:r w:rsidRPr="00BA08AB">
              <w:tab/>
              <w:t>Długość geograficzna</w:t>
            </w:r>
          </w:p>
        </w:tc>
      </w:tr>
      <w:tr w:rsidR="00F17F65" w:rsidRPr="00BA08AB" w:rsidTr="00C6436A">
        <w:trPr>
          <w:jc w:val="center"/>
        </w:trPr>
        <w:tc>
          <w:tcPr>
            <w:tcW w:w="4876" w:type="dxa"/>
          </w:tcPr>
          <w:p w:rsidR="00C6436A" w:rsidRPr="00BA08AB" w:rsidRDefault="00C6436A">
            <w:pPr>
              <w:pStyle w:val="Normal6"/>
            </w:pPr>
          </w:p>
        </w:tc>
        <w:tc>
          <w:tcPr>
            <w:tcW w:w="4876" w:type="dxa"/>
            <w:hideMark/>
          </w:tcPr>
          <w:p w:rsidR="00C6436A" w:rsidRPr="00BA08AB" w:rsidRDefault="00774DE8">
            <w:pPr>
              <w:pStyle w:val="Normal6"/>
              <w:rPr>
                <w:b/>
                <w:i/>
                <w:szCs w:val="24"/>
              </w:rPr>
            </w:pPr>
            <w:r w:rsidRPr="00BA08AB">
              <w:rPr>
                <w:b/>
                <w:i/>
              </w:rPr>
              <w:t>Obszar, podobszar geograficzny i podrejon połowów:</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109</w:t>
      </w:r>
      <w:r w:rsidRPr="00BA08AB">
        <w:rPr>
          <w:rStyle w:val="HideTWBExt"/>
        </w:rPr>
        <w:t>&lt;/NumAm&gt;</w:t>
      </w:r>
    </w:p>
    <w:p w:rsidR="00C6436A" w:rsidRPr="00BA08AB" w:rsidRDefault="00774DE8" w:rsidP="00C6436A">
      <w:pPr>
        <w:pStyle w:val="NormalBold12b"/>
        <w:keepNext/>
      </w:pPr>
      <w:r w:rsidRPr="00BA08AB">
        <w:rPr>
          <w:rStyle w:val="HideTWBExt"/>
        </w:rPr>
        <w:t>&lt;</w:t>
      </w:r>
      <w:r w:rsidRPr="00BA08AB">
        <w:rPr>
          <w:rStyle w:val="HideTWBExt"/>
        </w:rPr>
        <w: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w:t>
      </w:r>
      <w:r w:rsidRPr="00BA08AB">
        <w:t>(UE)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8</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rPr>
                <w:szCs w:val="24"/>
              </w:rPr>
            </w:pPr>
            <w:r w:rsidRPr="00BA08AB">
              <w:t>8.</w:t>
            </w:r>
            <w:r w:rsidRPr="00BA08AB">
              <w:tab/>
              <w:t>Numer rejestracyjny:</w:t>
            </w: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8.</w:t>
            </w:r>
            <w:r w:rsidRPr="00BA08AB">
              <w:rPr>
                <w:sz w:val="24"/>
              </w:rPr>
              <w:tab/>
            </w:r>
            <w:r w:rsidRPr="00BA08AB">
              <w:rPr>
                <w:b/>
                <w:bCs/>
                <w:i/>
                <w:iCs/>
                <w:sz w:val="24"/>
              </w:rPr>
              <w:t>Krajowy</w:t>
            </w:r>
            <w:r w:rsidRPr="00BA08AB">
              <w:rPr>
                <w:sz w:val="24"/>
              </w:rPr>
              <w:t xml:space="preserve"> numer rejestracyjny:</w:t>
            </w:r>
          </w:p>
        </w:tc>
      </w:tr>
    </w:tbl>
    <w:p w:rsidR="00C6436A" w:rsidRPr="00BA08AB" w:rsidRDefault="00774DE8" w:rsidP="00C6436A">
      <w:pPr>
        <w:pStyle w:val="Olang"/>
      </w:pPr>
      <w:r w:rsidRPr="00BA08AB">
        <w:rPr>
          <w:noProof w:val="0"/>
        </w:rPr>
        <w:lastRenderedPageBreak/>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9</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rPr>
                <w:szCs w:val="24"/>
              </w:rPr>
            </w:pPr>
            <w:r w:rsidRPr="00BA08AB">
              <w:t>9.</w:t>
            </w:r>
            <w:r w:rsidRPr="00BA08AB">
              <w:tab/>
            </w:r>
            <w:r w:rsidRPr="00BA08AB">
              <w:t xml:space="preserve">Numer rejestracyjny </w:t>
            </w:r>
            <w:r w:rsidRPr="00BA08AB">
              <w:rPr>
                <w:b/>
                <w:bCs/>
                <w:i/>
                <w:iCs/>
              </w:rPr>
              <w:t>floty GFCM</w:t>
            </w:r>
            <w:r w:rsidRPr="00BA08AB">
              <w:t>:</w:t>
            </w: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9.</w:t>
            </w:r>
            <w:r w:rsidRPr="00BA08AB">
              <w:rPr>
                <w:sz w:val="24"/>
              </w:rPr>
              <w:tab/>
              <w:t xml:space="preserve">Numer rejestracyjny </w:t>
            </w:r>
            <w:r w:rsidRPr="00BA08AB">
              <w:rPr>
                <w:b/>
                <w:bCs/>
                <w:i/>
                <w:iCs/>
                <w:sz w:val="24"/>
              </w:rPr>
              <w:t>statku</w:t>
            </w:r>
            <w:r w:rsidRPr="00BA08AB">
              <w:rPr>
                <w:sz w:val="24"/>
              </w:rPr>
              <w:t>:</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11</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rPr>
                <w:szCs w:val="24"/>
              </w:rPr>
            </w:pPr>
            <w:r w:rsidRPr="00BA08AB">
              <w:t>11.</w:t>
            </w:r>
            <w:r w:rsidRPr="00BA08AB">
              <w:tab/>
              <w:t>Szacowana długość całkowita i pojemność brutto:</w:t>
            </w: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11.</w:t>
            </w:r>
            <w:r w:rsidRPr="00BA08AB">
              <w:rPr>
                <w:sz w:val="24"/>
              </w:rPr>
              <w:tab/>
            </w:r>
            <w:r w:rsidRPr="00BA08AB">
              <w:rPr>
                <w:b/>
                <w:i/>
                <w:sz w:val="24"/>
              </w:rPr>
              <w:t>Opis statku</w:t>
            </w:r>
          </w:p>
        </w:tc>
      </w:tr>
      <w:tr w:rsidR="00F17F65" w:rsidRPr="00BA08AB" w:rsidTr="00C6436A">
        <w:trPr>
          <w:jc w:val="center"/>
        </w:trPr>
        <w:tc>
          <w:tcPr>
            <w:tcW w:w="4876" w:type="dxa"/>
          </w:tcPr>
          <w:p w:rsidR="00C6436A" w:rsidRPr="00BA08AB" w:rsidRDefault="00C6436A">
            <w:pPr>
              <w:pStyle w:val="Normal6"/>
              <w:rPr>
                <w:szCs w:val="24"/>
              </w:rPr>
            </w:pP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Szacowana długość całkowita i pojemność brutto:</w:t>
            </w:r>
          </w:p>
        </w:tc>
      </w:tr>
      <w:tr w:rsidR="00F17F65" w:rsidRPr="00BA08AB" w:rsidTr="00C6436A">
        <w:trPr>
          <w:jc w:val="center"/>
        </w:trPr>
        <w:tc>
          <w:tcPr>
            <w:tcW w:w="4876" w:type="dxa"/>
            <w:hideMark/>
          </w:tcPr>
          <w:p w:rsidR="00C6436A" w:rsidRPr="00BA08AB" w:rsidRDefault="00774DE8">
            <w:pPr>
              <w:pStyle w:val="Normal6"/>
              <w:rPr>
                <w:szCs w:val="24"/>
              </w:rPr>
            </w:pPr>
            <w:r w:rsidRPr="00BA08AB">
              <w:t>m</w:t>
            </w: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m</w:t>
            </w:r>
          </w:p>
        </w:tc>
      </w:tr>
      <w:tr w:rsidR="00F17F65" w:rsidRPr="00BA08AB" w:rsidTr="00C6436A">
        <w:trPr>
          <w:jc w:val="center"/>
        </w:trPr>
        <w:tc>
          <w:tcPr>
            <w:tcW w:w="4876" w:type="dxa"/>
            <w:hideMark/>
          </w:tcPr>
          <w:p w:rsidR="00C6436A" w:rsidRPr="00BA08AB" w:rsidRDefault="00774DE8">
            <w:pPr>
              <w:pStyle w:val="Normal6"/>
              <w:rPr>
                <w:szCs w:val="24"/>
              </w:rPr>
            </w:pPr>
            <w:r w:rsidRPr="00BA08AB">
              <w:t>GT</w:t>
            </w:r>
          </w:p>
        </w:tc>
        <w:tc>
          <w:tcPr>
            <w:tcW w:w="4876" w:type="dxa"/>
            <w:hideMark/>
          </w:tcPr>
          <w:p w:rsidR="00C6436A" w:rsidRPr="00BA08AB" w:rsidRDefault="00774DE8">
            <w:pPr>
              <w:pStyle w:val="TableParagraph"/>
              <w:spacing w:before="154" w:line="252" w:lineRule="exact"/>
              <w:ind w:left="110"/>
              <w:rPr>
                <w:sz w:val="24"/>
                <w:szCs w:val="24"/>
              </w:rPr>
            </w:pPr>
            <w:r w:rsidRPr="00BA08AB">
              <w:rPr>
                <w:sz w:val="24"/>
              </w:rPr>
              <w:t>GT</w:t>
            </w:r>
          </w:p>
        </w:tc>
      </w:tr>
      <w:tr w:rsidR="00F17F65" w:rsidRPr="00BA08AB" w:rsidTr="00C6436A">
        <w:trPr>
          <w:jc w:val="center"/>
        </w:trPr>
        <w:tc>
          <w:tcPr>
            <w:tcW w:w="4876" w:type="dxa"/>
          </w:tcPr>
          <w:p w:rsidR="00C6436A" w:rsidRPr="00BA08AB" w:rsidRDefault="00C6436A">
            <w:pPr>
              <w:pStyle w:val="Normal6"/>
              <w:rPr>
                <w:szCs w:val="24"/>
              </w:rPr>
            </w:pPr>
          </w:p>
        </w:tc>
        <w:tc>
          <w:tcPr>
            <w:tcW w:w="4876" w:type="dxa"/>
            <w:hideMark/>
          </w:tcPr>
          <w:p w:rsidR="00C6436A" w:rsidRPr="00BA08AB" w:rsidRDefault="00774DE8">
            <w:pPr>
              <w:pStyle w:val="TableParagraph"/>
              <w:spacing w:before="154" w:line="252" w:lineRule="exact"/>
              <w:ind w:left="110"/>
              <w:rPr>
                <w:b/>
                <w:i/>
                <w:sz w:val="24"/>
                <w:szCs w:val="24"/>
              </w:rPr>
            </w:pPr>
            <w:r w:rsidRPr="00BA08AB">
              <w:rPr>
                <w:b/>
                <w:i/>
                <w:sz w:val="24"/>
              </w:rPr>
              <w:t>Szacunkowa szerokość:</w:t>
            </w:r>
          </w:p>
        </w:tc>
      </w:tr>
      <w:tr w:rsidR="00F17F65" w:rsidRPr="00BA08AB" w:rsidTr="00C6436A">
        <w:trPr>
          <w:jc w:val="center"/>
        </w:trPr>
        <w:tc>
          <w:tcPr>
            <w:tcW w:w="4876" w:type="dxa"/>
          </w:tcPr>
          <w:p w:rsidR="00C6436A" w:rsidRPr="00BA08AB" w:rsidRDefault="00C6436A">
            <w:pPr>
              <w:pStyle w:val="Normal6"/>
              <w:rPr>
                <w:szCs w:val="24"/>
              </w:rPr>
            </w:pPr>
          </w:p>
        </w:tc>
        <w:tc>
          <w:tcPr>
            <w:tcW w:w="4876" w:type="dxa"/>
            <w:hideMark/>
          </w:tcPr>
          <w:p w:rsidR="00C6436A" w:rsidRPr="00BA08AB" w:rsidRDefault="00774DE8">
            <w:pPr>
              <w:pStyle w:val="TableParagraph"/>
              <w:spacing w:before="154" w:line="252" w:lineRule="exact"/>
              <w:ind w:left="110"/>
              <w:rPr>
                <w:b/>
                <w:i/>
                <w:sz w:val="24"/>
                <w:szCs w:val="24"/>
              </w:rPr>
            </w:pPr>
            <w:r w:rsidRPr="00BA08AB">
              <w:rPr>
                <w:b/>
                <w:i/>
                <w:sz w:val="24"/>
              </w:rPr>
              <w:t>Inne uwagi:</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112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13</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rPr>
                <w:b/>
                <w:i/>
                <w:szCs w:val="24"/>
              </w:rPr>
            </w:pPr>
            <w:r w:rsidRPr="00BA08AB">
              <w:rPr>
                <w:b/>
                <w:i/>
              </w:rPr>
              <w:t>13.</w:t>
            </w:r>
            <w:r w:rsidRPr="00BA08AB">
              <w:rPr>
                <w:b/>
                <w:i/>
              </w:rPr>
              <w:tab/>
              <w:t>Obywatelstwo kapitana:</w:t>
            </w:r>
          </w:p>
        </w:tc>
        <w:tc>
          <w:tcPr>
            <w:tcW w:w="4876" w:type="dxa"/>
            <w:hideMark/>
          </w:tcPr>
          <w:p w:rsidR="00C6436A" w:rsidRPr="00BA08AB" w:rsidRDefault="00774DE8">
            <w:pPr>
              <w:pStyle w:val="TableParagraph"/>
              <w:spacing w:before="154" w:line="252" w:lineRule="exact"/>
              <w:ind w:left="110"/>
              <w:rPr>
                <w:b/>
                <w:i/>
                <w:sz w:val="24"/>
                <w:szCs w:val="24"/>
              </w:rPr>
            </w:pPr>
            <w:r w:rsidRPr="00BA08AB">
              <w:rPr>
                <w:b/>
                <w:i/>
                <w:sz w:val="24"/>
              </w:rPr>
              <w:t>skreśla się</w:t>
            </w:r>
          </w:p>
        </w:tc>
      </w:tr>
      <w:tr w:rsidR="00F17F65" w:rsidRPr="00BA08AB" w:rsidTr="00C6436A">
        <w:trPr>
          <w:jc w:val="center"/>
        </w:trPr>
        <w:tc>
          <w:tcPr>
            <w:tcW w:w="4876" w:type="dxa"/>
            <w:hideMark/>
          </w:tcPr>
          <w:p w:rsidR="00C6436A" w:rsidRPr="00BA08AB" w:rsidRDefault="00774DE8">
            <w:pPr>
              <w:pStyle w:val="Normal6"/>
              <w:rPr>
                <w:b/>
                <w:i/>
                <w:szCs w:val="24"/>
              </w:rPr>
            </w:pPr>
            <w:r w:rsidRPr="00BA08AB">
              <w:rPr>
                <w:b/>
                <w:i/>
              </w:rPr>
              <w:t>Oficera:</w:t>
            </w:r>
          </w:p>
        </w:tc>
        <w:tc>
          <w:tcPr>
            <w:tcW w:w="4876" w:type="dxa"/>
          </w:tcPr>
          <w:p w:rsidR="00C6436A" w:rsidRPr="00BA08AB" w:rsidRDefault="00C6436A">
            <w:pPr>
              <w:pStyle w:val="TableParagraph"/>
              <w:spacing w:before="154" w:line="252" w:lineRule="exact"/>
              <w:ind w:left="110"/>
              <w:rPr>
                <w:sz w:val="24"/>
                <w:szCs w:val="24"/>
              </w:rPr>
            </w:pPr>
          </w:p>
        </w:tc>
      </w:tr>
      <w:tr w:rsidR="00F17F65" w:rsidRPr="00BA08AB" w:rsidTr="00C6436A">
        <w:trPr>
          <w:jc w:val="center"/>
        </w:trPr>
        <w:tc>
          <w:tcPr>
            <w:tcW w:w="4876" w:type="dxa"/>
            <w:hideMark/>
          </w:tcPr>
          <w:p w:rsidR="00C6436A" w:rsidRPr="00BA08AB" w:rsidRDefault="00774DE8">
            <w:pPr>
              <w:pStyle w:val="Normal6"/>
              <w:rPr>
                <w:b/>
                <w:i/>
                <w:szCs w:val="24"/>
              </w:rPr>
            </w:pPr>
            <w:r w:rsidRPr="00BA08AB">
              <w:rPr>
                <w:b/>
                <w:i/>
              </w:rPr>
              <w:t>Załogi:</w:t>
            </w:r>
          </w:p>
        </w:tc>
        <w:tc>
          <w:tcPr>
            <w:tcW w:w="4876" w:type="dxa"/>
          </w:tcPr>
          <w:p w:rsidR="00C6436A" w:rsidRPr="00BA08AB" w:rsidRDefault="00C6436A">
            <w:pPr>
              <w:pStyle w:val="TableParagraph"/>
              <w:spacing w:before="154" w:line="252" w:lineRule="exact"/>
              <w:ind w:left="110"/>
              <w:rPr>
                <w:sz w:val="24"/>
                <w:szCs w:val="24"/>
              </w:rPr>
            </w:pP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14</w:t>
      </w:r>
      <w:r w:rsidRPr="00BA08A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567E12">
        <w:trPr>
          <w:jc w:val="center"/>
        </w:trPr>
        <w:tc>
          <w:tcPr>
            <w:tcW w:w="9752" w:type="dxa"/>
            <w:gridSpan w:val="2"/>
          </w:tcPr>
          <w:p w:rsidR="00C6436A" w:rsidRPr="00BA08AB" w:rsidRDefault="00C6436A">
            <w:pPr>
              <w:keepNext/>
            </w:pPr>
          </w:p>
        </w:tc>
      </w:tr>
      <w:tr w:rsidR="00F17F65" w:rsidRPr="00BA08AB" w:rsidTr="00567E12">
        <w:trPr>
          <w:jc w:val="center"/>
        </w:trPr>
        <w:tc>
          <w:tcPr>
            <w:tcW w:w="5387" w:type="dxa"/>
            <w:hideMark/>
          </w:tcPr>
          <w:p w:rsidR="00C6436A" w:rsidRPr="00BA08AB" w:rsidRDefault="00774DE8">
            <w:pPr>
              <w:pStyle w:val="ColumnHeading"/>
              <w:keepNext/>
            </w:pPr>
            <w:r w:rsidRPr="00BA08AB">
              <w:t>Tekst proponowany przez Komisję</w:t>
            </w:r>
          </w:p>
        </w:tc>
        <w:tc>
          <w:tcPr>
            <w:tcW w:w="4365" w:type="dxa"/>
            <w:hideMark/>
          </w:tcPr>
          <w:p w:rsidR="00C6436A" w:rsidRPr="00BA08AB" w:rsidRDefault="00774DE8">
            <w:pPr>
              <w:pStyle w:val="ColumnHeading"/>
              <w:keepNext/>
            </w:pPr>
            <w:r w:rsidRPr="00BA08AB">
              <w:t>Poprawka</w:t>
            </w:r>
          </w:p>
        </w:tc>
      </w:tr>
      <w:tr w:rsidR="00F17F65" w:rsidRPr="00BA08AB" w:rsidTr="00567E12">
        <w:trPr>
          <w:jc w:val="center"/>
        </w:trPr>
        <w:tc>
          <w:tcPr>
            <w:tcW w:w="5387" w:type="dxa"/>
            <w:hideMark/>
          </w:tcPr>
          <w:p w:rsidR="00C6436A" w:rsidRPr="00BA08AB" w:rsidRDefault="00774DE8">
            <w:pPr>
              <w:pStyle w:val="Normal6"/>
              <w:rPr>
                <w:szCs w:val="24"/>
              </w:rPr>
            </w:pPr>
            <w:r w:rsidRPr="00BA08AB">
              <w:t>14.</w:t>
            </w:r>
            <w:r w:rsidRPr="00BA08AB">
              <w:tab/>
              <w:t xml:space="preserve">Rodzaj </w:t>
            </w:r>
            <w:r w:rsidRPr="00BA08AB">
              <w:t>działalności prowadzonej przez obserwowany statek (należy opisać):</w:t>
            </w:r>
          </w:p>
        </w:tc>
        <w:tc>
          <w:tcPr>
            <w:tcW w:w="4365" w:type="dxa"/>
            <w:hideMark/>
          </w:tcPr>
          <w:p w:rsidR="00C6436A" w:rsidRPr="00BA08AB" w:rsidRDefault="00774DE8">
            <w:pPr>
              <w:pStyle w:val="TableParagraph"/>
              <w:spacing w:before="154" w:line="252" w:lineRule="exact"/>
              <w:ind w:left="110"/>
              <w:rPr>
                <w:sz w:val="24"/>
                <w:szCs w:val="24"/>
              </w:rPr>
            </w:pPr>
            <w:r w:rsidRPr="00BA08AB">
              <w:rPr>
                <w:sz w:val="24"/>
              </w:rPr>
              <w:t>14.</w:t>
            </w:r>
            <w:r w:rsidRPr="00BA08AB">
              <w:rPr>
                <w:sz w:val="24"/>
              </w:rPr>
              <w:tab/>
              <w:t>Rodzaj działalności prowadzonej przez obserwowany statek (należy opisać):</w:t>
            </w:r>
          </w:p>
        </w:tc>
      </w:tr>
      <w:tr w:rsidR="00F17F65" w:rsidRPr="00BA08AB" w:rsidTr="00567E12">
        <w:trPr>
          <w:jc w:val="center"/>
        </w:trPr>
        <w:tc>
          <w:tcPr>
            <w:tcW w:w="5387" w:type="dxa"/>
          </w:tcPr>
          <w:p w:rsidR="00C6436A" w:rsidRPr="00BA08AB" w:rsidRDefault="00C6436A">
            <w:pPr>
              <w:pStyle w:val="Normal6"/>
              <w:rPr>
                <w:b/>
                <w:i/>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Data:</w:t>
            </w:r>
          </w:p>
        </w:tc>
      </w:tr>
      <w:tr w:rsidR="00F17F65" w:rsidRPr="00BA08AB" w:rsidTr="00567E12">
        <w:trPr>
          <w:jc w:val="center"/>
        </w:trPr>
        <w:tc>
          <w:tcPr>
            <w:tcW w:w="5387" w:type="dxa"/>
          </w:tcPr>
          <w:p w:rsidR="00C6436A" w:rsidRPr="00BA08AB" w:rsidRDefault="00C6436A">
            <w:pPr>
              <w:pStyle w:val="Normal6"/>
              <w:rPr>
                <w:b/>
                <w:i/>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Godzina:</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Czynność:</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Kierunek:</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Stanowisko:</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 xml:space="preserve">Czy podejrzewano, że statek pozyskiwał ryby na </w:t>
            </w:r>
            <w:r w:rsidRPr="00BA08AB">
              <w:rPr>
                <w:b/>
                <w:i/>
                <w:sz w:val="24"/>
              </w:rPr>
              <w:t>wodach morskich podlegających krajowej jurysdykcji państwa nadbrzeżnego w obszarze podlegającym GFCM bez zezwolenia takiego państwa lub z naruszeniem jego przepisów ustawowych i wykonawczych? [ ] Tak [ ] Nie</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Czy podejrzewano, że statek prowadził działaln</w:t>
            </w:r>
            <w:r w:rsidRPr="00BA08AB">
              <w:rPr>
                <w:b/>
                <w:i/>
                <w:sz w:val="24"/>
              </w:rPr>
              <w:t>ość połowową poza dozwolonymi okresami połowowymi lub na obszarach zamkniętych? [ ] Tak [ ] Nie</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Czy podejrzewano, że statek prowadzi czynności w zakresie przeładunku na morzu? [ ] Tak [ ] Nie</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Czy podejrzewano, że statek prowadzi połowy bez przynależnoś</w:t>
            </w:r>
            <w:r w:rsidRPr="00BA08AB">
              <w:rPr>
                <w:b/>
                <w:i/>
                <w:sz w:val="24"/>
              </w:rPr>
              <w:t>ci państwowej? [ ] Tak [ ] Nie</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Czy podejrzewano, że statek prowadził działalność połowową bez odpowiedniego numeru identyfikacyjnego statku lub ukrywając swoje oznakowanie zewnętrzne? [ ] Tak [ ] Nie</w:t>
            </w:r>
          </w:p>
        </w:tc>
      </w:tr>
      <w:tr w:rsidR="00F17F65" w:rsidRPr="00BA08AB" w:rsidTr="00567E12">
        <w:trPr>
          <w:jc w:val="center"/>
        </w:trPr>
        <w:tc>
          <w:tcPr>
            <w:tcW w:w="5387" w:type="dxa"/>
          </w:tcPr>
          <w:p w:rsidR="00C6436A" w:rsidRPr="00BA08AB" w:rsidRDefault="00C6436A">
            <w:pPr>
              <w:pStyle w:val="Normal6"/>
              <w:rPr>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 xml:space="preserve">Czy podejrzewano, że statek prowadzi połowy lub </w:t>
            </w:r>
            <w:r w:rsidRPr="00BA08AB">
              <w:rPr>
                <w:b/>
                <w:i/>
                <w:sz w:val="24"/>
              </w:rPr>
              <w:t>działania związane z połowami z naruszeniem wszelkich innych środków ochrony i zarządzania GFCM? [ ] Tak [ ] Nie</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16</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5387" w:type="dxa"/>
            <w:hideMark/>
          </w:tcPr>
          <w:p w:rsidR="00C6436A" w:rsidRPr="00BA08AB" w:rsidRDefault="00774DE8">
            <w:pPr>
              <w:pStyle w:val="ColumnHeading"/>
              <w:keepNext/>
            </w:pPr>
            <w:r w:rsidRPr="00BA08AB">
              <w:t>Tekst proponowany przez Komisję</w:t>
            </w:r>
          </w:p>
        </w:tc>
        <w:tc>
          <w:tcPr>
            <w:tcW w:w="4365" w:type="dxa"/>
            <w:hideMark/>
          </w:tcPr>
          <w:p w:rsidR="00C6436A" w:rsidRPr="00BA08AB" w:rsidRDefault="00774DE8">
            <w:pPr>
              <w:pStyle w:val="ColumnHeading"/>
              <w:keepNext/>
            </w:pPr>
            <w:r w:rsidRPr="00BA08AB">
              <w:t>Poprawka</w:t>
            </w:r>
          </w:p>
        </w:tc>
      </w:tr>
      <w:tr w:rsidR="00F17F65" w:rsidRPr="00BA08AB" w:rsidTr="00C6436A">
        <w:trPr>
          <w:jc w:val="center"/>
        </w:trPr>
        <w:tc>
          <w:tcPr>
            <w:tcW w:w="5387" w:type="dxa"/>
            <w:hideMark/>
          </w:tcPr>
          <w:p w:rsidR="00C6436A" w:rsidRPr="00BA08AB" w:rsidRDefault="00774DE8">
            <w:pPr>
              <w:pStyle w:val="Normal6"/>
              <w:rPr>
                <w:szCs w:val="24"/>
              </w:rPr>
            </w:pPr>
            <w:r w:rsidRPr="00BA08AB">
              <w:t>16.</w:t>
            </w:r>
            <w:r w:rsidRPr="00BA08AB">
              <w:tab/>
            </w:r>
            <w:r w:rsidRPr="00BA08AB">
              <w:rPr>
                <w:b/>
                <w:i/>
              </w:rPr>
              <w:t>Opis statku i zidentyfikowanych narzędzi połowowych:</w:t>
            </w:r>
          </w:p>
        </w:tc>
        <w:tc>
          <w:tcPr>
            <w:tcW w:w="4365" w:type="dxa"/>
            <w:hideMark/>
          </w:tcPr>
          <w:p w:rsidR="00C6436A" w:rsidRPr="00BA08AB" w:rsidRDefault="00774DE8">
            <w:pPr>
              <w:pStyle w:val="TableParagraph"/>
              <w:spacing w:before="154" w:line="252" w:lineRule="exact"/>
              <w:ind w:left="110"/>
              <w:rPr>
                <w:sz w:val="24"/>
                <w:szCs w:val="24"/>
              </w:rPr>
            </w:pPr>
            <w:r w:rsidRPr="00BA08AB">
              <w:rPr>
                <w:sz w:val="24"/>
              </w:rPr>
              <w:t>16.</w:t>
            </w:r>
            <w:r w:rsidRPr="00BA08AB">
              <w:rPr>
                <w:sz w:val="24"/>
              </w:rPr>
              <w:tab/>
            </w:r>
            <w:r w:rsidRPr="00BA08AB">
              <w:rPr>
                <w:b/>
                <w:i/>
                <w:sz w:val="24"/>
              </w:rPr>
              <w:t xml:space="preserve">Czy nawiązano </w:t>
            </w:r>
            <w:r w:rsidRPr="00BA08AB">
              <w:rPr>
                <w:b/>
                <w:i/>
                <w:sz w:val="24"/>
              </w:rPr>
              <w:t>kontakt radiowy ze statkiem? [ ] Tak [ ] Nie</w:t>
            </w:r>
          </w:p>
        </w:tc>
      </w:tr>
      <w:tr w:rsidR="00F17F65" w:rsidRPr="00BA08AB" w:rsidTr="00C6436A">
        <w:trPr>
          <w:jc w:val="center"/>
        </w:trPr>
        <w:tc>
          <w:tcPr>
            <w:tcW w:w="5387" w:type="dxa"/>
          </w:tcPr>
          <w:p w:rsidR="00C6436A" w:rsidRPr="00BA08AB" w:rsidRDefault="00C6436A">
            <w:pPr>
              <w:pStyle w:val="Normal6"/>
              <w:rPr>
                <w:b/>
                <w:i/>
                <w:szCs w:val="24"/>
              </w:rPr>
            </w:pPr>
          </w:p>
        </w:tc>
        <w:tc>
          <w:tcPr>
            <w:tcW w:w="4365" w:type="dxa"/>
            <w:hideMark/>
          </w:tcPr>
          <w:p w:rsidR="00C6436A" w:rsidRPr="00BA08AB" w:rsidRDefault="00774DE8">
            <w:pPr>
              <w:pStyle w:val="TableParagraph"/>
              <w:spacing w:before="154" w:line="252" w:lineRule="exact"/>
              <w:ind w:left="110"/>
              <w:rPr>
                <w:b/>
                <w:i/>
                <w:sz w:val="24"/>
                <w:szCs w:val="24"/>
              </w:rPr>
            </w:pPr>
            <w:r w:rsidRPr="00BA08AB">
              <w:rPr>
                <w:b/>
                <w:i/>
                <w:sz w:val="24"/>
              </w:rPr>
              <w:t>Podsumowanie rozmowy z osobami przebywającymi na statku:</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Załącznik </w:t>
      </w:r>
      <w:r w:rsidRPr="00BA08AB">
        <w:t>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18</w:t>
      </w:r>
      <w:r w:rsidRPr="00BA08A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510CEC">
        <w:trPr>
          <w:jc w:val="center"/>
        </w:trPr>
        <w:tc>
          <w:tcPr>
            <w:tcW w:w="9752" w:type="dxa"/>
            <w:gridSpan w:val="2"/>
          </w:tcPr>
          <w:p w:rsidR="00C6436A" w:rsidRPr="00BA08AB" w:rsidRDefault="00C6436A">
            <w:pPr>
              <w:keepNext/>
            </w:pPr>
          </w:p>
        </w:tc>
      </w:tr>
      <w:tr w:rsidR="00F17F65" w:rsidRPr="00BA08AB" w:rsidTr="00510CEC">
        <w:trPr>
          <w:jc w:val="center"/>
        </w:trPr>
        <w:tc>
          <w:tcPr>
            <w:tcW w:w="5387" w:type="dxa"/>
            <w:hideMark/>
          </w:tcPr>
          <w:p w:rsidR="00C6436A" w:rsidRPr="00BA08AB" w:rsidRDefault="00774DE8">
            <w:pPr>
              <w:pStyle w:val="ColumnHeading"/>
              <w:keepNext/>
            </w:pPr>
            <w:r w:rsidRPr="00BA08AB">
              <w:t>Tekst proponowany przez Komisję</w:t>
            </w:r>
          </w:p>
        </w:tc>
        <w:tc>
          <w:tcPr>
            <w:tcW w:w="4365" w:type="dxa"/>
            <w:hideMark/>
          </w:tcPr>
          <w:p w:rsidR="00C6436A" w:rsidRPr="00BA08AB" w:rsidRDefault="00774DE8">
            <w:pPr>
              <w:pStyle w:val="ColumnHeading"/>
              <w:keepNext/>
            </w:pPr>
            <w:r w:rsidRPr="00BA08AB">
              <w:t>Poprawka</w:t>
            </w:r>
          </w:p>
        </w:tc>
      </w:tr>
      <w:tr w:rsidR="00F17F65" w:rsidRPr="00BA08AB" w:rsidTr="00510CEC">
        <w:trPr>
          <w:jc w:val="center"/>
        </w:trPr>
        <w:tc>
          <w:tcPr>
            <w:tcW w:w="5387" w:type="dxa"/>
            <w:hideMark/>
          </w:tcPr>
          <w:p w:rsidR="00C6436A" w:rsidRPr="00BA08AB" w:rsidRDefault="00774DE8">
            <w:pPr>
              <w:pStyle w:val="Normal6"/>
              <w:rPr>
                <w:szCs w:val="24"/>
              </w:rPr>
            </w:pPr>
            <w:r w:rsidRPr="00BA08AB">
              <w:t>18.</w:t>
            </w:r>
            <w:r w:rsidRPr="00BA08AB">
              <w:tab/>
              <w:t>Wykaz załączonych dokumentów (takich jak zdjęcia itp.):</w:t>
            </w:r>
          </w:p>
        </w:tc>
        <w:tc>
          <w:tcPr>
            <w:tcW w:w="4365" w:type="dxa"/>
            <w:hideMark/>
          </w:tcPr>
          <w:p w:rsidR="00C6436A" w:rsidRPr="00BA08AB" w:rsidRDefault="00774DE8">
            <w:pPr>
              <w:pStyle w:val="TableParagraph"/>
              <w:spacing w:before="154" w:line="252" w:lineRule="exact"/>
              <w:ind w:left="110"/>
              <w:rPr>
                <w:sz w:val="24"/>
                <w:szCs w:val="24"/>
              </w:rPr>
            </w:pPr>
            <w:r w:rsidRPr="00BA08AB">
              <w:rPr>
                <w:sz w:val="24"/>
              </w:rPr>
              <w:t>18.</w:t>
            </w:r>
            <w:r w:rsidRPr="00BA08AB">
              <w:rPr>
                <w:sz w:val="24"/>
              </w:rPr>
              <w:tab/>
              <w:t xml:space="preserve">Wykaz załączonych </w:t>
            </w:r>
            <w:r w:rsidRPr="00BA08AB">
              <w:rPr>
                <w:sz w:val="24"/>
              </w:rPr>
              <w:t>dokumentów (takich jak zdjęcia</w:t>
            </w:r>
            <w:r w:rsidRPr="00BA08AB">
              <w:rPr>
                <w:b/>
                <w:bCs/>
                <w:i/>
                <w:iCs/>
                <w:sz w:val="24"/>
              </w:rPr>
              <w:t>, odpowiednie sprawozdania sporządzone przez właściwe organy</w:t>
            </w:r>
            <w:r w:rsidRPr="00BA08AB">
              <w:rPr>
                <w:sz w:val="24"/>
              </w:rPr>
              <w:t xml:space="preserve"> itp.):</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 xml:space="preserve">Załącznik I – </w:t>
      </w:r>
      <w:r w:rsidRPr="00BA08AB">
        <w:t>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 – wiersz 19</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5387" w:type="dxa"/>
            <w:hideMark/>
          </w:tcPr>
          <w:p w:rsidR="00C6436A" w:rsidRPr="00BA08AB" w:rsidRDefault="00774DE8">
            <w:pPr>
              <w:pStyle w:val="ColumnHeading"/>
              <w:keepNext/>
            </w:pPr>
            <w:r w:rsidRPr="00BA08AB">
              <w:t>Tekst proponowany przez Komisję</w:t>
            </w:r>
          </w:p>
        </w:tc>
        <w:tc>
          <w:tcPr>
            <w:tcW w:w="4365" w:type="dxa"/>
            <w:hideMark/>
          </w:tcPr>
          <w:p w:rsidR="00C6436A" w:rsidRPr="00BA08AB" w:rsidRDefault="00774DE8">
            <w:pPr>
              <w:pStyle w:val="ColumnHeading"/>
              <w:keepNext/>
            </w:pPr>
            <w:r w:rsidRPr="00BA08AB">
              <w:t>Poprawka</w:t>
            </w:r>
          </w:p>
        </w:tc>
      </w:tr>
      <w:tr w:rsidR="00F17F65" w:rsidRPr="00BA08AB" w:rsidTr="00C6436A">
        <w:trPr>
          <w:jc w:val="center"/>
        </w:trPr>
        <w:tc>
          <w:tcPr>
            <w:tcW w:w="5387" w:type="dxa"/>
            <w:hideMark/>
          </w:tcPr>
          <w:p w:rsidR="00C6436A" w:rsidRPr="00BA08AB" w:rsidRDefault="00774DE8">
            <w:pPr>
              <w:pStyle w:val="Normal6"/>
              <w:rPr>
                <w:szCs w:val="24"/>
              </w:rPr>
            </w:pPr>
            <w:r w:rsidRPr="00BA08AB">
              <w:t>19.</w:t>
            </w:r>
            <w:r w:rsidRPr="00BA08AB">
              <w:tab/>
              <w:t>Powyższe informacje zostały zebrane przez:</w:t>
            </w:r>
          </w:p>
        </w:tc>
        <w:tc>
          <w:tcPr>
            <w:tcW w:w="4365" w:type="dxa"/>
            <w:hideMark/>
          </w:tcPr>
          <w:p w:rsidR="00C6436A" w:rsidRPr="00BA08AB" w:rsidRDefault="00774DE8">
            <w:pPr>
              <w:pStyle w:val="TableParagraph"/>
              <w:spacing w:before="154" w:line="252" w:lineRule="exact"/>
              <w:ind w:left="110"/>
              <w:rPr>
                <w:sz w:val="24"/>
                <w:szCs w:val="24"/>
              </w:rPr>
            </w:pPr>
            <w:r w:rsidRPr="00BA08AB">
              <w:rPr>
                <w:sz w:val="24"/>
              </w:rPr>
              <w:t>19.</w:t>
            </w:r>
            <w:r w:rsidRPr="00BA08AB">
              <w:rPr>
                <w:sz w:val="24"/>
              </w:rPr>
              <w:tab/>
              <w:t>Powyższe informacje zostały zebrane przez:</w:t>
            </w:r>
          </w:p>
        </w:tc>
      </w:tr>
      <w:tr w:rsidR="00F17F65" w:rsidRPr="00BA08AB" w:rsidTr="00C6436A">
        <w:trPr>
          <w:jc w:val="center"/>
        </w:trPr>
        <w:tc>
          <w:tcPr>
            <w:tcW w:w="5387" w:type="dxa"/>
            <w:hideMark/>
          </w:tcPr>
          <w:p w:rsidR="00C6436A" w:rsidRPr="00BA08AB" w:rsidRDefault="00774DE8">
            <w:pPr>
              <w:pStyle w:val="Normal6"/>
              <w:rPr>
                <w:szCs w:val="24"/>
              </w:rPr>
            </w:pPr>
            <w:r w:rsidRPr="00BA08AB">
              <w:t>Imię i nazwisko:</w:t>
            </w:r>
          </w:p>
        </w:tc>
        <w:tc>
          <w:tcPr>
            <w:tcW w:w="4365" w:type="dxa"/>
            <w:hideMark/>
          </w:tcPr>
          <w:p w:rsidR="00C6436A" w:rsidRPr="00BA08AB" w:rsidRDefault="00774DE8">
            <w:pPr>
              <w:pStyle w:val="TableParagraph"/>
              <w:spacing w:before="154" w:line="252" w:lineRule="exact"/>
              <w:ind w:left="110"/>
              <w:rPr>
                <w:noProof/>
                <w:sz w:val="24"/>
                <w:szCs w:val="24"/>
              </w:rPr>
            </w:pPr>
            <w:r w:rsidRPr="00BA08AB">
              <w:rPr>
                <w:sz w:val="24"/>
              </w:rPr>
              <w:t>Imię i nazwisko:</w:t>
            </w:r>
          </w:p>
        </w:tc>
      </w:tr>
      <w:tr w:rsidR="00F17F65" w:rsidRPr="00BA08AB" w:rsidTr="00C6436A">
        <w:trPr>
          <w:jc w:val="center"/>
        </w:trPr>
        <w:tc>
          <w:tcPr>
            <w:tcW w:w="5387" w:type="dxa"/>
            <w:hideMark/>
          </w:tcPr>
          <w:p w:rsidR="00C6436A" w:rsidRPr="00BA08AB" w:rsidRDefault="00774DE8">
            <w:pPr>
              <w:pStyle w:val="Normal6"/>
              <w:rPr>
                <w:b/>
                <w:i/>
                <w:szCs w:val="24"/>
              </w:rPr>
            </w:pPr>
            <w:r w:rsidRPr="00BA08AB">
              <w:t>Stanowisko:</w:t>
            </w:r>
          </w:p>
        </w:tc>
        <w:tc>
          <w:tcPr>
            <w:tcW w:w="4365" w:type="dxa"/>
            <w:hideMark/>
          </w:tcPr>
          <w:p w:rsidR="00C6436A" w:rsidRPr="00BA08AB" w:rsidRDefault="00774DE8">
            <w:pPr>
              <w:pStyle w:val="TableParagraph"/>
              <w:spacing w:before="154" w:line="252" w:lineRule="exact"/>
              <w:ind w:left="110"/>
              <w:rPr>
                <w:b/>
                <w:i/>
                <w:sz w:val="24"/>
                <w:szCs w:val="24"/>
              </w:rPr>
            </w:pPr>
            <w:r w:rsidRPr="00BA08AB">
              <w:rPr>
                <w:sz w:val="24"/>
              </w:rPr>
              <w:t>Stanowisko:</w:t>
            </w:r>
          </w:p>
        </w:tc>
      </w:tr>
      <w:tr w:rsidR="00F17F65" w:rsidRPr="00BA08AB" w:rsidTr="00C6436A">
        <w:trPr>
          <w:jc w:val="center"/>
        </w:trPr>
        <w:tc>
          <w:tcPr>
            <w:tcW w:w="5387" w:type="dxa"/>
            <w:hideMark/>
          </w:tcPr>
          <w:p w:rsidR="00C6436A" w:rsidRPr="00BA08AB" w:rsidRDefault="00774DE8">
            <w:pPr>
              <w:pStyle w:val="Normal6"/>
              <w:rPr>
                <w:b/>
                <w:i/>
                <w:szCs w:val="24"/>
              </w:rPr>
            </w:pPr>
            <w:r w:rsidRPr="00BA08AB">
              <w:t>Środki obserwacji (w tym nazwa i pozycja statku/samolotu, w stosownych przypadkach):</w:t>
            </w:r>
          </w:p>
        </w:tc>
        <w:tc>
          <w:tcPr>
            <w:tcW w:w="4365" w:type="dxa"/>
            <w:hideMark/>
          </w:tcPr>
          <w:p w:rsidR="00C6436A" w:rsidRPr="00BA08AB" w:rsidRDefault="00774DE8">
            <w:pPr>
              <w:pStyle w:val="TableParagraph"/>
              <w:spacing w:line="252" w:lineRule="exact"/>
              <w:ind w:left="108"/>
              <w:rPr>
                <w:b/>
                <w:i/>
                <w:sz w:val="24"/>
                <w:szCs w:val="24"/>
              </w:rPr>
            </w:pPr>
            <w:r w:rsidRPr="00BA08AB">
              <w:rPr>
                <w:sz w:val="24"/>
              </w:rPr>
              <w:t xml:space="preserve">Środki obserwacji (w tym nazwa i pozycja statku/samolotu, </w:t>
            </w:r>
            <w:r w:rsidRPr="00BA08AB">
              <w:rPr>
                <w:b/>
                <w:bCs/>
                <w:i/>
                <w:iCs/>
                <w:sz w:val="24"/>
              </w:rPr>
              <w:t>nazwa i lokalizacja ośrodka,</w:t>
            </w:r>
            <w:r w:rsidRPr="00BA08AB">
              <w:rPr>
                <w:sz w:val="24"/>
              </w:rPr>
              <w:t xml:space="preserve"> w stosownych przypadkach):</w:t>
            </w:r>
          </w:p>
        </w:tc>
      </w:tr>
      <w:tr w:rsidR="00F17F65" w:rsidRPr="00BA08AB" w:rsidTr="00C6436A">
        <w:trPr>
          <w:jc w:val="center"/>
        </w:trPr>
        <w:tc>
          <w:tcPr>
            <w:tcW w:w="5387" w:type="dxa"/>
            <w:hideMark/>
          </w:tcPr>
          <w:p w:rsidR="00C6436A" w:rsidRPr="00BA08AB" w:rsidRDefault="00774DE8">
            <w:pPr>
              <w:pStyle w:val="Normal6"/>
              <w:rPr>
                <w:noProof/>
              </w:rPr>
            </w:pPr>
            <w:r w:rsidRPr="00BA08AB">
              <w:t>Data: (dzień) (miesiąc) (rok)</w:t>
            </w:r>
          </w:p>
        </w:tc>
        <w:tc>
          <w:tcPr>
            <w:tcW w:w="4365" w:type="dxa"/>
            <w:hideMark/>
          </w:tcPr>
          <w:p w:rsidR="00C6436A" w:rsidRPr="00BA08AB" w:rsidRDefault="00774DE8">
            <w:pPr>
              <w:pStyle w:val="TableParagraph"/>
              <w:spacing w:line="252" w:lineRule="exact"/>
              <w:ind w:left="108"/>
              <w:rPr>
                <w:noProof/>
                <w:sz w:val="24"/>
                <w:szCs w:val="24"/>
              </w:rPr>
            </w:pPr>
            <w:r w:rsidRPr="00BA08AB">
              <w:rPr>
                <w:sz w:val="24"/>
              </w:rPr>
              <w:t>Data: (dzień) (miesiąc) (rok)</w:t>
            </w:r>
          </w:p>
        </w:tc>
      </w:tr>
      <w:tr w:rsidR="00F17F65" w:rsidRPr="00BA08AB" w:rsidTr="00C6436A">
        <w:trPr>
          <w:jc w:val="center"/>
        </w:trPr>
        <w:tc>
          <w:tcPr>
            <w:tcW w:w="5387" w:type="dxa"/>
            <w:hideMark/>
          </w:tcPr>
          <w:p w:rsidR="00C6436A" w:rsidRPr="00BA08AB" w:rsidRDefault="00774DE8">
            <w:pPr>
              <w:pStyle w:val="Normal6"/>
              <w:rPr>
                <w:noProof/>
              </w:rPr>
            </w:pPr>
            <w:r w:rsidRPr="00BA08AB">
              <w:t>Podpis:</w:t>
            </w:r>
          </w:p>
        </w:tc>
        <w:tc>
          <w:tcPr>
            <w:tcW w:w="4365" w:type="dxa"/>
            <w:hideMark/>
          </w:tcPr>
          <w:p w:rsidR="00C6436A" w:rsidRPr="00BA08AB" w:rsidRDefault="00774DE8">
            <w:pPr>
              <w:pStyle w:val="TableParagraph"/>
              <w:spacing w:line="252" w:lineRule="exact"/>
              <w:ind w:left="108"/>
              <w:rPr>
                <w:noProof/>
                <w:sz w:val="24"/>
                <w:szCs w:val="24"/>
              </w:rPr>
            </w:pPr>
            <w:r w:rsidRPr="00BA08AB">
              <w:t>Podpis:</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774DE8" w:rsidRPr="00BA08AB" w:rsidRDefault="00774DE8" w:rsidP="00774DE8">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117</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VIII – wprowadzenie</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 xml:space="preserve">Wykaz, o którym mowa w art. 15, 24, </w:t>
            </w:r>
            <w:r w:rsidRPr="00BA08AB">
              <w:rPr>
                <w:b/>
                <w:bCs/>
                <w:i/>
                <w:iCs/>
              </w:rPr>
              <w:t>[ten artykuł nie zawiera wykazu.</w:t>
            </w:r>
            <w:r w:rsidRPr="00BA08AB">
              <w:rPr>
                <w:b/>
                <w:i/>
              </w:rPr>
              <w:t xml:space="preserve"> </w:t>
            </w:r>
            <w:r w:rsidRPr="00BA08AB">
              <w:rPr>
                <w:b/>
                <w:bCs/>
                <w:i/>
                <w:iCs/>
              </w:rPr>
              <w:t xml:space="preserve">Należy </w:t>
            </w:r>
            <w:r w:rsidRPr="00BA08AB">
              <w:rPr>
                <w:b/>
                <w:bCs/>
                <w:i/>
                <w:iCs/>
              </w:rPr>
              <w:t>sprawdzić wszystkie artykuły, o których mowa.],</w:t>
            </w:r>
            <w:r w:rsidRPr="00BA08AB">
              <w:t xml:space="preserve"> 34, 47, 61, 70, 74, 75c, 78, 96c oraz 116 zawiera w przypadku każdego statku następujące informacje:</w:t>
            </w:r>
          </w:p>
        </w:tc>
        <w:tc>
          <w:tcPr>
            <w:tcW w:w="4876" w:type="dxa"/>
            <w:hideMark/>
          </w:tcPr>
          <w:p w:rsidR="00C6436A" w:rsidRPr="00BA08AB" w:rsidRDefault="00774DE8">
            <w:pPr>
              <w:pStyle w:val="Normal6"/>
              <w:rPr>
                <w:szCs w:val="24"/>
              </w:rPr>
            </w:pPr>
            <w:r w:rsidRPr="00BA08AB">
              <w:t>Wykaz, o którym mowa w art. 15, 24, 34, 47, 61, 70, 74, 75c, 78, 96c</w:t>
            </w:r>
            <w:r w:rsidRPr="00BA08AB">
              <w:rPr>
                <w:b/>
                <w:i/>
              </w:rPr>
              <w:t>, 110a</w:t>
            </w:r>
            <w:r w:rsidRPr="00BA08AB">
              <w:t xml:space="preserve"> i 116 zawiera w przypadku każdeg</w:t>
            </w:r>
            <w:r w:rsidRPr="00BA08AB">
              <w:t>o statku następujące informacje:</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rPr>
          <w:szCs w:val="24"/>
        </w:rPr>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118</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VIII – tiret 11</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w:t>
            </w:r>
            <w:r w:rsidRPr="00BA08AB">
              <w:tab/>
              <w:t>Główne gatunki docelowe</w:t>
            </w:r>
          </w:p>
        </w:tc>
        <w:tc>
          <w:tcPr>
            <w:tcW w:w="4876" w:type="dxa"/>
            <w:hideMark/>
          </w:tcPr>
          <w:p w:rsidR="00C6436A" w:rsidRPr="00BA08AB" w:rsidRDefault="00774DE8">
            <w:pPr>
              <w:pStyle w:val="Normal6"/>
              <w:rPr>
                <w:szCs w:val="24"/>
              </w:rPr>
            </w:pPr>
            <w:r w:rsidRPr="00BA08AB">
              <w:t>–</w:t>
            </w:r>
            <w:r w:rsidRPr="00BA08AB">
              <w:tab/>
              <w:t xml:space="preserve">Główne gatunki docelowe </w:t>
            </w:r>
            <w:r w:rsidRPr="00BA08AB">
              <w:rPr>
                <w:b/>
                <w:bCs/>
                <w:i/>
                <w:iCs/>
              </w:rPr>
              <w:t>(jeżeli dotyczy)</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rPr>
          <w:szCs w:val="24"/>
        </w:rPr>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119</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VIII – tiret 18</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w:t>
            </w:r>
            <w:r w:rsidRPr="00BA08AB">
              <w:tab/>
              <w:t>Wyznaczony port</w:t>
            </w:r>
          </w:p>
        </w:tc>
        <w:tc>
          <w:tcPr>
            <w:tcW w:w="4876" w:type="dxa"/>
            <w:hideMark/>
          </w:tcPr>
          <w:p w:rsidR="00C6436A" w:rsidRPr="00BA08AB" w:rsidRDefault="00774DE8">
            <w:pPr>
              <w:pStyle w:val="Normal6"/>
              <w:rPr>
                <w:szCs w:val="24"/>
              </w:rPr>
            </w:pPr>
            <w:r w:rsidRPr="00BA08AB">
              <w:t>–</w:t>
            </w:r>
            <w:r w:rsidRPr="00BA08AB">
              <w:tab/>
              <w:t xml:space="preserve">Wyznaczony port </w:t>
            </w:r>
            <w:r w:rsidRPr="00BA08AB">
              <w:rPr>
                <w:b/>
                <w:bCs/>
                <w:i/>
                <w:iCs/>
              </w:rPr>
              <w:t>(jeżeli dotyczy)</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rPr>
          <w:szCs w:val="24"/>
        </w:rPr>
      </w:pPr>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120</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X</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1788"/>
        <w:gridCol w:w="692"/>
      </w:tblGrid>
      <w:tr w:rsidR="00F17F65" w:rsidRPr="00BA08AB" w:rsidTr="00C6436A">
        <w:trPr>
          <w:jc w:val="center"/>
        </w:trPr>
        <w:tc>
          <w:tcPr>
            <w:tcW w:w="9752" w:type="dxa"/>
            <w:gridSpan w:val="8"/>
          </w:tcPr>
          <w:p w:rsidR="00C6436A" w:rsidRPr="00BA08AB" w:rsidRDefault="00C6436A">
            <w:pPr>
              <w:keepNext/>
            </w:pPr>
          </w:p>
        </w:tc>
      </w:tr>
      <w:tr w:rsidR="00F17F65" w:rsidRPr="00BA08AB" w:rsidTr="00C6436A">
        <w:trPr>
          <w:jc w:val="center"/>
        </w:trPr>
        <w:tc>
          <w:tcPr>
            <w:tcW w:w="5387" w:type="dxa"/>
            <w:gridSpan w:val="4"/>
            <w:hideMark/>
          </w:tcPr>
          <w:p w:rsidR="00C6436A" w:rsidRPr="00774DE8" w:rsidRDefault="00774DE8">
            <w:pPr>
              <w:pStyle w:val="ColumnHeading"/>
              <w:keepNext/>
            </w:pPr>
            <w:r w:rsidRPr="00774DE8">
              <w:t>Tekst obowiązujący</w:t>
            </w:r>
          </w:p>
        </w:tc>
        <w:tc>
          <w:tcPr>
            <w:tcW w:w="4365" w:type="dxa"/>
            <w:gridSpan w:val="4"/>
            <w:hideMark/>
          </w:tcPr>
          <w:p w:rsidR="00C6436A" w:rsidRPr="00BA08AB" w:rsidRDefault="00C6436A"/>
        </w:tc>
      </w:tr>
      <w:tr w:rsidR="00F17F65" w:rsidRPr="00BA08AB" w:rsidTr="00C6436A">
        <w:trPr>
          <w:jc w:val="center"/>
        </w:trPr>
        <w:tc>
          <w:tcPr>
            <w:tcW w:w="5387" w:type="dxa"/>
            <w:gridSpan w:val="4"/>
            <w:hideMark/>
          </w:tcPr>
          <w:p w:rsidR="00C6436A" w:rsidRPr="00774DE8" w:rsidRDefault="00774DE8">
            <w:pPr>
              <w:pStyle w:val="Normal6"/>
              <w:rPr>
                <w:b/>
                <w:i/>
                <w:szCs w:val="24"/>
              </w:rPr>
            </w:pPr>
            <w:r w:rsidRPr="00774DE8">
              <w:rPr>
                <w:b/>
                <w:i/>
              </w:rPr>
              <w:t>[…]</w:t>
            </w:r>
          </w:p>
        </w:tc>
        <w:tc>
          <w:tcPr>
            <w:tcW w:w="4365" w:type="dxa"/>
            <w:gridSpan w:val="4"/>
          </w:tcPr>
          <w:p w:rsidR="00C6436A" w:rsidRPr="00BA08AB" w:rsidRDefault="00C6436A">
            <w:pPr>
              <w:pStyle w:val="TableParagraph"/>
              <w:spacing w:before="154" w:line="252" w:lineRule="exact"/>
              <w:ind w:left="110"/>
              <w:rPr>
                <w:sz w:val="24"/>
                <w:szCs w:val="24"/>
              </w:rPr>
            </w:pPr>
          </w:p>
        </w:tc>
      </w:tr>
      <w:tr w:rsidR="00F17F65" w:rsidRPr="00BA08AB" w:rsidTr="00C6436A">
        <w:trPr>
          <w:jc w:val="center"/>
        </w:trPr>
        <w:tc>
          <w:tcPr>
            <w:tcW w:w="5387" w:type="dxa"/>
            <w:gridSpan w:val="4"/>
            <w:hideMark/>
          </w:tcPr>
          <w:p w:rsidR="00C6436A" w:rsidRPr="00774DE8" w:rsidRDefault="00774DE8">
            <w:pPr>
              <w:pStyle w:val="Normal6"/>
              <w:jc w:val="center"/>
              <w:rPr>
                <w:i/>
                <w:szCs w:val="24"/>
              </w:rPr>
            </w:pPr>
            <w:r w:rsidRPr="00774DE8">
              <w:rPr>
                <w:i/>
              </w:rPr>
              <w:t>Poprawka</w:t>
            </w:r>
          </w:p>
        </w:tc>
        <w:tc>
          <w:tcPr>
            <w:tcW w:w="4365" w:type="dxa"/>
            <w:gridSpan w:val="4"/>
          </w:tcPr>
          <w:p w:rsidR="00C6436A" w:rsidRPr="00BA08AB" w:rsidRDefault="00C6436A">
            <w:pPr>
              <w:pStyle w:val="TableParagraph"/>
              <w:spacing w:before="154" w:line="252" w:lineRule="exact"/>
              <w:ind w:left="110"/>
              <w:rPr>
                <w:noProof/>
                <w:sz w:val="24"/>
                <w:szCs w:val="24"/>
              </w:rPr>
            </w:pPr>
          </w:p>
        </w:tc>
      </w:tr>
      <w:tr w:rsidR="00F17F65" w:rsidRPr="00BA08AB" w:rsidTr="00C6436A">
        <w:trPr>
          <w:jc w:val="center"/>
        </w:trPr>
        <w:tc>
          <w:tcPr>
            <w:tcW w:w="9752" w:type="dxa"/>
            <w:gridSpan w:val="8"/>
            <w:hideMark/>
          </w:tcPr>
          <w:p w:rsidR="00C6436A" w:rsidRPr="00BA08AB" w:rsidRDefault="00774DE8">
            <w:pPr>
              <w:pStyle w:val="TableParagraph"/>
              <w:spacing w:before="154" w:line="252" w:lineRule="exact"/>
              <w:ind w:left="110"/>
              <w:jc w:val="center"/>
              <w:rPr>
                <w:b/>
                <w:i/>
                <w:sz w:val="24"/>
                <w:szCs w:val="24"/>
              </w:rPr>
            </w:pPr>
            <w:r w:rsidRPr="00BA08AB">
              <w:rPr>
                <w:b/>
                <w:i/>
                <w:sz w:val="24"/>
              </w:rPr>
              <w:t>ZAŁĄCZNIK X</w:t>
            </w:r>
          </w:p>
        </w:tc>
      </w:tr>
      <w:tr w:rsidR="00F17F65" w:rsidRPr="00BA08AB" w:rsidTr="00C6436A">
        <w:trPr>
          <w:jc w:val="center"/>
        </w:trPr>
        <w:tc>
          <w:tcPr>
            <w:tcW w:w="9752" w:type="dxa"/>
            <w:gridSpan w:val="8"/>
            <w:hideMark/>
          </w:tcPr>
          <w:p w:rsidR="00C6436A" w:rsidRPr="00BA08AB" w:rsidRDefault="00774DE8">
            <w:pPr>
              <w:pStyle w:val="TableParagraph"/>
              <w:spacing w:before="154" w:after="240" w:line="252" w:lineRule="exact"/>
              <w:ind w:left="108"/>
              <w:jc w:val="center"/>
              <w:rPr>
                <w:rFonts w:cstheme="minorHAnsi"/>
                <w:b/>
                <w:i/>
                <w:noProof/>
                <w:sz w:val="24"/>
                <w:szCs w:val="24"/>
              </w:rPr>
            </w:pPr>
            <w:r w:rsidRPr="00BA08AB">
              <w:rPr>
                <w:b/>
                <w:i/>
                <w:sz w:val="24"/>
              </w:rPr>
              <w:t>Certyfikat pozyskania w ramach systemu dokumentowania połowów korala czerwonego opracowanego przez GFCM</w:t>
            </w:r>
          </w:p>
        </w:tc>
      </w:tr>
      <w:tr w:rsidR="00F17F65" w:rsidRPr="00BA08AB" w:rsidTr="00C6436A">
        <w:trPr>
          <w:gridAfter w:val="1"/>
          <w:wAfter w:w="687" w:type="dxa"/>
          <w:cantSplit/>
          <w:jc w:val="center"/>
        </w:trPr>
        <w:tc>
          <w:tcPr>
            <w:tcW w:w="906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jc w:val="center"/>
              <w:rPr>
                <w:rFonts w:cstheme="minorHAnsi"/>
                <w:b/>
                <w:i/>
                <w:noProof/>
              </w:rPr>
            </w:pPr>
            <w:r w:rsidRPr="00BA08AB">
              <w:rPr>
                <w:b/>
                <w:i/>
              </w:rPr>
              <w:t xml:space="preserve">CERTYFIKAT POZYSKANIA W RAMACH SYSTEMU </w:t>
            </w:r>
            <w:r w:rsidRPr="00BA08AB">
              <w:rPr>
                <w:b/>
                <w:i/>
              </w:rPr>
              <w:t>DOKUMENTOWANIA POŁOWÓW KORALA CZERWONEGO OPRACOWANEGO PRZEZ GFCM</w:t>
            </w:r>
          </w:p>
        </w:tc>
      </w:tr>
      <w:tr w:rsidR="00F17F65" w:rsidRPr="00BA08AB" w:rsidTr="00C6436A">
        <w:trPr>
          <w:gridAfter w:val="1"/>
          <w:wAfter w:w="687" w:type="dxa"/>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Numer dokumentu</w:t>
            </w:r>
          </w:p>
        </w:tc>
        <w:tc>
          <w:tcPr>
            <w:tcW w:w="495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Organ zatwierdzający</w:t>
            </w:r>
          </w:p>
        </w:tc>
      </w:tr>
      <w:tr w:rsidR="00F17F65" w:rsidRPr="00BA08AB"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1. Imię i nazwisko:</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 xml:space="preserve">Adres </w:t>
            </w:r>
          </w:p>
        </w:tc>
        <w:tc>
          <w:tcPr>
            <w:tcW w:w="30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Nr tel.</w:t>
            </w:r>
          </w:p>
          <w:p w:rsidR="00C6436A" w:rsidRPr="00BA08AB" w:rsidRDefault="00774DE8">
            <w:pPr>
              <w:rPr>
                <w:rFonts w:cstheme="minorHAnsi"/>
                <w:b/>
                <w:i/>
                <w:noProof/>
              </w:rPr>
            </w:pPr>
            <w:r w:rsidRPr="00BA08AB">
              <w:rPr>
                <w:b/>
                <w:i/>
              </w:rPr>
              <w:t>Telefaks</w:t>
            </w:r>
          </w:p>
        </w:tc>
      </w:tr>
      <w:tr w:rsidR="00F17F65" w:rsidRPr="00BA08AB"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2. Nazwa statku rybackiego</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Bandera – port macierzysty i numer rejestracyjny</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Sygnał rozpoznawczy</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 xml:space="preserve">Numer </w:t>
            </w:r>
            <w:r w:rsidRPr="00BA08AB">
              <w:rPr>
                <w:b/>
                <w:i/>
              </w:rPr>
              <w:t>IMO/Lloyd’s (jeśli nadano)</w:t>
            </w:r>
          </w:p>
        </w:tc>
      </w:tr>
      <w:tr w:rsidR="00F17F65" w:rsidRPr="00BA08AB"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Nr licencji połowowej – Data ważności (data)</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6A" w:rsidRPr="00BA08AB" w:rsidRDefault="00774DE8">
            <w:pPr>
              <w:rPr>
                <w:rFonts w:cstheme="minorHAnsi"/>
                <w:b/>
                <w:i/>
                <w:noProof/>
              </w:rPr>
            </w:pPr>
            <w:r w:rsidRPr="00BA08AB">
              <w:rPr>
                <w:b/>
                <w:i/>
              </w:rPr>
              <w:t>Nr Inmarsat, Telefaks, Telefon, Adres poczty elektronicznej (jeżeli dotyczy)</w:t>
            </w:r>
          </w:p>
          <w:p w:rsidR="00C6436A" w:rsidRPr="00BA08AB" w:rsidRDefault="00C6436A">
            <w:pPr>
              <w:rPr>
                <w:rFonts w:cstheme="minorHAnsi"/>
                <w:b/>
                <w:i/>
                <w:noProof/>
              </w:rPr>
            </w:pPr>
          </w:p>
        </w:tc>
      </w:tr>
      <w:tr w:rsidR="00F17F65" w:rsidRPr="00BA08AB"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Port wyładunku</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BA08AB" w:rsidRDefault="00774DE8">
            <w:pPr>
              <w:rPr>
                <w:rFonts w:cstheme="minorHAnsi"/>
                <w:b/>
                <w:i/>
                <w:noProof/>
              </w:rPr>
            </w:pPr>
            <w:r w:rsidRPr="00BA08AB">
              <w:rPr>
                <w:b/>
                <w:i/>
              </w:rPr>
              <w:t xml:space="preserve">Data wyładunku </w:t>
            </w:r>
          </w:p>
          <w:p w:rsidR="00C6436A" w:rsidRPr="00BA08AB" w:rsidRDefault="00774DE8">
            <w:pPr>
              <w:rPr>
                <w:rFonts w:cstheme="minorHAnsi"/>
                <w:b/>
                <w:i/>
                <w:noProof/>
              </w:rPr>
            </w:pPr>
            <w:r w:rsidRPr="00BA08AB">
              <w:rPr>
                <w:b/>
                <w:i/>
              </w:rPr>
              <w:t>Od ………. do ……….</w:t>
            </w:r>
          </w:p>
        </w:tc>
      </w:tr>
    </w:tbl>
    <w:p w:rsidR="00C6436A" w:rsidRPr="00BA08AB" w:rsidRDefault="00C6436A" w:rsidP="00C6436A">
      <w:pPr>
        <w:spacing w:after="160" w:line="254" w:lineRule="auto"/>
        <w:rPr>
          <w:b/>
          <w:i/>
          <w:noProof/>
          <w:color w:val="000000" w:themeColor="text1"/>
          <w:lang w:eastAsia="en-US"/>
        </w:rPr>
      </w:pPr>
    </w:p>
    <w:p w:rsidR="00C6436A" w:rsidRPr="00BA08AB" w:rsidRDefault="00C6436A" w:rsidP="00C6436A">
      <w:pPr>
        <w:rPr>
          <w:rFonts w:eastAsiaTheme="minorHAnsi"/>
          <w:b/>
          <w:i/>
        </w:rPr>
      </w:pPr>
    </w:p>
    <w:tbl>
      <w:tblPr>
        <w:tblW w:w="5000" w:type="pct"/>
        <w:tblLook w:val="04A0" w:firstRow="1" w:lastRow="0" w:firstColumn="1" w:lastColumn="0" w:noHBand="0" w:noVBand="1"/>
      </w:tblPr>
      <w:tblGrid>
        <w:gridCol w:w="930"/>
        <w:gridCol w:w="932"/>
        <w:gridCol w:w="463"/>
        <w:gridCol w:w="1352"/>
        <w:gridCol w:w="469"/>
        <w:gridCol w:w="417"/>
        <w:gridCol w:w="897"/>
        <w:gridCol w:w="1351"/>
        <w:gridCol w:w="447"/>
        <w:gridCol w:w="1802"/>
      </w:tblGrid>
      <w:tr w:rsidR="00F17F65" w:rsidRPr="00BA08AB" w:rsidTr="00C6436A">
        <w:trPr>
          <w:cantSplit/>
        </w:trPr>
        <w:tc>
          <w:tcPr>
            <w:tcW w:w="5000" w:type="pct"/>
            <w:gridSpan w:val="10"/>
            <w:tcBorders>
              <w:top w:val="single" w:sz="4" w:space="0" w:color="auto"/>
              <w:left w:val="single" w:sz="4" w:space="0" w:color="auto"/>
              <w:bottom w:val="single" w:sz="4" w:space="0" w:color="auto"/>
              <w:right w:val="single" w:sz="4" w:space="0" w:color="auto"/>
            </w:tcBorders>
          </w:tcPr>
          <w:p w:rsidR="00C6436A" w:rsidRPr="00BA08AB" w:rsidRDefault="00774DE8">
            <w:pPr>
              <w:rPr>
                <w:rFonts w:cstheme="minorHAnsi"/>
                <w:b/>
                <w:i/>
                <w:noProof/>
              </w:rPr>
            </w:pPr>
            <w:r w:rsidRPr="00BA08AB">
              <w:rPr>
                <w:b/>
                <w:i/>
              </w:rPr>
              <w:t>3. Opis produktu</w:t>
            </w:r>
          </w:p>
          <w:p w:rsidR="00C6436A" w:rsidRPr="00BA08AB" w:rsidRDefault="00C6436A">
            <w:pPr>
              <w:rPr>
                <w:rFonts w:cstheme="minorHAnsi"/>
                <w:b/>
                <w:i/>
                <w:noProof/>
              </w:rPr>
            </w:pPr>
          </w:p>
        </w:tc>
      </w:tr>
      <w:tr w:rsidR="00F17F65" w:rsidRPr="00BA08AB" w:rsidTr="00C6436A">
        <w:trPr>
          <w:cantSplit/>
        </w:trPr>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Strefa pozyskania</w:t>
            </w:r>
          </w:p>
        </w:tc>
        <w:tc>
          <w:tcPr>
            <w:tcW w:w="100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Data pozyskania</w:t>
            </w:r>
          </w:p>
        </w:tc>
        <w:tc>
          <w:tcPr>
            <w:tcW w:w="999"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Waga eksportowa netto (kg)</w:t>
            </w:r>
          </w:p>
        </w:tc>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Odpowiednia masa w relacji pełnej (kg)</w:t>
            </w:r>
          </w:p>
        </w:tc>
        <w:tc>
          <w:tcPr>
            <w:tcW w:w="999"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Odpowiednia wyładowana masa (kg)</w:t>
            </w:r>
          </w:p>
        </w:tc>
      </w:tr>
      <w:tr w:rsidR="00F17F65" w:rsidRPr="00BA08AB"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A.</w:t>
            </w:r>
          </w:p>
        </w:tc>
        <w:tc>
          <w:tcPr>
            <w:tcW w:w="501"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r>
      <w:tr w:rsidR="00F17F65" w:rsidRPr="00BA08AB"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B.</w:t>
            </w:r>
          </w:p>
        </w:tc>
        <w:tc>
          <w:tcPr>
            <w:tcW w:w="501"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r>
      <w:tr w:rsidR="00F17F65" w:rsidRPr="00BA08AB"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C.</w:t>
            </w:r>
          </w:p>
        </w:tc>
        <w:tc>
          <w:tcPr>
            <w:tcW w:w="501"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r>
      <w:tr w:rsidR="00F17F65" w:rsidRPr="00BA08AB"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w:t>
            </w:r>
          </w:p>
        </w:tc>
        <w:tc>
          <w:tcPr>
            <w:tcW w:w="501"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r>
      <w:tr w:rsidR="00F17F65" w:rsidRPr="00BA08AB"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E.</w:t>
            </w:r>
          </w:p>
        </w:tc>
        <w:tc>
          <w:tcPr>
            <w:tcW w:w="501"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BA08AB" w:rsidRDefault="00C6436A">
            <w:pPr>
              <w:rPr>
                <w:rFonts w:cstheme="minorHAnsi"/>
                <w:b/>
                <w:i/>
                <w:noProof/>
              </w:rPr>
            </w:pPr>
          </w:p>
        </w:tc>
      </w:tr>
      <w:tr w:rsidR="00F17F65" w:rsidRPr="00BA08AB"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4. Imię i nazwisko kapitana statku – Podpis:……………………….. Pieczęć: </w:t>
            </w:r>
          </w:p>
        </w:tc>
      </w:tr>
      <w:tr w:rsidR="00F17F65" w:rsidRPr="00BA08AB" w:rsidTr="00C6436A">
        <w:trPr>
          <w:cantSplit/>
        </w:trPr>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5. Nazwa (imię i nazwisko) i adres </w:t>
            </w:r>
            <w:r w:rsidRPr="00BA08AB">
              <w:rPr>
                <w:b/>
                <w:i/>
              </w:rPr>
              <w:t>eksportera, jeśli dotyczy</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Podpis</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Pieczęć</w:t>
            </w:r>
          </w:p>
        </w:tc>
      </w:tr>
      <w:tr w:rsidR="00F17F65" w:rsidRPr="00BA08AB"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lastRenderedPageBreak/>
              <w:t>6. Zatwierdzenie przez organ państwa bandery:</w:t>
            </w:r>
          </w:p>
        </w:tc>
      </w:tr>
      <w:tr w:rsidR="00F17F65" w:rsidRPr="00BA08AB" w:rsidTr="00C6436A">
        <w:trPr>
          <w:cantSplit/>
        </w:trPr>
        <w:tc>
          <w:tcPr>
            <w:tcW w:w="1250" w:type="pct"/>
            <w:gridSpan w:val="3"/>
            <w:tcBorders>
              <w:top w:val="single" w:sz="4" w:space="0" w:color="auto"/>
              <w:left w:val="single" w:sz="4" w:space="0" w:color="auto"/>
              <w:bottom w:val="single" w:sz="4" w:space="0" w:color="auto"/>
              <w:right w:val="single" w:sz="4" w:space="0" w:color="auto"/>
            </w:tcBorders>
          </w:tcPr>
          <w:p w:rsidR="00C6436A" w:rsidRPr="00BA08AB" w:rsidRDefault="00774DE8">
            <w:pPr>
              <w:rPr>
                <w:rFonts w:cstheme="minorHAnsi"/>
                <w:b/>
                <w:i/>
                <w:noProof/>
              </w:rPr>
            </w:pPr>
            <w:r w:rsidRPr="00BA08AB">
              <w:rPr>
                <w:b/>
                <w:i/>
              </w:rPr>
              <w:t>Imię i nazwisko/Stanowisko</w:t>
            </w:r>
          </w:p>
          <w:p w:rsidR="00C6436A" w:rsidRPr="00BA08AB" w:rsidRDefault="00C6436A">
            <w:pPr>
              <w:rPr>
                <w:rFonts w:cstheme="minorHAnsi"/>
                <w:b/>
                <w:i/>
                <w:noProof/>
              </w:rPr>
            </w:pP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Podpis</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Pieczęć (stempel)</w:t>
            </w:r>
          </w:p>
        </w:tc>
      </w:tr>
      <w:tr w:rsidR="00F17F65" w:rsidRPr="00BA08AB"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7. Szczegóły transportu, jeśli dotyczy</w:t>
            </w:r>
          </w:p>
        </w:tc>
      </w:tr>
      <w:tr w:rsidR="00F17F65" w:rsidRPr="00BA08AB" w:rsidTr="00C6436A">
        <w:trPr>
          <w:cantSplit/>
        </w:trPr>
        <w:tc>
          <w:tcPr>
            <w:tcW w:w="2265" w:type="pct"/>
            <w:gridSpan w:val="5"/>
            <w:tcBorders>
              <w:top w:val="single" w:sz="4" w:space="0" w:color="auto"/>
              <w:left w:val="single" w:sz="4" w:space="0" w:color="auto"/>
              <w:bottom w:val="single" w:sz="4" w:space="0" w:color="auto"/>
              <w:right w:val="single" w:sz="4" w:space="0" w:color="auto"/>
            </w:tcBorders>
          </w:tcPr>
          <w:p w:rsidR="00C6436A" w:rsidRPr="00BA08AB" w:rsidRDefault="00774DE8">
            <w:pPr>
              <w:rPr>
                <w:rFonts w:cstheme="minorHAnsi"/>
                <w:b/>
                <w:i/>
                <w:noProof/>
              </w:rPr>
            </w:pPr>
            <w:r w:rsidRPr="00BA08AB">
              <w:rPr>
                <w:b/>
                <w:i/>
              </w:rPr>
              <w:t>Kraj/port/port lotniczy wywozu, inne</w:t>
            </w:r>
          </w:p>
          <w:p w:rsidR="00C6436A" w:rsidRPr="00BA08AB" w:rsidRDefault="00774DE8">
            <w:pPr>
              <w:rPr>
                <w:rFonts w:cstheme="minorHAnsi"/>
                <w:b/>
                <w:i/>
                <w:noProof/>
              </w:rPr>
            </w:pPr>
            <w:r w:rsidRPr="00BA08AB">
              <w:rPr>
                <w:b/>
                <w:i/>
              </w:rPr>
              <w:t>Miejsce wyjścia</w:t>
            </w:r>
          </w:p>
          <w:p w:rsidR="00C6436A" w:rsidRPr="00BA08AB" w:rsidRDefault="00C6436A">
            <w:pPr>
              <w:rPr>
                <w:rFonts w:cstheme="minorHAnsi"/>
                <w:b/>
                <w:i/>
                <w:noProof/>
              </w:rPr>
            </w:pPr>
          </w:p>
          <w:p w:rsidR="00C6436A" w:rsidRPr="00BA08AB" w:rsidRDefault="00C6436A">
            <w:pPr>
              <w:rPr>
                <w:rFonts w:cstheme="minorHAnsi"/>
                <w:b/>
                <w:i/>
                <w:noProof/>
              </w:rPr>
            </w:pPr>
          </w:p>
        </w:tc>
        <w:tc>
          <w:tcPr>
            <w:tcW w:w="2735" w:type="pct"/>
            <w:gridSpan w:val="5"/>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Identyfikatory środków transportu (statek, samolot, ciężarówka </w:t>
            </w:r>
          </w:p>
          <w:p w:rsidR="00C6436A" w:rsidRPr="00BA08AB" w:rsidRDefault="00774DE8">
            <w:pPr>
              <w:rPr>
                <w:rFonts w:cstheme="minorHAnsi"/>
                <w:b/>
                <w:i/>
                <w:noProof/>
              </w:rPr>
            </w:pPr>
            <w:r w:rsidRPr="00BA08AB">
              <w:rPr>
                <w:b/>
                <w:i/>
              </w:rPr>
              <w:t>itd.)</w:t>
            </w:r>
          </w:p>
        </w:tc>
      </w:tr>
    </w:tbl>
    <w:p w:rsidR="00C6436A" w:rsidRPr="00BA08AB" w:rsidRDefault="00C6436A" w:rsidP="00C6436A">
      <w:pPr>
        <w:rPr>
          <w:b/>
          <w:i/>
          <w:lang w:eastAsia="en-US"/>
        </w:rPr>
      </w:pPr>
    </w:p>
    <w:tbl>
      <w:tblPr>
        <w:tblW w:w="5000" w:type="pct"/>
        <w:tblLook w:val="04A0" w:firstRow="1" w:lastRow="0" w:firstColumn="1" w:lastColumn="0" w:noHBand="0" w:noVBand="1"/>
      </w:tblPr>
      <w:tblGrid>
        <w:gridCol w:w="1814"/>
        <w:gridCol w:w="1812"/>
        <w:gridCol w:w="1810"/>
        <w:gridCol w:w="1814"/>
        <w:gridCol w:w="1810"/>
      </w:tblGrid>
      <w:tr w:rsidR="00F17F65" w:rsidRPr="00BA08AB"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8. Zgłoszenie przywozowe, jeśli dotyczy</w:t>
            </w:r>
          </w:p>
        </w:tc>
      </w:tr>
      <w:tr w:rsidR="00F17F65" w:rsidRPr="00BA08AB" w:rsidTr="00C6436A">
        <w:trPr>
          <w:cantSplit/>
        </w:trPr>
        <w:tc>
          <w:tcPr>
            <w:tcW w:w="1001" w:type="pct"/>
            <w:tcBorders>
              <w:top w:val="single" w:sz="4" w:space="0" w:color="auto"/>
              <w:left w:val="single" w:sz="4" w:space="0" w:color="auto"/>
              <w:bottom w:val="single" w:sz="4" w:space="0" w:color="auto"/>
              <w:right w:val="single" w:sz="4" w:space="0" w:color="auto"/>
            </w:tcBorders>
          </w:tcPr>
          <w:p w:rsidR="00C6436A" w:rsidRPr="00BA08AB" w:rsidRDefault="00774DE8">
            <w:pPr>
              <w:rPr>
                <w:rFonts w:cstheme="minorHAnsi"/>
                <w:b/>
                <w:i/>
                <w:noProof/>
              </w:rPr>
            </w:pPr>
            <w:r w:rsidRPr="00BA08AB">
              <w:rPr>
                <w:b/>
                <w:i/>
              </w:rPr>
              <w:t>Nazwa (imię i nazwisko) i adres importera</w:t>
            </w:r>
          </w:p>
          <w:p w:rsidR="00C6436A" w:rsidRPr="00BA08AB" w:rsidRDefault="00C6436A">
            <w:pPr>
              <w:rPr>
                <w:rFonts w:cstheme="minorHAnsi"/>
                <w:b/>
                <w:i/>
                <w:noProof/>
              </w:rPr>
            </w:pPr>
          </w:p>
        </w:tc>
        <w:tc>
          <w:tcPr>
            <w:tcW w:w="100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Podpis</w:t>
            </w:r>
          </w:p>
        </w:tc>
        <w:tc>
          <w:tcPr>
            <w:tcW w:w="999"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Data</w:t>
            </w:r>
          </w:p>
        </w:tc>
        <w:tc>
          <w:tcPr>
            <w:tcW w:w="1001"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Pieczęć</w:t>
            </w:r>
          </w:p>
        </w:tc>
        <w:tc>
          <w:tcPr>
            <w:tcW w:w="999"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Kod CN produktu</w:t>
            </w:r>
          </w:p>
        </w:tc>
      </w:tr>
      <w:tr w:rsidR="00F17F65" w:rsidRPr="00BA08AB"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Proszę odpowiednio zaznaczyć.</w:t>
            </w:r>
          </w:p>
        </w:tc>
      </w:tr>
    </w:tbl>
    <w:p w:rsidR="00C6436A" w:rsidRPr="00BA08AB" w:rsidRDefault="00C6436A" w:rsidP="00C6436A">
      <w:pPr>
        <w:rPr>
          <w:rFonts w:cstheme="minorHAnsi"/>
          <w:b/>
          <w:i/>
          <w:noProof/>
          <w:lang w:eastAsia="en-US"/>
        </w:rPr>
      </w:pPr>
    </w:p>
    <w:tbl>
      <w:tblPr>
        <w:tblW w:w="5000" w:type="pct"/>
        <w:tblLook w:val="04A0" w:firstRow="1" w:lastRow="0" w:firstColumn="1" w:lastColumn="0" w:noHBand="0" w:noVBand="1"/>
      </w:tblPr>
      <w:tblGrid>
        <w:gridCol w:w="2324"/>
        <w:gridCol w:w="749"/>
        <w:gridCol w:w="1496"/>
        <w:gridCol w:w="1429"/>
        <w:gridCol w:w="66"/>
        <w:gridCol w:w="740"/>
        <w:gridCol w:w="2256"/>
      </w:tblGrid>
      <w:tr w:rsidR="00F17F65" w:rsidRPr="00BA08AB" w:rsidTr="00C6436A">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ŚWIADECTWO POWROTNEGO </w:t>
            </w:r>
            <w:r w:rsidRPr="00BA08AB">
              <w:rPr>
                <w:b/>
                <w:i/>
              </w:rPr>
              <w:t>WYWOZU, jeśli dotyczy</w:t>
            </w:r>
          </w:p>
        </w:tc>
      </w:tr>
      <w:tr w:rsidR="00F17F65" w:rsidRPr="00BA08AB"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Numer świadectwa</w:t>
            </w:r>
          </w:p>
        </w:tc>
        <w:tc>
          <w:tcPr>
            <w:tcW w:w="1625"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Data</w:t>
            </w:r>
          </w:p>
        </w:tc>
        <w:tc>
          <w:tcPr>
            <w:tcW w:w="1706"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Państwo członkowskie</w:t>
            </w:r>
          </w:p>
        </w:tc>
      </w:tr>
      <w:tr w:rsidR="00F17F65" w:rsidRPr="00BA08AB" w:rsidTr="00C6436A">
        <w:trPr>
          <w:cantSplit/>
          <w:trHeight w:val="295"/>
        </w:trPr>
        <w:tc>
          <w:tcPr>
            <w:tcW w:w="250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1. Opis produktu podlegającego powrotnemu wywozowi</w:t>
            </w:r>
          </w:p>
        </w:tc>
        <w:tc>
          <w:tcPr>
            <w:tcW w:w="2500" w:type="pct"/>
            <w:gridSpan w:val="4"/>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Masa (kg)</w:t>
            </w:r>
          </w:p>
        </w:tc>
      </w:tr>
      <w:tr w:rsidR="00F17F65" w:rsidRPr="00BA08AB"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Gatunek</w:t>
            </w:r>
          </w:p>
        </w:tc>
        <w:tc>
          <w:tcPr>
            <w:tcW w:w="1667"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Kod produktu</w:t>
            </w:r>
          </w:p>
        </w:tc>
        <w:tc>
          <w:tcPr>
            <w:tcW w:w="1664" w:type="pct"/>
            <w:gridSpan w:val="2"/>
            <w:tcBorders>
              <w:top w:val="single" w:sz="4" w:space="0" w:color="auto"/>
              <w:left w:val="single" w:sz="4" w:space="0" w:color="auto"/>
              <w:bottom w:val="single" w:sz="4" w:space="0" w:color="auto"/>
              <w:right w:val="single" w:sz="4" w:space="0" w:color="auto"/>
            </w:tcBorders>
          </w:tcPr>
          <w:p w:rsidR="00C6436A" w:rsidRPr="00BA08AB" w:rsidRDefault="00774DE8">
            <w:pPr>
              <w:rPr>
                <w:rFonts w:cstheme="minorHAnsi"/>
                <w:b/>
                <w:i/>
                <w:noProof/>
              </w:rPr>
            </w:pPr>
            <w:r w:rsidRPr="00BA08AB">
              <w:rPr>
                <w:b/>
                <w:i/>
              </w:rPr>
              <w:t>Różnica w stosunku do całkowitej ilości zadeklarowanej w certyfikacie pozyskania</w:t>
            </w:r>
          </w:p>
          <w:p w:rsidR="00C6436A" w:rsidRPr="00BA08AB" w:rsidRDefault="00C6436A">
            <w:pPr>
              <w:rPr>
                <w:rFonts w:cstheme="minorHAnsi"/>
                <w:b/>
                <w:i/>
                <w:noProof/>
              </w:rPr>
            </w:pPr>
          </w:p>
        </w:tc>
      </w:tr>
      <w:tr w:rsidR="00F17F65" w:rsidRPr="00BA08AB"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2. Nazwa (imię </w:t>
            </w:r>
            <w:r w:rsidRPr="00BA08AB">
              <w:rPr>
                <w:b/>
                <w:i/>
              </w:rPr>
              <w:t>i nazwisko) podmiotu dokonującego powrotnego wywozu</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Adres</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Podpis</w:t>
            </w:r>
          </w:p>
        </w:tc>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Data</w:t>
            </w:r>
          </w:p>
        </w:tc>
      </w:tr>
      <w:tr w:rsidR="00F17F65" w:rsidRPr="00BA08AB"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3. Organ</w:t>
            </w:r>
          </w:p>
        </w:tc>
      </w:tr>
      <w:tr w:rsidR="00F17F65" w:rsidRPr="00BA08AB"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Imię i nazwisko/Stanowisko</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Podpis</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Data</w:t>
            </w:r>
          </w:p>
        </w:tc>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Pieczęć/Stempel</w:t>
            </w:r>
          </w:p>
        </w:tc>
      </w:tr>
      <w:tr w:rsidR="00F17F65" w:rsidRPr="00BA08AB"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4. Kontrola powrotnego wywozu</w:t>
            </w:r>
          </w:p>
        </w:tc>
      </w:tr>
      <w:tr w:rsidR="00F17F65" w:rsidRPr="00BA08AB"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Miejsce</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Zezwolono na wywóz powrotny (*)</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Zażądano weryfikacji (*)</w:t>
            </w:r>
          </w:p>
        </w:tc>
        <w:tc>
          <w:tcPr>
            <w:tcW w:w="1250" w:type="pct"/>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xml:space="preserve">Numer i data wydania </w:t>
            </w:r>
            <w:r w:rsidRPr="00BA08AB">
              <w:rPr>
                <w:b/>
                <w:i/>
              </w:rPr>
              <w:t>deklaracji powrotnego wywozu</w:t>
            </w:r>
          </w:p>
        </w:tc>
      </w:tr>
      <w:tr w:rsidR="00F17F65" w:rsidRPr="00BA08AB"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BA08AB" w:rsidRDefault="00774DE8">
            <w:pPr>
              <w:rPr>
                <w:rFonts w:cstheme="minorHAnsi"/>
                <w:b/>
                <w:i/>
                <w:noProof/>
              </w:rPr>
            </w:pPr>
            <w:r w:rsidRPr="00BA08AB">
              <w:rPr>
                <w:b/>
                <w:i/>
              </w:rPr>
              <w:t>(*) Proszę odpowiednio zaznaczyć.</w:t>
            </w:r>
          </w:p>
        </w:tc>
      </w:tr>
    </w:tbl>
    <w:p w:rsidR="00C6436A" w:rsidRPr="00BA08AB" w:rsidRDefault="00C6436A" w:rsidP="00C6436A">
      <w:pPr>
        <w:rPr>
          <w:rFonts w:cstheme="minorHAnsi"/>
          <w:b/>
          <w:i/>
          <w:noProof/>
          <w:lang w:eastAsia="en-US"/>
        </w:rPr>
      </w:pPr>
    </w:p>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4B7199">
      <w:pPr>
        <w:pStyle w:val="Normal12Italic"/>
        <w:jc w:val="center"/>
        <w:rPr>
          <w:noProof w:val="0"/>
        </w:rPr>
      </w:pPr>
      <w:r w:rsidRPr="00BA08AB">
        <w:t>(https://eur-lex.europa.eu/legal-content/PL/TXT/?uri=CELEX:32023R2124)</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121</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1</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XI – litera A</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5387" w:type="dxa"/>
            <w:hideMark/>
          </w:tcPr>
          <w:p w:rsidR="00C6436A" w:rsidRPr="00774DE8" w:rsidRDefault="00774DE8">
            <w:pPr>
              <w:pStyle w:val="ColumnHeading"/>
              <w:keepNext/>
            </w:pPr>
            <w:r w:rsidRPr="00774DE8">
              <w:t>Tekst proponowany przez Komisję</w:t>
            </w:r>
          </w:p>
        </w:tc>
        <w:tc>
          <w:tcPr>
            <w:tcW w:w="4365" w:type="dxa"/>
            <w:hideMark/>
          </w:tcPr>
          <w:p w:rsidR="00C6436A" w:rsidRPr="00BA08AB" w:rsidRDefault="00C6436A"/>
        </w:tc>
      </w:tr>
      <w:tr w:rsidR="00F17F65" w:rsidRPr="00BA08AB" w:rsidTr="00C6436A">
        <w:trPr>
          <w:jc w:val="center"/>
        </w:trPr>
        <w:tc>
          <w:tcPr>
            <w:tcW w:w="9752" w:type="dxa"/>
            <w:gridSpan w:val="2"/>
            <w:hideMark/>
          </w:tcPr>
          <w:p w:rsidR="00C6436A" w:rsidRPr="00774DE8" w:rsidRDefault="00774DE8">
            <w:pPr>
              <w:pStyle w:val="TableParagraph"/>
              <w:spacing w:before="154" w:line="252" w:lineRule="exact"/>
              <w:ind w:left="110"/>
              <w:rPr>
                <w:sz w:val="24"/>
                <w:szCs w:val="24"/>
              </w:rPr>
            </w:pPr>
            <w:r w:rsidRPr="00774DE8">
              <w:rPr>
                <w:sz w:val="24"/>
              </w:rPr>
              <w:t>A.</w:t>
            </w:r>
            <w:r w:rsidRPr="00774DE8">
              <w:rPr>
                <w:sz w:val="24"/>
              </w:rPr>
              <w:tab/>
              <w:t>Obszar ograniczonych połowów w Zatoce Lwiej</w:t>
            </w:r>
          </w:p>
        </w:tc>
      </w:tr>
      <w:tr w:rsidR="00F17F65" w:rsidRPr="00BA08AB" w:rsidTr="00C6436A">
        <w:trPr>
          <w:jc w:val="center"/>
        </w:trPr>
        <w:tc>
          <w:tcPr>
            <w:tcW w:w="9752" w:type="dxa"/>
            <w:gridSpan w:val="2"/>
            <w:hideMark/>
          </w:tcPr>
          <w:p w:rsidR="00C6436A" w:rsidRPr="00774DE8" w:rsidRDefault="00774DE8">
            <w:pPr>
              <w:pStyle w:val="TableParagraph"/>
              <w:spacing w:before="154" w:line="252" w:lineRule="exact"/>
              <w:ind w:left="110"/>
              <w:rPr>
                <w:sz w:val="24"/>
                <w:szCs w:val="24"/>
              </w:rPr>
            </w:pPr>
            <w:r w:rsidRPr="00774DE8">
              <w:rPr>
                <w:b/>
                <w:i/>
                <w:sz w:val="24"/>
              </w:rPr>
              <w:t xml:space="preserve">We wschodniej części </w:t>
            </w:r>
            <w:r w:rsidRPr="00774DE8">
              <w:rPr>
                <w:b/>
                <w:i/>
                <w:sz w:val="24"/>
              </w:rPr>
              <w:t>Zatoki Lwiej ustanawia się obszar ograniczonych połowów, wyznaczony odcinkami łączącymi punkty o następujących współrzędnych geograficznych:</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Strefa (1):</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43°00’ N, 4°49,35’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43°00’ N, 4°53,7’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42°55,896’ N, 4°53,7’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42°55,896’ N, 4°49,35’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Strefa (2):</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42° 40′ N, 4° 20′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42° 40′ N, 5° 00′ E</w:t>
            </w:r>
          </w:p>
        </w:tc>
      </w:tr>
      <w:tr w:rsidR="00F17F65" w:rsidRPr="00BA08AB" w:rsidTr="00C6436A">
        <w:trPr>
          <w:jc w:val="center"/>
        </w:trPr>
        <w:tc>
          <w:tcPr>
            <w:tcW w:w="9752" w:type="dxa"/>
            <w:gridSpan w:val="2"/>
            <w:hideMark/>
          </w:tcPr>
          <w:p w:rsidR="00C6436A" w:rsidRPr="00774DE8" w:rsidRDefault="00774DE8">
            <w:pPr>
              <w:pStyle w:val="Normal6"/>
            </w:pPr>
            <w:r w:rsidRPr="00774DE8">
              <w:rPr>
                <w:b/>
                <w:i/>
              </w:rPr>
              <w:t>—</w:t>
            </w:r>
            <w:r w:rsidRPr="00774DE8">
              <w:rPr>
                <w:b/>
                <w:i/>
              </w:rPr>
              <w:tab/>
              <w:t>43° 00′ N, 4° 20′ E</w:t>
            </w:r>
          </w:p>
        </w:tc>
      </w:tr>
      <w:tr w:rsidR="00F17F65" w:rsidRPr="00BA08AB" w:rsidTr="00C6436A">
        <w:trPr>
          <w:jc w:val="center"/>
        </w:trPr>
        <w:tc>
          <w:tcPr>
            <w:tcW w:w="5387" w:type="dxa"/>
            <w:hideMark/>
          </w:tcPr>
          <w:p w:rsidR="00C6436A" w:rsidRPr="00774DE8" w:rsidRDefault="00774DE8">
            <w:pPr>
              <w:pStyle w:val="Normal6"/>
            </w:pPr>
            <w:r w:rsidRPr="00774DE8">
              <w:rPr>
                <w:b/>
                <w:i/>
              </w:rPr>
              <w:t>—</w:t>
            </w:r>
            <w:r w:rsidRPr="00774DE8">
              <w:rPr>
                <w:b/>
                <w:i/>
              </w:rPr>
              <w:tab/>
              <w:t>43° 00′ N, 5° 00′ E.</w:t>
            </w:r>
          </w:p>
        </w:tc>
        <w:tc>
          <w:tcPr>
            <w:tcW w:w="4365" w:type="dxa"/>
          </w:tcPr>
          <w:p w:rsidR="00C6436A" w:rsidRPr="00BA08AB" w:rsidRDefault="00C6436A">
            <w:pPr>
              <w:pStyle w:val="TableParagraph"/>
              <w:spacing w:before="154" w:line="252" w:lineRule="exact"/>
              <w:ind w:left="110"/>
              <w:rPr>
                <w:sz w:val="24"/>
                <w:szCs w:val="24"/>
              </w:rPr>
            </w:pPr>
          </w:p>
        </w:tc>
      </w:tr>
      <w:tr w:rsidR="00F17F65" w:rsidRPr="00BA08AB" w:rsidTr="00C6436A">
        <w:trPr>
          <w:jc w:val="center"/>
        </w:trPr>
        <w:tc>
          <w:tcPr>
            <w:tcW w:w="5387" w:type="dxa"/>
            <w:hideMark/>
          </w:tcPr>
          <w:p w:rsidR="00C6436A" w:rsidRPr="00774DE8" w:rsidRDefault="00774DE8">
            <w:pPr>
              <w:pStyle w:val="Normal6"/>
              <w:jc w:val="center"/>
              <w:rPr>
                <w:i/>
                <w:szCs w:val="24"/>
              </w:rPr>
            </w:pPr>
            <w:r w:rsidRPr="00774DE8">
              <w:rPr>
                <w:i/>
              </w:rPr>
              <w:t>Poprawka</w:t>
            </w:r>
          </w:p>
        </w:tc>
        <w:tc>
          <w:tcPr>
            <w:tcW w:w="4365" w:type="dxa"/>
          </w:tcPr>
          <w:p w:rsidR="00C6436A" w:rsidRPr="00BA08AB" w:rsidRDefault="00C6436A">
            <w:pPr>
              <w:pStyle w:val="TableParagraph"/>
              <w:spacing w:before="154" w:line="252" w:lineRule="exact"/>
              <w:ind w:left="110"/>
              <w:rPr>
                <w:noProof/>
                <w:sz w:val="24"/>
                <w:szCs w:val="24"/>
              </w:rPr>
            </w:pPr>
          </w:p>
        </w:tc>
      </w:tr>
      <w:tr w:rsidR="00F17F65" w:rsidRPr="00BA08AB" w:rsidTr="00C6436A">
        <w:trPr>
          <w:jc w:val="center"/>
        </w:trPr>
        <w:tc>
          <w:tcPr>
            <w:tcW w:w="9752" w:type="dxa"/>
            <w:gridSpan w:val="2"/>
            <w:hideMark/>
          </w:tcPr>
          <w:p w:rsidR="00C6436A" w:rsidRPr="00BA08AB" w:rsidRDefault="00774DE8">
            <w:pPr>
              <w:pStyle w:val="TableParagraph"/>
              <w:spacing w:before="154" w:line="252" w:lineRule="exact"/>
              <w:ind w:left="110"/>
              <w:rPr>
                <w:sz w:val="24"/>
                <w:szCs w:val="24"/>
              </w:rPr>
            </w:pPr>
            <w:r w:rsidRPr="00BA08AB">
              <w:rPr>
                <w:sz w:val="24"/>
              </w:rPr>
              <w:t>A.</w:t>
            </w:r>
            <w:r w:rsidRPr="00BA08AB">
              <w:rPr>
                <w:sz w:val="24"/>
              </w:rPr>
              <w:tab/>
              <w:t xml:space="preserve">Obszar ograniczonych połowów w Zatoce Lwiej </w:t>
            </w:r>
            <w:r w:rsidRPr="00BA08AB">
              <w:rPr>
                <w:b/>
                <w:bCs/>
                <w:i/>
                <w:iCs/>
                <w:sz w:val="24"/>
              </w:rPr>
              <w:t>(podobszar geograficzny 7).</w:t>
            </w:r>
          </w:p>
        </w:tc>
      </w:tr>
    </w:tbl>
    <w:p w:rsidR="00C6436A" w:rsidRPr="00BA08AB" w:rsidRDefault="00C6436A" w:rsidP="00C6436A">
      <w:pPr>
        <w:rPr>
          <w:b/>
          <w:i/>
        </w:rPr>
      </w:pPr>
    </w:p>
    <w:tbl>
      <w:tblPr>
        <w:tblStyle w:val="TableGrid"/>
        <w:tblW w:w="0" w:type="auto"/>
        <w:tblLook w:val="04A0" w:firstRow="1" w:lastRow="0" w:firstColumn="1" w:lastColumn="0" w:noHBand="0" w:noVBand="1"/>
      </w:tblPr>
      <w:tblGrid>
        <w:gridCol w:w="2989"/>
        <w:gridCol w:w="3048"/>
        <w:gridCol w:w="3023"/>
      </w:tblGrid>
      <w:tr w:rsidR="00F17F65" w:rsidRPr="00BA08AB" w:rsidTr="00C6436A">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Punkt</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Długość geograficzna</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Szerokość geograficzna</w:t>
            </w:r>
          </w:p>
        </w:tc>
      </w:tr>
      <w:tr w:rsidR="00F17F65" w:rsidRPr="00BA08AB"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1</w:t>
            </w:r>
          </w:p>
        </w:tc>
        <w:tc>
          <w:tcPr>
            <w:tcW w:w="3048"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43°00’ </w:t>
            </w:r>
            <w:r w:rsidRPr="00BA08AB">
              <w:rPr>
                <w:b/>
                <w:i/>
              </w:rPr>
              <w:t>N</w:t>
            </w:r>
          </w:p>
        </w:tc>
        <w:tc>
          <w:tcPr>
            <w:tcW w:w="3023"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4°49,35’ E</w:t>
            </w:r>
          </w:p>
        </w:tc>
      </w:tr>
      <w:tr w:rsidR="00F17F65" w:rsidRPr="00BA08AB"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2</w:t>
            </w:r>
          </w:p>
        </w:tc>
        <w:tc>
          <w:tcPr>
            <w:tcW w:w="3048"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4°53,7’ E</w:t>
            </w:r>
          </w:p>
        </w:tc>
      </w:tr>
      <w:tr w:rsidR="00F17F65" w:rsidRPr="00BA08AB"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3</w:t>
            </w:r>
          </w:p>
        </w:tc>
        <w:tc>
          <w:tcPr>
            <w:tcW w:w="3048"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4°53,7’ E</w:t>
            </w:r>
          </w:p>
        </w:tc>
      </w:tr>
      <w:tr w:rsidR="00F17F65" w:rsidRPr="00BA08AB"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w:t>
            </w:r>
          </w:p>
        </w:tc>
        <w:tc>
          <w:tcPr>
            <w:tcW w:w="3048"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4°49,35’ E</w:t>
            </w:r>
          </w:p>
        </w:tc>
      </w:tr>
    </w:tbl>
    <w:p w:rsidR="00C6436A" w:rsidRPr="00BA08AB" w:rsidRDefault="00C6436A" w:rsidP="00C6436A">
      <w:pPr>
        <w:rPr>
          <w:b/>
          <w:i/>
          <w:lang w:eastAsia="en-US"/>
        </w:rPr>
      </w:pPr>
    </w:p>
    <w:tbl>
      <w:tblPr>
        <w:tblStyle w:val="TableGrid"/>
        <w:tblW w:w="0" w:type="auto"/>
        <w:tblLook w:val="04A0" w:firstRow="1" w:lastRow="0" w:firstColumn="1" w:lastColumn="0" w:noHBand="0" w:noVBand="1"/>
      </w:tblPr>
      <w:tblGrid>
        <w:gridCol w:w="2964"/>
        <w:gridCol w:w="3048"/>
        <w:gridCol w:w="3048"/>
      </w:tblGrid>
      <w:tr w:rsidR="00F17F65" w:rsidRPr="00BA08AB" w:rsidTr="00C6436A">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C6436A" w:rsidRPr="00BA08AB" w:rsidRDefault="00774DE8">
            <w:pPr>
              <w:jc w:val="center"/>
              <w:rPr>
                <w:rFonts w:cstheme="minorHAnsi"/>
                <w:b/>
                <w:i/>
                <w:noProof/>
              </w:rPr>
            </w:pPr>
            <w:r w:rsidRPr="00BA08AB">
              <w:rPr>
                <w:b/>
                <w:i/>
              </w:rPr>
              <w:t>Strefa B</w:t>
            </w:r>
          </w:p>
        </w:tc>
      </w:tr>
      <w:tr w:rsidR="00F17F65" w:rsidRPr="00BA08AB" w:rsidTr="00C6436A">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 xml:space="preserve">Punkt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 xml:space="preserve">Długość geograficzna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BA08AB" w:rsidRDefault="00774DE8">
            <w:pPr>
              <w:jc w:val="center"/>
              <w:rPr>
                <w:rFonts w:cstheme="minorHAnsi"/>
                <w:b/>
                <w:i/>
                <w:noProof/>
              </w:rPr>
            </w:pPr>
            <w:r w:rsidRPr="00BA08AB">
              <w:rPr>
                <w:b/>
                <w:i/>
              </w:rPr>
              <w:t xml:space="preserve">Szerokość geograficzna </w:t>
            </w:r>
          </w:p>
        </w:tc>
      </w:tr>
      <w:tr w:rsidR="00F17F65" w:rsidRPr="00BA08AB"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4°20’ E </w:t>
            </w:r>
          </w:p>
        </w:tc>
      </w:tr>
      <w:tr w:rsidR="00F17F65" w:rsidRPr="00BA08AB"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5°00’ E </w:t>
            </w:r>
          </w:p>
        </w:tc>
      </w:tr>
      <w:tr w:rsidR="00F17F65" w:rsidRPr="00BA08AB"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4°20’ E </w:t>
            </w:r>
          </w:p>
        </w:tc>
      </w:tr>
      <w:tr w:rsidR="00F17F65" w:rsidRPr="00BA08AB"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BA08AB" w:rsidRDefault="00774DE8">
            <w:pPr>
              <w:jc w:val="center"/>
              <w:rPr>
                <w:rFonts w:cstheme="minorHAnsi"/>
                <w:b/>
                <w:i/>
                <w:noProof/>
              </w:rPr>
            </w:pPr>
            <w:r w:rsidRPr="00BA08AB">
              <w:rPr>
                <w:b/>
                <w:i/>
              </w:rPr>
              <w:t xml:space="preserve">5°00’ E </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lastRenderedPageBreak/>
        <w:t>&lt;Amend&gt;</w:t>
      </w:r>
      <w:r w:rsidRPr="00BA08AB">
        <w:t>Poprawka</w:t>
      </w:r>
      <w:r w:rsidRPr="00BA08AB">
        <w:tab/>
      </w:r>
      <w:r w:rsidRPr="00BA08AB">
        <w:tab/>
      </w:r>
      <w:r w:rsidRPr="00BA08AB">
        <w:rPr>
          <w:rStyle w:val="HideTWBExt"/>
        </w:rPr>
        <w:t>&lt;NumAm&gt;</w:t>
      </w:r>
      <w:r w:rsidRPr="00774DE8">
        <w:t>122</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2 – wprowadzenie</w:t>
      </w:r>
      <w:r w:rsidRPr="00BA08A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(2)</w:t>
            </w:r>
            <w:r w:rsidRPr="00BA08AB">
              <w:tab/>
            </w:r>
            <w:r w:rsidRPr="00BA08AB">
              <w:t xml:space="preserve">Dodaje się następujące załączniki XVII, XVIII, XIX, XX, XXI, XXII </w:t>
            </w:r>
            <w:r w:rsidRPr="00BA08AB">
              <w:rPr>
                <w:b/>
                <w:bCs/>
                <w:i/>
                <w:iCs/>
              </w:rPr>
              <w:t>oraz</w:t>
            </w:r>
            <w:r w:rsidRPr="00BA08AB">
              <w:t xml:space="preserve"> XXIII:</w:t>
            </w:r>
          </w:p>
        </w:tc>
        <w:tc>
          <w:tcPr>
            <w:tcW w:w="4876" w:type="dxa"/>
            <w:hideMark/>
          </w:tcPr>
          <w:p w:rsidR="00C6436A" w:rsidRPr="00BA08AB" w:rsidRDefault="00774DE8">
            <w:pPr>
              <w:pStyle w:val="Normal6"/>
              <w:rPr>
                <w:szCs w:val="24"/>
              </w:rPr>
            </w:pPr>
            <w:r w:rsidRPr="00BA08AB">
              <w:t>(2)</w:t>
            </w:r>
            <w:r w:rsidRPr="00BA08AB">
              <w:tab/>
              <w:t>Dodaje się następujące załączniki XVII, XVIII, XIX, XX, XXI, XXII</w:t>
            </w:r>
            <w:r w:rsidRPr="00BA08AB">
              <w:rPr>
                <w:b/>
                <w:i/>
              </w:rPr>
              <w:t>,</w:t>
            </w:r>
            <w:r w:rsidRPr="00BA08AB">
              <w:t xml:space="preserve"> XXIII</w:t>
            </w:r>
            <w:r w:rsidRPr="00BA08AB">
              <w:rPr>
                <w:b/>
                <w:i/>
              </w:rPr>
              <w:t>, XXIV oraz XXV</w:t>
            </w:r>
            <w:r w:rsidRPr="00BA08AB">
              <w:t xml:space="preserve">: </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pStyle w:val="AMNumberTabs0"/>
        <w:keepNext/>
        <w:rPr>
          <w:rStyle w:val="Normal6Char"/>
          <w:b w:val="0"/>
        </w:rPr>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123</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XIX – tiret 13</w:t>
      </w:r>
      <w:r w:rsidRPr="00BA08A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4876" w:type="dxa"/>
            <w:hideMark/>
          </w:tcPr>
          <w:p w:rsidR="00C6436A" w:rsidRPr="00BA08AB" w:rsidRDefault="00774DE8">
            <w:pPr>
              <w:pStyle w:val="ColumnHeading"/>
              <w:keepNext/>
            </w:pPr>
            <w:r w:rsidRPr="00BA08AB">
              <w:t>Tekst proponowany przez Komisję</w:t>
            </w:r>
          </w:p>
        </w:tc>
        <w:tc>
          <w:tcPr>
            <w:tcW w:w="4876" w:type="dxa"/>
            <w:hideMark/>
          </w:tcPr>
          <w:p w:rsidR="00C6436A" w:rsidRPr="00BA08AB" w:rsidRDefault="00774DE8">
            <w:pPr>
              <w:pStyle w:val="ColumnHeading"/>
              <w:keepNext/>
            </w:pPr>
            <w:r w:rsidRPr="00BA08AB">
              <w:t>Poprawka</w:t>
            </w:r>
          </w:p>
        </w:tc>
      </w:tr>
      <w:tr w:rsidR="00F17F65" w:rsidRPr="00BA08AB" w:rsidTr="00C6436A">
        <w:trPr>
          <w:jc w:val="center"/>
        </w:trPr>
        <w:tc>
          <w:tcPr>
            <w:tcW w:w="4876" w:type="dxa"/>
            <w:hideMark/>
          </w:tcPr>
          <w:p w:rsidR="00C6436A" w:rsidRPr="00BA08AB" w:rsidRDefault="00774DE8">
            <w:pPr>
              <w:pStyle w:val="Normal6"/>
            </w:pPr>
            <w:r w:rsidRPr="00BA08AB">
              <w:t>–</w:t>
            </w:r>
            <w:r w:rsidRPr="00BA08AB">
              <w:tab/>
              <w:t>Gatunki docelowe</w:t>
            </w:r>
          </w:p>
        </w:tc>
        <w:tc>
          <w:tcPr>
            <w:tcW w:w="4876" w:type="dxa"/>
            <w:hideMark/>
          </w:tcPr>
          <w:p w:rsidR="00C6436A" w:rsidRPr="00BA08AB" w:rsidRDefault="00774DE8">
            <w:pPr>
              <w:pStyle w:val="Normal6"/>
              <w:rPr>
                <w:szCs w:val="24"/>
              </w:rPr>
            </w:pPr>
            <w:r w:rsidRPr="00BA08AB">
              <w:t>–</w:t>
            </w:r>
            <w:r w:rsidRPr="00BA08AB">
              <w:tab/>
            </w:r>
            <w:r w:rsidRPr="00BA08AB">
              <w:rPr>
                <w:i/>
                <w:iCs/>
              </w:rPr>
              <w:t>(Nie dotyczy polskiej wersji językowej)</w:t>
            </w:r>
          </w:p>
        </w:tc>
      </w:tr>
    </w:tbl>
    <w:p w:rsidR="00C6436A" w:rsidRPr="00BA08AB" w:rsidRDefault="00774DE8" w:rsidP="00C6436A">
      <w:pPr>
        <w:pStyle w:val="Olang"/>
      </w:pPr>
      <w:r w:rsidRPr="00BA08AB">
        <w:t xml:space="preserve">Or. </w:t>
      </w:r>
      <w:r w:rsidRPr="00BA08AB">
        <w:rPr>
          <w:rStyle w:val="HideTWBExt"/>
        </w:rPr>
        <w:t>&lt;Original&gt;</w:t>
      </w:r>
      <w:r w:rsidRPr="00BA08AB">
        <w:rPr>
          <w:rStyle w:val="HideTWBInt"/>
        </w:rPr>
        <w:t>{EN}</w:t>
      </w:r>
      <w:r w:rsidRPr="00BA08AB">
        <w:t>en</w:t>
      </w:r>
      <w:r w:rsidRPr="00BA08AB">
        <w:rPr>
          <w:rStyle w:val="HideTWBExt"/>
        </w:rPr>
        <w:t>&lt;/Original&gt;</w:t>
      </w:r>
    </w:p>
    <w:p w:rsidR="00C6436A" w:rsidRPr="00BA08AB" w:rsidRDefault="00774DE8" w:rsidP="00C6436A">
      <w:pPr>
        <w:pStyle w:val="AMNumberTabs0"/>
        <w:keepNext/>
        <w:rPr>
          <w:rStyle w:val="Normal6Char"/>
          <w:b w:val="0"/>
        </w:rPr>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124</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2</w:t>
      </w:r>
      <w:r w:rsidRPr="00BA08AB">
        <w:rPr>
          <w:rStyle w:val="HideTWBExt"/>
        </w:rPr>
        <w:t>&lt;/Article&gt;</w:t>
      </w:r>
    </w:p>
    <w:p w:rsidR="00C6436A" w:rsidRPr="00BA08AB" w:rsidRDefault="00774DE8" w:rsidP="00C6436A">
      <w:pPr>
        <w:keepNext/>
      </w:pPr>
      <w:r w:rsidRPr="00BA08AB">
        <w:rPr>
          <w:rStyle w:val="HideTWBExt"/>
        </w:rPr>
        <w:t>&lt;DocAmend2&gt;</w:t>
      </w:r>
      <w:r w:rsidRPr="00BA08AB">
        <w:t>Rozporządzenie (UE) 2023/2124</w:t>
      </w:r>
      <w:r w:rsidRPr="00BA08AB">
        <w:rPr>
          <w:rStyle w:val="HideTWBExt"/>
        </w:rPr>
        <w:t>&lt;/DocAmend2&gt;</w:t>
      </w:r>
    </w:p>
    <w:p w:rsidR="00C6436A" w:rsidRPr="00BA08AB" w:rsidRDefault="00774DE8" w:rsidP="00C6436A">
      <w:r w:rsidRPr="00BA08AB">
        <w:rPr>
          <w:rStyle w:val="HideTWBExt"/>
        </w:rPr>
        <w:t>&lt;Article2&gt;</w:t>
      </w:r>
      <w:r w:rsidRPr="00BA08AB">
        <w:t>Załącznik XX – wiersz 6</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BA08AB" w:rsidTr="00C6436A">
        <w:trPr>
          <w:jc w:val="center"/>
        </w:trPr>
        <w:tc>
          <w:tcPr>
            <w:tcW w:w="9752" w:type="dxa"/>
            <w:gridSpan w:val="2"/>
          </w:tcPr>
          <w:p w:rsidR="00C6436A" w:rsidRPr="00BA08AB" w:rsidRDefault="00C6436A">
            <w:pPr>
              <w:keepNext/>
            </w:pPr>
          </w:p>
        </w:tc>
      </w:tr>
      <w:tr w:rsidR="00F17F65" w:rsidRPr="00BA08AB" w:rsidTr="00C6436A">
        <w:trPr>
          <w:jc w:val="center"/>
        </w:trPr>
        <w:tc>
          <w:tcPr>
            <w:tcW w:w="5387" w:type="dxa"/>
            <w:hideMark/>
          </w:tcPr>
          <w:p w:rsidR="00C6436A" w:rsidRPr="00BA08AB" w:rsidRDefault="00774DE8">
            <w:pPr>
              <w:pStyle w:val="ColumnHeading"/>
              <w:keepNext/>
            </w:pPr>
            <w:r w:rsidRPr="00BA08AB">
              <w:t>Tekst proponowany przez Komisję</w:t>
            </w:r>
          </w:p>
        </w:tc>
        <w:tc>
          <w:tcPr>
            <w:tcW w:w="4365" w:type="dxa"/>
            <w:hideMark/>
          </w:tcPr>
          <w:p w:rsidR="00C6436A" w:rsidRPr="00BA08AB" w:rsidRDefault="00774DE8">
            <w:pPr>
              <w:pStyle w:val="ColumnHeading"/>
              <w:keepNext/>
            </w:pPr>
            <w:r w:rsidRPr="00BA08AB">
              <w:t>Poprawka</w:t>
            </w:r>
          </w:p>
        </w:tc>
      </w:tr>
      <w:tr w:rsidR="00F17F65" w:rsidRPr="00BA08AB" w:rsidTr="00C6436A">
        <w:trPr>
          <w:jc w:val="center"/>
        </w:trPr>
        <w:tc>
          <w:tcPr>
            <w:tcW w:w="5387" w:type="dxa"/>
            <w:hideMark/>
          </w:tcPr>
          <w:p w:rsidR="00C6436A" w:rsidRPr="00BA08AB" w:rsidRDefault="00774DE8">
            <w:pPr>
              <w:pStyle w:val="Normal6"/>
              <w:rPr>
                <w:szCs w:val="24"/>
              </w:rPr>
            </w:pPr>
            <w:r w:rsidRPr="00BA08AB">
              <w:t>6.</w:t>
            </w:r>
            <w:r w:rsidRPr="00BA08AB">
              <w:tab/>
              <w:t xml:space="preserve">Numer rejestracji, jeżeli inny niż </w:t>
            </w:r>
            <w:r w:rsidRPr="00BA08AB">
              <w:rPr>
                <w:b/>
                <w:bCs/>
                <w:i/>
                <w:iCs/>
              </w:rPr>
              <w:t>w pkt 5</w:t>
            </w:r>
          </w:p>
        </w:tc>
        <w:tc>
          <w:tcPr>
            <w:tcW w:w="4365" w:type="dxa"/>
            <w:hideMark/>
          </w:tcPr>
          <w:p w:rsidR="00C6436A" w:rsidRPr="00BA08AB" w:rsidRDefault="00774DE8">
            <w:pPr>
              <w:pStyle w:val="TableParagraph"/>
              <w:spacing w:before="154" w:line="252" w:lineRule="exact"/>
              <w:ind w:left="110"/>
              <w:rPr>
                <w:sz w:val="24"/>
                <w:szCs w:val="24"/>
              </w:rPr>
            </w:pPr>
            <w:r w:rsidRPr="00BA08AB">
              <w:rPr>
                <w:sz w:val="24"/>
              </w:rPr>
              <w:t>6.</w:t>
            </w:r>
            <w:r w:rsidRPr="00BA08AB">
              <w:rPr>
                <w:sz w:val="24"/>
              </w:rPr>
              <w:tab/>
              <w:t xml:space="preserve">Numer rejestracji, jeżeli inny niż </w:t>
            </w:r>
            <w:r w:rsidRPr="00BA08AB">
              <w:rPr>
                <w:b/>
                <w:bCs/>
                <w:i/>
                <w:iCs/>
                <w:sz w:val="24"/>
              </w:rPr>
              <w:t>numer zewnętrzny</w:t>
            </w:r>
          </w:p>
        </w:tc>
      </w:tr>
    </w:tbl>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pStyle w:val="Olang"/>
        <w:jc w:val="left"/>
      </w:pPr>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125</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2</w:t>
      </w:r>
      <w:r w:rsidRPr="00BA08AB">
        <w:rPr>
          <w:rStyle w:val="HideTWBExt"/>
        </w:rPr>
        <w:t>&lt;/Article&gt;</w:t>
      </w:r>
    </w:p>
    <w:p w:rsidR="00C6436A" w:rsidRPr="00BA08AB" w:rsidRDefault="00774DE8" w:rsidP="00C6436A">
      <w:pPr>
        <w:keepNext/>
      </w:pPr>
      <w:r w:rsidRPr="00BA08AB">
        <w:rPr>
          <w:rStyle w:val="HideTWBExt"/>
        </w:rPr>
        <w:lastRenderedPageBreak/>
        <w:t>&lt;DocAmend2&gt;</w:t>
      </w:r>
      <w:r w:rsidRPr="00BA08AB">
        <w:t>Rozporządzenie (UE) 2023/2124</w:t>
      </w:r>
      <w:r w:rsidRPr="00BA08AB">
        <w:rPr>
          <w:rStyle w:val="HideTWBExt"/>
        </w:rPr>
        <w:t>&lt;/DocAmend2&gt;</w:t>
      </w:r>
    </w:p>
    <w:p w:rsidR="00C6436A" w:rsidRPr="00BA08AB" w:rsidRDefault="00774DE8" w:rsidP="00C6436A">
      <w:pPr>
        <w:pStyle w:val="Normal12Italic"/>
        <w:rPr>
          <w:i w:val="0"/>
        </w:rPr>
      </w:pPr>
      <w:r w:rsidRPr="00BA08AB">
        <w:rPr>
          <w:rStyle w:val="HideTWBExt"/>
          <w:i w:val="0"/>
        </w:rPr>
        <w:t>&lt;Article2&gt;</w:t>
      </w:r>
      <w:r w:rsidRPr="00BA08AB">
        <w:rPr>
          <w:i w:val="0"/>
        </w:rPr>
        <w:t>Załącznik XXIV (nowy)</w:t>
      </w:r>
      <w:r w:rsidRPr="00BA08AB">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774DE8" w:rsidTr="00C6436A">
        <w:trPr>
          <w:jc w:val="center"/>
        </w:trPr>
        <w:tc>
          <w:tcPr>
            <w:tcW w:w="5387" w:type="dxa"/>
            <w:hideMark/>
          </w:tcPr>
          <w:p w:rsidR="00C6436A" w:rsidRPr="00774DE8" w:rsidRDefault="00774DE8">
            <w:pPr>
              <w:pStyle w:val="ColumnHeading"/>
              <w:keepNext/>
            </w:pPr>
            <w:r w:rsidRPr="00774DE8">
              <w:t>Tekst proponowany przez Komisję</w:t>
            </w:r>
          </w:p>
        </w:tc>
        <w:tc>
          <w:tcPr>
            <w:tcW w:w="4365" w:type="dxa"/>
            <w:hideMark/>
          </w:tcPr>
          <w:p w:rsidR="00C6436A" w:rsidRPr="00774DE8" w:rsidRDefault="00C6436A"/>
        </w:tc>
      </w:tr>
    </w:tbl>
    <w:p w:rsidR="00C6436A" w:rsidRPr="00774DE8"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74DE8" w:rsidRPr="00774DE8" w:rsidTr="00C6436A">
        <w:trPr>
          <w:jc w:val="center"/>
        </w:trPr>
        <w:tc>
          <w:tcPr>
            <w:tcW w:w="5387" w:type="dxa"/>
            <w:hideMark/>
          </w:tcPr>
          <w:p w:rsidR="00C6436A" w:rsidRPr="00774DE8" w:rsidRDefault="00774DE8">
            <w:pPr>
              <w:pStyle w:val="Normal6"/>
              <w:jc w:val="center"/>
              <w:rPr>
                <w:i/>
                <w:szCs w:val="24"/>
              </w:rPr>
            </w:pPr>
            <w:r w:rsidRPr="00774DE8">
              <w:rPr>
                <w:i/>
              </w:rPr>
              <w:t>Poprawka</w:t>
            </w:r>
          </w:p>
        </w:tc>
        <w:tc>
          <w:tcPr>
            <w:tcW w:w="4365" w:type="dxa"/>
          </w:tcPr>
          <w:p w:rsidR="00C6436A" w:rsidRPr="00774DE8" w:rsidRDefault="00C6436A">
            <w:pPr>
              <w:pStyle w:val="TableParagraph"/>
              <w:spacing w:before="154" w:line="252" w:lineRule="exact"/>
              <w:ind w:left="110"/>
              <w:rPr>
                <w:noProof/>
                <w:sz w:val="24"/>
                <w:szCs w:val="24"/>
              </w:rPr>
            </w:pPr>
          </w:p>
        </w:tc>
      </w:tr>
      <w:tr w:rsidR="00F17F65" w:rsidRPr="00BA08AB" w:rsidTr="00C6436A">
        <w:trPr>
          <w:jc w:val="center"/>
        </w:trPr>
        <w:tc>
          <w:tcPr>
            <w:tcW w:w="9752" w:type="dxa"/>
            <w:gridSpan w:val="2"/>
            <w:hideMark/>
          </w:tcPr>
          <w:p w:rsidR="00C6436A" w:rsidRPr="00BA08AB" w:rsidRDefault="00774DE8">
            <w:pPr>
              <w:pStyle w:val="TableParagraph"/>
              <w:spacing w:before="154" w:line="252" w:lineRule="exact"/>
              <w:ind w:left="110"/>
              <w:jc w:val="center"/>
              <w:rPr>
                <w:noProof/>
                <w:sz w:val="24"/>
                <w:szCs w:val="24"/>
              </w:rPr>
            </w:pPr>
            <w:r w:rsidRPr="00BA08AB">
              <w:rPr>
                <w:b/>
                <w:i/>
              </w:rPr>
              <w:t>ZAŁĄCZNIK XXIV (nowy)</w:t>
            </w:r>
          </w:p>
        </w:tc>
      </w:tr>
      <w:tr w:rsidR="00F17F65" w:rsidRPr="00BA08AB" w:rsidTr="00C6436A">
        <w:trPr>
          <w:jc w:val="center"/>
        </w:trPr>
        <w:tc>
          <w:tcPr>
            <w:tcW w:w="9752" w:type="dxa"/>
            <w:gridSpan w:val="2"/>
            <w:hideMark/>
          </w:tcPr>
          <w:p w:rsidR="00C6436A" w:rsidRPr="00BA08AB" w:rsidRDefault="00774DE8">
            <w:pPr>
              <w:pStyle w:val="TableParagraph"/>
              <w:spacing w:before="154" w:line="252" w:lineRule="exact"/>
              <w:ind w:left="110"/>
              <w:jc w:val="center"/>
              <w:rPr>
                <w:b/>
                <w:bCs/>
                <w:i/>
                <w:noProof/>
                <w:sz w:val="24"/>
                <w:szCs w:val="24"/>
              </w:rPr>
            </w:pPr>
            <w:r w:rsidRPr="00BA08AB">
              <w:rPr>
                <w:b/>
                <w:i/>
                <w:sz w:val="24"/>
              </w:rPr>
              <w:t>Świadectwo połowowe w ramach systemu dokumentowania połowów turbota opracowanego przez GFCM</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1540"/>
        <w:gridCol w:w="1537"/>
        <w:gridCol w:w="3068"/>
        <w:gridCol w:w="3082"/>
      </w:tblGrid>
      <w:tr w:rsidR="00F17F65" w:rsidRPr="00BA08AB" w:rsidTr="00C6436A">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4"/>
              <w:jc w:val="center"/>
              <w:rPr>
                <w:rFonts w:ascii="Times New Roman" w:hAnsi="Times New Roman" w:cs="Times New Roman"/>
                <w:b/>
                <w:i/>
                <w:szCs w:val="24"/>
              </w:rPr>
            </w:pPr>
            <w:r w:rsidRPr="00BA08AB">
              <w:rPr>
                <w:rFonts w:ascii="Times New Roman" w:hAnsi="Times New Roman"/>
                <w:b/>
                <w:i/>
              </w:rPr>
              <w:t xml:space="preserve">ŚWIADECTWO POŁOWOWE W RAMACH SYSTEMU DOKUMENTOWANIA POŁOWÓW TURBOTA OPRACOWANEGO PRZEZ GFCM W PODOBSZARZE GEOGRAFICZNYM 29 </w:t>
            </w:r>
          </w:p>
        </w:tc>
      </w:tr>
      <w:tr w:rsidR="00F17F65" w:rsidRPr="00BA08AB"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Numer dokumentu połowowego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Organ zatwierdzający </w:t>
            </w:r>
          </w:p>
        </w:tc>
      </w:tr>
      <w:tr w:rsidR="00F17F65" w:rsidRPr="00BA08AB" w:rsidTr="00C6436A">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1. Imię i nazwisko kapitana statku rybackiego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after="98" w:line="254" w:lineRule="auto"/>
              <w:ind w:left="2"/>
              <w:rPr>
                <w:rFonts w:ascii="Times New Roman" w:hAnsi="Times New Roman" w:cs="Times New Roman"/>
                <w:b/>
                <w:i/>
                <w:szCs w:val="24"/>
              </w:rPr>
            </w:pPr>
            <w:r w:rsidRPr="00BA08AB">
              <w:rPr>
                <w:rFonts w:ascii="Times New Roman" w:hAnsi="Times New Roman"/>
                <w:b/>
                <w:i/>
              </w:rPr>
              <w:t xml:space="preserve">Adres </w:t>
            </w:r>
          </w:p>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Tel./faks/e-mail </w:t>
            </w:r>
          </w:p>
        </w:tc>
      </w:tr>
      <w:tr w:rsidR="00F17F65" w:rsidRPr="00BA08AB" w:rsidTr="00C6436A">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Podpis i pieczęć kapitana statku rybackiego </w:t>
            </w:r>
          </w:p>
        </w:tc>
      </w:tr>
      <w:tr w:rsidR="00F17F65" w:rsidRPr="00BA08AB" w:rsidTr="00C6436A">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2. Nazwa i numer rejestracyjny statku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Bandera i port macierzysty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Sygnał </w:t>
            </w:r>
            <w:r w:rsidRPr="00BA08AB">
              <w:rPr>
                <w:rFonts w:ascii="Times New Roman" w:hAnsi="Times New Roman"/>
                <w:b/>
                <w:i/>
              </w:rPr>
              <w:t xml:space="preserve">wywoławczy/numer IMO (w stosownych przypadkach) </w:t>
            </w:r>
          </w:p>
        </w:tc>
      </w:tr>
      <w:tr w:rsidR="00F17F65" w:rsidRPr="00BA08AB" w:rsidTr="00C6436A">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C6436A">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Inmarsat/faks/numer telefonu/e-mail </w:t>
            </w:r>
          </w:p>
        </w:tc>
      </w:tr>
      <w:tr w:rsidR="00F17F65" w:rsidRPr="00BA08AB" w:rsidTr="00C6436A">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3. Port </w:t>
            </w:r>
          </w:p>
        </w:tc>
      </w:tr>
      <w:tr w:rsidR="00F17F65" w:rsidRPr="00BA08AB"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Port wyjścia i kraj wyjścia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Port wyładunku i kraj wyładunku </w:t>
            </w:r>
          </w:p>
        </w:tc>
      </w:tr>
      <w:tr w:rsidR="00F17F65" w:rsidRPr="00BA08AB" w:rsidTr="00C6436A">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4. Kapitan statku rybackiego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after="98" w:line="254" w:lineRule="auto"/>
              <w:ind w:left="2"/>
              <w:rPr>
                <w:rFonts w:ascii="Times New Roman" w:hAnsi="Times New Roman" w:cs="Times New Roman"/>
                <w:b/>
                <w:i/>
                <w:szCs w:val="24"/>
              </w:rPr>
            </w:pPr>
            <w:r w:rsidRPr="00BA08AB">
              <w:rPr>
                <w:rFonts w:ascii="Times New Roman" w:hAnsi="Times New Roman"/>
                <w:b/>
                <w:i/>
              </w:rPr>
              <w:t xml:space="preserve">Imię i nazwisko </w:t>
            </w:r>
          </w:p>
          <w:p w:rsidR="00C6436A" w:rsidRPr="00BA08AB" w:rsidRDefault="00774DE8">
            <w:pPr>
              <w:spacing w:after="98" w:line="254" w:lineRule="auto"/>
              <w:ind w:left="2"/>
              <w:rPr>
                <w:rFonts w:ascii="Times New Roman" w:hAnsi="Times New Roman" w:cs="Times New Roman"/>
                <w:b/>
                <w:i/>
                <w:szCs w:val="24"/>
              </w:rPr>
            </w:pPr>
            <w:r w:rsidRPr="00BA08AB">
              <w:rPr>
                <w:rFonts w:ascii="Times New Roman" w:hAnsi="Times New Roman"/>
                <w:b/>
                <w:i/>
              </w:rPr>
              <w:t xml:space="preserve">Adres </w:t>
            </w:r>
          </w:p>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Tel./faks/e-mail </w:t>
            </w:r>
          </w:p>
        </w:tc>
      </w:tr>
      <w:tr w:rsidR="00F17F65" w:rsidRPr="00BA08AB" w:rsidTr="00C6436A">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Nr licencji </w:t>
            </w:r>
            <w:r w:rsidRPr="00BA08AB">
              <w:rPr>
                <w:rFonts w:ascii="Times New Roman" w:hAnsi="Times New Roman"/>
                <w:b/>
                <w:i/>
              </w:rPr>
              <w:t xml:space="preserve">połowowej – data ważności (data)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Numer upoważnienia do połowów turbota – ważne do (data)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Podpis posiadacza </w:t>
            </w:r>
          </w:p>
        </w:tc>
      </w:tr>
      <w:tr w:rsidR="00F17F65" w:rsidRPr="00BA08AB" w:rsidTr="00C6436A">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lastRenderedPageBreak/>
              <w:t xml:space="preserve">5. Obszar połowowy (współrzędne geograficzne: długość, szerokość)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Data połowu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Szacunkowa masa w relacji pełnej (kg)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Zweryfikowana masa po </w:t>
            </w:r>
            <w:r w:rsidRPr="00BA08AB">
              <w:rPr>
                <w:rFonts w:ascii="Times New Roman" w:hAnsi="Times New Roman"/>
                <w:b/>
                <w:i/>
              </w:rPr>
              <w:t xml:space="preserve">wyładunku (kg) </w:t>
            </w:r>
          </w:p>
        </w:tc>
      </w:tr>
      <w:tr w:rsidR="00F17F65" w:rsidRPr="00BA08AB" w:rsidTr="00C6436A">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 </w:t>
            </w:r>
          </w:p>
        </w:tc>
      </w:tr>
      <w:tr w:rsidR="00F17F65" w:rsidRPr="00BA08AB" w:rsidTr="00C6436A">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 </w:t>
            </w:r>
          </w:p>
        </w:tc>
      </w:tr>
      <w:tr w:rsidR="00F17F65" w:rsidRPr="00BA08AB" w:rsidTr="00C6436A">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ind w:left="2"/>
              <w:rPr>
                <w:rFonts w:ascii="Times New Roman" w:hAnsi="Times New Roman" w:cs="Times New Roman"/>
                <w:b/>
                <w:i/>
                <w:szCs w:val="24"/>
              </w:rPr>
            </w:pPr>
            <w:r w:rsidRPr="00BA08AB">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spacing w:line="254" w:lineRule="auto"/>
              <w:rPr>
                <w:rFonts w:ascii="Times New Roman" w:hAnsi="Times New Roman" w:cs="Times New Roman"/>
                <w:b/>
                <w:i/>
                <w:szCs w:val="24"/>
              </w:rPr>
            </w:pPr>
            <w:r w:rsidRPr="00BA08AB">
              <w:rPr>
                <w:rFonts w:ascii="Times New Roman" w:hAnsi="Times New Roman"/>
                <w:b/>
                <w:i/>
              </w:rPr>
              <w:t xml:space="preserve"> </w:t>
            </w:r>
          </w:p>
        </w:tc>
      </w:tr>
    </w:tbl>
    <w:p w:rsidR="00C6436A" w:rsidRPr="00BA08AB" w:rsidRDefault="00C6436A" w:rsidP="00C6436A">
      <w:pPr>
        <w:pStyle w:val="Normal12Italic"/>
        <w:jc w:val="right"/>
        <w:rPr>
          <w:noProof w:val="0"/>
        </w:rPr>
      </w:pPr>
    </w:p>
    <w:p w:rsidR="00C6436A" w:rsidRPr="00BA08AB" w:rsidRDefault="00774DE8" w:rsidP="00C6436A">
      <w:pPr>
        <w:pStyle w:val="Normal12Italic"/>
        <w:jc w:val="right"/>
        <w:rPr>
          <w:i w:val="0"/>
          <w:noProof w:val="0"/>
        </w:rPr>
      </w:pPr>
      <w:r w:rsidRPr="00BA08AB">
        <w:rPr>
          <w:i w:val="0"/>
        </w:rPr>
        <w:t xml:space="preserve">lub </w:t>
      </w:r>
      <w:r w:rsidRPr="00BA08AB">
        <w:rPr>
          <w:rStyle w:val="HideTWBExt"/>
          <w:i w:val="0"/>
        </w:rPr>
        <w:t>&lt;Original&gt;</w:t>
      </w:r>
      <w:r w:rsidRPr="00BA08AB">
        <w:rPr>
          <w:rStyle w:val="HideTWBInt"/>
        </w:rPr>
        <w:t>{EN}</w:t>
      </w:r>
      <w:r w:rsidRPr="00BA08AB">
        <w:rPr>
          <w:i w:val="0"/>
        </w:rPr>
        <w:t>en</w:t>
      </w:r>
      <w:r w:rsidRPr="00BA08AB">
        <w:rPr>
          <w:rStyle w:val="HideTWBExt"/>
          <w:i w:val="0"/>
        </w:rPr>
        <w:t>&lt;/Original&gt;</w:t>
      </w:r>
    </w:p>
    <w:p w:rsidR="00C6436A" w:rsidRPr="00BA08AB" w:rsidRDefault="00774DE8" w:rsidP="00C6436A">
      <w:r w:rsidRPr="00BA08AB">
        <w:rPr>
          <w:rStyle w:val="HideTWBExt"/>
        </w:rPr>
        <w:t>&lt;/Amend&gt;</w:t>
      </w:r>
    </w:p>
    <w:p w:rsidR="00C6436A" w:rsidRPr="00BA08AB" w:rsidRDefault="00774DE8" w:rsidP="00C6436A">
      <w:pPr>
        <w:pStyle w:val="AMNumberTabs0"/>
        <w:keepNext/>
      </w:pPr>
      <w:r w:rsidRPr="00BA08AB">
        <w:rPr>
          <w:rStyle w:val="HideTWBExt"/>
        </w:rPr>
        <w:t>&lt;Amend&gt;</w:t>
      </w:r>
      <w:r w:rsidRPr="00BA08AB">
        <w:t>Poprawka</w:t>
      </w:r>
      <w:r w:rsidRPr="00BA08AB">
        <w:tab/>
      </w:r>
      <w:r w:rsidRPr="00BA08AB">
        <w:tab/>
      </w:r>
      <w:r w:rsidRPr="00BA08AB">
        <w:rPr>
          <w:rStyle w:val="HideTWBExt"/>
        </w:rPr>
        <w:t>&lt;NumAm&gt;</w:t>
      </w:r>
      <w:r w:rsidRPr="00774DE8">
        <w:t>126</w:t>
      </w:r>
      <w:r w:rsidRPr="00BA08AB">
        <w:rPr>
          <w:rStyle w:val="HideTWBExt"/>
        </w:rPr>
        <w:t>&lt;/NumAm&gt;</w:t>
      </w:r>
    </w:p>
    <w:p w:rsidR="00C6436A" w:rsidRPr="00BA08AB" w:rsidRDefault="00774DE8" w:rsidP="00C6436A">
      <w:pPr>
        <w:pStyle w:val="NormalBold12b"/>
        <w:keepNext/>
      </w:pPr>
      <w:r w:rsidRPr="00BA08AB">
        <w:rPr>
          <w:rStyle w:val="HideTWBExt"/>
        </w:rPr>
        <w:t>&lt;DocAmend&gt;</w:t>
      </w:r>
      <w:r w:rsidRPr="00BA08AB">
        <w:t>Wniosek dotyczący rozporządzenia</w:t>
      </w:r>
      <w:r w:rsidRPr="00BA08AB">
        <w:rPr>
          <w:rStyle w:val="HideTWBExt"/>
        </w:rPr>
        <w:t>&lt;/DocAmend&gt;</w:t>
      </w:r>
    </w:p>
    <w:p w:rsidR="00C6436A" w:rsidRPr="00BA08AB" w:rsidRDefault="00774DE8" w:rsidP="00C6436A">
      <w:pPr>
        <w:pStyle w:val="NormalBold"/>
      </w:pPr>
      <w:r w:rsidRPr="00BA08AB">
        <w:rPr>
          <w:rStyle w:val="HideTWBExt"/>
        </w:rPr>
        <w:t>&lt;Article&gt;</w:t>
      </w:r>
      <w:r w:rsidRPr="00BA08AB">
        <w:t>Załącznik I – punkt 2</w:t>
      </w:r>
      <w:r w:rsidRPr="00BA08AB">
        <w:rPr>
          <w:rStyle w:val="HideTWBExt"/>
        </w:rPr>
        <w:t>&lt;/Article&gt;</w:t>
      </w:r>
    </w:p>
    <w:p w:rsidR="00C6436A" w:rsidRPr="00BA08AB" w:rsidRDefault="00774DE8" w:rsidP="00C6436A">
      <w:pPr>
        <w:keepNext/>
      </w:pPr>
      <w:r w:rsidRPr="00BA08AB">
        <w:rPr>
          <w:rStyle w:val="HideTWBExt"/>
        </w:rPr>
        <w:t>&lt;DocAmend2&gt;</w:t>
      </w:r>
      <w:r w:rsidRPr="00BA08AB">
        <w:t xml:space="preserve">Rozporządzenie (UE) </w:t>
      </w:r>
      <w:r w:rsidRPr="00BA08AB">
        <w:t>2023/2124</w:t>
      </w:r>
      <w:r w:rsidRPr="00BA08AB">
        <w:rPr>
          <w:rStyle w:val="HideTWBExt"/>
        </w:rPr>
        <w:t>&lt;/DocAmend2&gt;</w:t>
      </w:r>
    </w:p>
    <w:p w:rsidR="00C6436A" w:rsidRPr="00BA08AB" w:rsidRDefault="00774DE8" w:rsidP="00C6436A">
      <w:pPr>
        <w:pStyle w:val="Normal12Italic"/>
      </w:pPr>
      <w:r w:rsidRPr="00BA08AB">
        <w:rPr>
          <w:rStyle w:val="HideTWBExt"/>
        </w:rPr>
        <w:t>&lt;Article2&gt;</w:t>
      </w:r>
      <w:r w:rsidRPr="00BA08AB">
        <w:rPr>
          <w:i w:val="0"/>
        </w:rPr>
        <w:t>Załącznik XXV (nowy)</w:t>
      </w:r>
      <w:r w:rsidRPr="00BA08AB">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F17F65" w:rsidRPr="00774DE8" w:rsidTr="00C6436A">
        <w:trPr>
          <w:jc w:val="center"/>
        </w:trPr>
        <w:tc>
          <w:tcPr>
            <w:tcW w:w="5387" w:type="dxa"/>
            <w:hideMark/>
          </w:tcPr>
          <w:p w:rsidR="00C6436A" w:rsidRPr="00774DE8" w:rsidRDefault="00774DE8">
            <w:pPr>
              <w:pStyle w:val="ColumnHeading"/>
              <w:keepNext/>
            </w:pPr>
            <w:r w:rsidRPr="00774DE8">
              <w:t>Tekst proponowany przez Komisję</w:t>
            </w:r>
          </w:p>
        </w:tc>
        <w:tc>
          <w:tcPr>
            <w:tcW w:w="4365" w:type="dxa"/>
            <w:hideMark/>
          </w:tcPr>
          <w:p w:rsidR="00C6436A" w:rsidRPr="00774DE8" w:rsidRDefault="00C6436A"/>
        </w:tc>
      </w:tr>
    </w:tbl>
    <w:p w:rsidR="00C6436A" w:rsidRPr="00774DE8"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74DE8" w:rsidRPr="00774DE8" w:rsidTr="00C6436A">
        <w:trPr>
          <w:trHeight w:val="511"/>
          <w:jc w:val="center"/>
        </w:trPr>
        <w:tc>
          <w:tcPr>
            <w:tcW w:w="5387" w:type="dxa"/>
            <w:hideMark/>
          </w:tcPr>
          <w:p w:rsidR="00C6436A" w:rsidRPr="00774DE8" w:rsidRDefault="00774DE8">
            <w:pPr>
              <w:pStyle w:val="Normal6"/>
              <w:jc w:val="center"/>
              <w:rPr>
                <w:i/>
                <w:szCs w:val="24"/>
              </w:rPr>
            </w:pPr>
            <w:r w:rsidRPr="00774DE8">
              <w:rPr>
                <w:i/>
              </w:rPr>
              <w:t>Poprawka</w:t>
            </w:r>
          </w:p>
        </w:tc>
        <w:tc>
          <w:tcPr>
            <w:tcW w:w="4365" w:type="dxa"/>
          </w:tcPr>
          <w:p w:rsidR="00C6436A" w:rsidRPr="00774DE8" w:rsidRDefault="00C6436A">
            <w:pPr>
              <w:pStyle w:val="TableParagraph"/>
              <w:spacing w:before="154" w:line="252" w:lineRule="exact"/>
              <w:ind w:left="110"/>
              <w:rPr>
                <w:noProof/>
                <w:sz w:val="24"/>
                <w:szCs w:val="24"/>
              </w:rPr>
            </w:pPr>
          </w:p>
        </w:tc>
      </w:tr>
      <w:tr w:rsidR="00F17F65" w:rsidRPr="00BA08AB" w:rsidTr="00C6436A">
        <w:trPr>
          <w:trHeight w:val="511"/>
          <w:jc w:val="center"/>
        </w:trPr>
        <w:tc>
          <w:tcPr>
            <w:tcW w:w="9752" w:type="dxa"/>
            <w:gridSpan w:val="2"/>
            <w:hideMark/>
          </w:tcPr>
          <w:p w:rsidR="00C6436A" w:rsidRPr="00BA08AB" w:rsidRDefault="00774DE8">
            <w:pPr>
              <w:spacing w:line="254" w:lineRule="auto"/>
              <w:jc w:val="center"/>
              <w:rPr>
                <w:b/>
                <w:i/>
              </w:rPr>
            </w:pPr>
            <w:r w:rsidRPr="00BA08AB">
              <w:rPr>
                <w:b/>
                <w:i/>
              </w:rPr>
              <w:t>ZAŁĄCZNIK XXV (nowy)</w:t>
            </w:r>
          </w:p>
        </w:tc>
      </w:tr>
      <w:tr w:rsidR="00F17F65" w:rsidRPr="00BA08AB" w:rsidTr="00C6436A">
        <w:trPr>
          <w:trHeight w:val="511"/>
          <w:jc w:val="center"/>
        </w:trPr>
        <w:tc>
          <w:tcPr>
            <w:tcW w:w="9752" w:type="dxa"/>
            <w:gridSpan w:val="2"/>
            <w:hideMark/>
          </w:tcPr>
          <w:p w:rsidR="00C6436A" w:rsidRPr="00BA08AB" w:rsidRDefault="00774DE8">
            <w:pPr>
              <w:spacing w:line="254" w:lineRule="auto"/>
              <w:jc w:val="center"/>
              <w:rPr>
                <w:b/>
                <w:bCs/>
                <w:i/>
                <w:noProof/>
              </w:rPr>
            </w:pPr>
            <w:r w:rsidRPr="00BA08AB">
              <w:rPr>
                <w:b/>
                <w:i/>
              </w:rPr>
              <w:t xml:space="preserve">Zmienne danych, które należy przekazać do Sekretariatu GFCM zgodnie z wytycznymi SAC i zgodnie z podręcznikiem dotyczącym </w:t>
            </w:r>
            <w:r w:rsidRPr="00BA08AB">
              <w:rPr>
                <w:b/>
                <w:i/>
              </w:rPr>
              <w:t>ram odniesienia na potrzeby gromadzenia danych, w tym definicje pól</w:t>
            </w:r>
          </w:p>
        </w:tc>
      </w:tr>
    </w:tbl>
    <w:p w:rsidR="00C6436A" w:rsidRPr="00BA08AB" w:rsidRDefault="00C6436A" w:rsidP="00C6436A">
      <w:pPr>
        <w:tabs>
          <w:tab w:val="left" w:pos="834"/>
        </w:tabs>
        <w:ind w:right="449"/>
        <w:rPr>
          <w:rFonts w:cstheme="minorHAnsi"/>
          <w:b/>
          <w:i/>
          <w:noProof/>
        </w:rPr>
      </w:pPr>
    </w:p>
    <w:tbl>
      <w:tblPr>
        <w:tblW w:w="9009" w:type="dxa"/>
        <w:tblInd w:w="6" w:type="dxa"/>
        <w:tblCellMar>
          <w:top w:w="47" w:type="dxa"/>
          <w:right w:w="59" w:type="dxa"/>
        </w:tblCellMar>
        <w:tblLook w:val="04A0" w:firstRow="1" w:lastRow="0" w:firstColumn="1" w:lastColumn="0" w:noHBand="0" w:noVBand="1"/>
      </w:tblPr>
      <w:tblGrid>
        <w:gridCol w:w="2850"/>
        <w:gridCol w:w="865"/>
        <w:gridCol w:w="2444"/>
        <w:gridCol w:w="2850"/>
      </w:tblGrid>
      <w:tr w:rsidR="00F17F65" w:rsidRPr="00BA08AB" w:rsidTr="00C6436A">
        <w:trPr>
          <w:trHeight w:val="785"/>
        </w:trPr>
        <w:tc>
          <w:tcPr>
            <w:tcW w:w="3002"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BA08AB" w:rsidRDefault="00774DE8">
            <w:pPr>
              <w:tabs>
                <w:tab w:val="left" w:pos="834"/>
              </w:tabs>
              <w:ind w:right="449"/>
              <w:jc w:val="center"/>
              <w:rPr>
                <w:rFonts w:cstheme="minorHAnsi"/>
                <w:b/>
                <w:i/>
                <w:noProof/>
              </w:rPr>
            </w:pPr>
            <w:r w:rsidRPr="00BA08AB">
              <w:rPr>
                <w:b/>
                <w:i/>
              </w:rPr>
              <w:t xml:space="preserve">POLA DANYCH </w:t>
            </w:r>
          </w:p>
        </w:tc>
        <w:tc>
          <w:tcPr>
            <w:tcW w:w="881" w:type="dxa"/>
            <w:tcBorders>
              <w:top w:val="single" w:sz="4" w:space="0" w:color="000000"/>
              <w:left w:val="single" w:sz="4" w:space="0" w:color="000000"/>
              <w:bottom w:val="single" w:sz="4" w:space="0" w:color="000000"/>
              <w:right w:val="nil"/>
            </w:tcBorders>
            <w:shd w:val="clear" w:color="auto" w:fill="E7E6E6"/>
          </w:tcPr>
          <w:p w:rsidR="00C6436A" w:rsidRPr="00BA08AB" w:rsidRDefault="00C6436A">
            <w:pPr>
              <w:tabs>
                <w:tab w:val="left" w:pos="834"/>
              </w:tabs>
              <w:ind w:right="449"/>
              <w:jc w:val="center"/>
              <w:rPr>
                <w:rFonts w:cstheme="minorHAnsi"/>
                <w:b/>
                <w:i/>
                <w:noProof/>
              </w:rPr>
            </w:pPr>
          </w:p>
        </w:tc>
        <w:tc>
          <w:tcPr>
            <w:tcW w:w="2123" w:type="dxa"/>
            <w:tcBorders>
              <w:top w:val="single" w:sz="4" w:space="0" w:color="000000"/>
              <w:left w:val="nil"/>
              <w:bottom w:val="single" w:sz="4" w:space="0" w:color="000000"/>
              <w:right w:val="single" w:sz="4" w:space="0" w:color="000000"/>
            </w:tcBorders>
            <w:shd w:val="clear" w:color="auto" w:fill="E7E6E6"/>
            <w:hideMark/>
          </w:tcPr>
          <w:p w:rsidR="00C6436A" w:rsidRPr="00BA08AB" w:rsidRDefault="00774DE8">
            <w:pPr>
              <w:tabs>
                <w:tab w:val="left" w:pos="834"/>
              </w:tabs>
              <w:ind w:right="449"/>
              <w:jc w:val="center"/>
              <w:rPr>
                <w:rFonts w:cstheme="minorHAnsi"/>
                <w:b/>
                <w:i/>
                <w:noProof/>
              </w:rPr>
            </w:pPr>
            <w:r w:rsidRPr="00BA08AB">
              <w:rPr>
                <w:b/>
                <w:i/>
              </w:rPr>
              <w:t xml:space="preserve">OBOWIĄZKOWE  </w:t>
            </w:r>
          </w:p>
          <w:p w:rsidR="00C6436A" w:rsidRPr="00BA08AB" w:rsidRDefault="00774DE8">
            <w:pPr>
              <w:tabs>
                <w:tab w:val="left" w:pos="834"/>
              </w:tabs>
              <w:ind w:right="449"/>
              <w:jc w:val="center"/>
              <w:rPr>
                <w:rFonts w:cstheme="minorHAnsi"/>
                <w:b/>
                <w:i/>
                <w:noProof/>
              </w:rPr>
            </w:pPr>
            <w:r w:rsidRPr="00BA08AB">
              <w:rPr>
                <w:b/>
                <w:i/>
              </w:rPr>
              <w:t xml:space="preserve">(X) </w:t>
            </w:r>
          </w:p>
        </w:tc>
        <w:tc>
          <w:tcPr>
            <w:tcW w:w="3003"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BA08AB" w:rsidRDefault="00774DE8">
            <w:pPr>
              <w:tabs>
                <w:tab w:val="left" w:pos="834"/>
              </w:tabs>
              <w:ind w:right="449"/>
              <w:jc w:val="center"/>
              <w:rPr>
                <w:rFonts w:cstheme="minorHAnsi"/>
                <w:b/>
                <w:i/>
                <w:noProof/>
              </w:rPr>
            </w:pPr>
            <w:r w:rsidRPr="00BA08AB">
              <w:rPr>
                <w:b/>
                <w:i/>
              </w:rPr>
              <w:t xml:space="preserve">STATUS POUFNOŚCI DANYCH* </w:t>
            </w:r>
          </w:p>
        </w:tc>
      </w:tr>
      <w:tr w:rsidR="00F17F65" w:rsidRPr="00BA08AB" w:rsidTr="00C6436A">
        <w:trPr>
          <w:trHeight w:val="400"/>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Kraj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Rok odniesienia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Okres połowów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Podobszar geograficzny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9"/>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Łączne wyładunki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lastRenderedPageBreak/>
              <w:t>Liczba</w:t>
            </w:r>
            <w:r w:rsidRPr="00BA08AB">
              <w:rPr>
                <w:b/>
                <w:i/>
              </w:rPr>
              <w:t xml:space="preserve"> statków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Całkowita GT statków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Zakres długości statków (m)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Średnia długość statków (m)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Całkowita liczba FAD według rodzaju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Całkowita liczba rejsów połowowych według rodzaju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Liczba docelowych FAD na rejs </w:t>
            </w:r>
            <w:r w:rsidRPr="00BA08AB">
              <w:rPr>
                <w:b/>
                <w:i/>
              </w:rPr>
              <w:t xml:space="preserve">połowowy według rodzaju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66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Liczba FAD odwiedzonych </w:t>
            </w:r>
          </w:p>
          <w:p w:rsidR="00C6436A" w:rsidRPr="00BA08AB" w:rsidRDefault="00774DE8">
            <w:pPr>
              <w:tabs>
                <w:tab w:val="left" w:pos="834"/>
              </w:tabs>
              <w:ind w:right="449"/>
              <w:jc w:val="center"/>
              <w:rPr>
                <w:rFonts w:cstheme="minorHAnsi"/>
                <w:b/>
                <w:i/>
                <w:noProof/>
              </w:rPr>
            </w:pPr>
            <w:r w:rsidRPr="00BA08AB">
              <w:rPr>
                <w:b/>
                <w:i/>
              </w:rPr>
              <w:t xml:space="preserve">na rejs połowowy, według rodzaju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Średni rozmiar ryb złowionych w okresie połowu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936"/>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System </w:t>
            </w:r>
            <w:r w:rsidRPr="00BA08AB">
              <w:rPr>
                <w:b/>
                <w:i/>
              </w:rPr>
              <w:tab/>
              <w:t xml:space="preserve">gromadzenia </w:t>
            </w:r>
            <w:r w:rsidRPr="00BA08AB">
              <w:rPr>
                <w:b/>
                <w:i/>
              </w:rPr>
              <w:tab/>
              <w:t xml:space="preserve">i przetwarzania </w:t>
            </w:r>
            <w:r w:rsidRPr="00BA08AB">
              <w:rPr>
                <w:b/>
                <w:i/>
              </w:rPr>
              <w:tab/>
              <w:t xml:space="preserve">danych dotyczących połowów i nakładu połowowego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r w:rsidR="00F17F65" w:rsidRPr="00BA08AB"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Przeładunek </w:t>
            </w:r>
          </w:p>
        </w:tc>
        <w:tc>
          <w:tcPr>
            <w:tcW w:w="881" w:type="dxa"/>
            <w:tcBorders>
              <w:top w:val="single" w:sz="4" w:space="0" w:color="000000"/>
              <w:left w:val="single" w:sz="4" w:space="0" w:color="000000"/>
              <w:bottom w:val="single" w:sz="4" w:space="0" w:color="000000"/>
              <w:right w:val="nil"/>
            </w:tcBorders>
            <w:hideMark/>
          </w:tcPr>
          <w:p w:rsidR="00C6436A" w:rsidRPr="00BA08AB" w:rsidRDefault="00774DE8">
            <w:pPr>
              <w:tabs>
                <w:tab w:val="left" w:pos="834"/>
              </w:tabs>
              <w:ind w:right="449"/>
              <w:jc w:val="center"/>
              <w:rPr>
                <w:rFonts w:cstheme="minorHAnsi"/>
                <w:b/>
                <w:i/>
                <w:noProof/>
              </w:rPr>
            </w:pPr>
            <w:r w:rsidRPr="00BA08AB">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BA08AB"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BA08AB" w:rsidRDefault="00774DE8">
            <w:pPr>
              <w:tabs>
                <w:tab w:val="left" w:pos="834"/>
              </w:tabs>
              <w:ind w:right="449"/>
              <w:jc w:val="center"/>
              <w:rPr>
                <w:rFonts w:cstheme="minorHAnsi"/>
                <w:b/>
                <w:i/>
                <w:noProof/>
              </w:rPr>
            </w:pPr>
            <w:r w:rsidRPr="00BA08AB">
              <w:rPr>
                <w:b/>
                <w:i/>
              </w:rPr>
              <w:t xml:space="preserve">S </w:t>
            </w:r>
          </w:p>
        </w:tc>
      </w:tr>
    </w:tbl>
    <w:p w:rsidR="00C6436A" w:rsidRPr="00BA08AB" w:rsidRDefault="00774DE8" w:rsidP="00C6436A">
      <w:pPr>
        <w:tabs>
          <w:tab w:val="left" w:pos="834"/>
        </w:tabs>
        <w:ind w:right="449"/>
        <w:rPr>
          <w:rFonts w:cstheme="minorHAnsi"/>
          <w:b/>
          <w:i/>
          <w:noProof/>
          <w:color w:val="000000" w:themeColor="text1"/>
          <w:sz w:val="22"/>
        </w:rPr>
      </w:pPr>
      <w:r w:rsidRPr="00BA08AB">
        <w:rPr>
          <w:b/>
          <w:i/>
          <w:sz w:val="22"/>
        </w:rPr>
        <w:t>* Zgodnie z polityką i procedurami GFCM dotyczącymi poufności danych „status poufności danych” określa kryteria poziomu dostępu ze względu na rozpowszechniania danych: publiczny (P), półprywatny (S) lub prywatny (R).</w:t>
      </w:r>
    </w:p>
    <w:p w:rsidR="00C6436A" w:rsidRPr="00BA08AB" w:rsidRDefault="00774DE8" w:rsidP="00C6436A">
      <w:pPr>
        <w:pStyle w:val="Olang"/>
      </w:pPr>
      <w:r w:rsidRPr="00BA08AB">
        <w:rPr>
          <w:noProof w:val="0"/>
        </w:rPr>
        <w:t xml:space="preserve">Or. </w:t>
      </w:r>
      <w:r w:rsidRPr="00BA08AB">
        <w:rPr>
          <w:rStyle w:val="HideTWBExt"/>
          <w:noProof w:val="0"/>
        </w:rPr>
        <w:t>&lt;Original&gt;</w:t>
      </w:r>
      <w:r w:rsidRPr="00BA08AB">
        <w:rPr>
          <w:rStyle w:val="HideTWBInt"/>
          <w:noProof w:val="0"/>
        </w:rPr>
        <w:t>{EN}</w:t>
      </w:r>
      <w:r w:rsidRPr="00BA08AB">
        <w:rPr>
          <w:noProof w:val="0"/>
        </w:rPr>
        <w:t>en</w:t>
      </w:r>
      <w:r w:rsidRPr="00BA08AB">
        <w:rPr>
          <w:rStyle w:val="HideTWBExt"/>
          <w:noProof w:val="0"/>
        </w:rPr>
        <w:t>&lt;/Original&gt;</w:t>
      </w:r>
    </w:p>
    <w:p w:rsidR="00C6436A" w:rsidRPr="00BA08AB" w:rsidRDefault="00774DE8" w:rsidP="00C6436A">
      <w:pPr>
        <w:rPr>
          <w:b/>
          <w:i/>
        </w:rPr>
      </w:pPr>
      <w:r w:rsidRPr="00BA08AB">
        <w:rPr>
          <w:rStyle w:val="HideTWBExt"/>
        </w:rPr>
        <w:t>&lt;/Amend&gt;</w:t>
      </w:r>
    </w:p>
    <w:p w:rsidR="00C6436A" w:rsidRPr="00BA08AB" w:rsidRDefault="00774DE8" w:rsidP="00C6436A">
      <w:r w:rsidRPr="00BA08AB">
        <w:rPr>
          <w:rStyle w:val="HideTWBExt"/>
        </w:rPr>
        <w:t>&lt;/RepeatBlock-Amend&gt;</w:t>
      </w:r>
    </w:p>
    <w:p w:rsidR="00C6436A" w:rsidRPr="00BA08AB" w:rsidRDefault="00C6436A" w:rsidP="00C6436A"/>
    <w:p w:rsidR="00C6436A" w:rsidRPr="00BA08AB" w:rsidRDefault="00C6436A" w:rsidP="00C6436A">
      <w:pPr>
        <w:widowControl/>
        <w:sectPr w:rsidR="00C6436A" w:rsidRPr="00BA08AB" w:rsidSect="00BA08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C6436A" w:rsidRPr="00BA08AB" w:rsidRDefault="00C6436A" w:rsidP="00C6436A">
      <w:pPr>
        <w:widowControl/>
        <w:rPr>
          <w:b/>
        </w:rPr>
      </w:pPr>
    </w:p>
    <w:p w:rsidR="00C6436A" w:rsidRPr="00BA08AB" w:rsidRDefault="00774DE8" w:rsidP="00C6436A">
      <w:pPr>
        <w:pStyle w:val="PageHeading"/>
      </w:pPr>
      <w:bookmarkStart w:id="1" w:name="_Toc99625636"/>
      <w:bookmarkStart w:id="2" w:name="_Toc90575036"/>
      <w:bookmarkStart w:id="3" w:name="FootprintPageRR"/>
      <w:bookmarkStart w:id="4" w:name="_Toc192599590"/>
      <w:r w:rsidRPr="00BA08AB">
        <w:t>UZASADNIENIE</w:t>
      </w:r>
      <w:bookmarkEnd w:id="1"/>
      <w:bookmarkEnd w:id="2"/>
      <w:bookmarkEnd w:id="4"/>
    </w:p>
    <w:p w:rsidR="00C6436A" w:rsidRPr="00BA08AB" w:rsidRDefault="00774DE8" w:rsidP="00C6436A">
      <w:r w:rsidRPr="00BA08AB">
        <w:t>Sprawozdawczyni docenia wysiłki podejmowane przez Komisję w ramach GFCM w celu zapewnienia równych warunków działania w regionie Morza Śródziemnego. Wysiłki te przyczyniły się do promowania popra</w:t>
      </w:r>
      <w:r w:rsidRPr="00BA08AB">
        <w:t xml:space="preserve">wy kultury przestrzegania przepisów wśród wszystkich umawiających się stron. Ponadto sprawozdawczyni pochwala zwiększenie roli EFCA w koordynowaniu działań związanych z kontrolą i inspekcją państw członkowskich w oparciu o międzynarodowe programy kontroli </w:t>
      </w:r>
      <w:r w:rsidRPr="00BA08AB">
        <w:t>i inspekcji. Sprawozdawczyni podkreśla jednak, że wszelkie postępy w zmniejszaniu przełowienia w Morzu Śródziemnym wynikają w dużej mierze z zaangażowania floty UE w zmniejszanie nakładów połowowych. Udział krajów z Afryki Północnej i Bliskiego Wschodu w e</w:t>
      </w:r>
      <w:r w:rsidRPr="00BA08AB">
        <w:t>ksploatacji wspólnych łowisk doprowadził do skutków ekologicznych i społeczno-gospodarczych, które nie są wystarczająco dobrze odzwierciedlone w decyzjach GFCM. Zdaniem sprawozdawczyni GFCM powinna być instrumentem zabezpieczającym interesy europejskiego r</w:t>
      </w:r>
      <w:r w:rsidRPr="00BA08AB">
        <w:t xml:space="preserve">ybołówstwa na Morzu Śródziemnym. </w:t>
      </w:r>
    </w:p>
    <w:p w:rsidR="00C6436A" w:rsidRPr="00BA08AB" w:rsidRDefault="00C6436A" w:rsidP="00C6436A"/>
    <w:p w:rsidR="00C6436A" w:rsidRPr="00BA08AB" w:rsidRDefault="00774DE8" w:rsidP="00C6436A">
      <w:r w:rsidRPr="00BA08AB">
        <w:t>W ciągu ostatnich dwudziestu lat eurośródziemnomorski sektor rybołówstwa odnotował spadek wielkości floty i nakładu połowowego, co doprowadziło do zmniejszenia możliwości zatrudnienia. Polityka ograniczania nakładów połow</w:t>
      </w:r>
      <w:r w:rsidRPr="00BA08AB">
        <w:t xml:space="preserve">owych doprowadziła do zauważalnego spadku zarówno wielkości, jak i wartości produkcji we wszystkich sektorach. Dodatkowo, do tej negatywnej tendencji w europejskim sektorze rybołówstwa przyczyniło się kilka czynników, w tym wyzwania gospodarcze (takie jak </w:t>
      </w:r>
      <w:r w:rsidRPr="00BA08AB">
        <w:t>rosnące koszty energii i skutki COVID-19), kwestie społeczne (takie jak trudności ze znalezieniem wykwalifikowanych pracowników) oraz czynniki ekologiczne (w tym zwiększony nakład połowowy z krajów śródziemnomorskich spoza UE, zmiana klimatu i obecność inw</w:t>
      </w:r>
      <w:r w:rsidRPr="00BA08AB">
        <w:t>azyjnych gatunków obcych).</w:t>
      </w:r>
    </w:p>
    <w:p w:rsidR="00C6436A" w:rsidRPr="00BA08AB" w:rsidRDefault="00C6436A" w:rsidP="00C6436A"/>
    <w:p w:rsidR="00C6436A" w:rsidRPr="00BA08AB" w:rsidRDefault="00774DE8" w:rsidP="00C6436A">
      <w:r w:rsidRPr="00BA08AB">
        <w:t>W tym kontekście GFCM powinna zintensyfikować wysiłki na rzecz obrony europejskiego sektora rybołówstwa, zwracając szczególną uwagę na zatrudnienie przy jednoczesnym zapewnieniu ochrony i zrównoważonego wykorzystania morskich za</w:t>
      </w:r>
      <w:r w:rsidRPr="00BA08AB">
        <w:t>sobów biologicznych. Sprawozdawczyni uważa, że zalecenia należy ściśle transponować do prawa UE i ubolewa, że Komisja zaproponowała pewne poprawki, które wykraczają poza zakres zalecenia GFCM, nakładając na państwa członkowskie dodatkowe ograniczenia, któr</w:t>
      </w:r>
      <w:r w:rsidRPr="00BA08AB">
        <w:t>e nie będą miały zastosowania do innych umawiających się stron GFCM (np. Albanii i Czarnogóry). Oprócz potencjalnego zaszkodzenia reputacji Unii jako lidera w zakresie zrównoważonego rozwoju na arenie światowej, stwarza to również znaczną niepewność prawną</w:t>
      </w:r>
      <w:r w:rsidRPr="00BA08AB">
        <w:t xml:space="preserve"> dla unijnych operatorów na Morzu Śródziemnym. Komisja musi zapewnić pełną przejrzystość negocjacji, a w szczególności zagwarantować równe warunki działania dla operatorów z UE i innych umawiających się stron GFCM.</w:t>
      </w:r>
    </w:p>
    <w:p w:rsidR="00C6436A" w:rsidRPr="00BA08AB" w:rsidRDefault="00C6436A" w:rsidP="00C6436A"/>
    <w:p w:rsidR="00C6436A" w:rsidRPr="00BA08AB" w:rsidRDefault="00774DE8" w:rsidP="00C6436A">
      <w:r w:rsidRPr="00BA08AB">
        <w:t>Ponadto sprawozdawczyni wyraża rozczarow</w:t>
      </w:r>
      <w:r w:rsidRPr="00BA08AB">
        <w:t>anie, że we wniosku nie zawarto decyzji podjętych przez GFCM w 2023 r. Chociaż docenia nieformalne wsparcie Komisji w rozwiązaniu tej kwestii, wolałaby, aby zalecenia te zostały uwzględnione w pierwotnym wniosku Komisji. Sprawozdawczyni wyraża również zani</w:t>
      </w:r>
      <w:r w:rsidRPr="00BA08AB">
        <w:t>epokojenie faktem, że Komisja proponuje wdrożenie zaleceń GFCM z 2021 i 2022 r., co oznacza, że Unia nie wypełnia swoich międzynarodowych zobowiązań od prawie czterech lat. Aby zapewnić zgodność z najnowszymi decyzjami GFCM, sprawozdawczyni postanowiła uwz</w:t>
      </w:r>
      <w:r w:rsidRPr="00BA08AB">
        <w:t xml:space="preserve">ględnić w swoich poprawkach zalecenia z 2023 r., zauważając, że ma to kluczowe znaczenie dla utrzymania </w:t>
      </w:r>
      <w:r w:rsidRPr="00BA08AB">
        <w:lastRenderedPageBreak/>
        <w:t>wiarygodności Unii na arenie międzynarodowej.</w:t>
      </w:r>
    </w:p>
    <w:p w:rsidR="00C6436A" w:rsidRPr="00BA08AB" w:rsidRDefault="00C6436A" w:rsidP="00C6436A"/>
    <w:p w:rsidR="00C6436A" w:rsidRPr="00BA08AB" w:rsidRDefault="00774DE8" w:rsidP="00C6436A">
      <w:r w:rsidRPr="00BA08AB">
        <w:t xml:space="preserve">W związku z tym sprawozdawczyni zdecydowanie wzywa Komisję do przedłożenia wszelkich przyszłych wniosków </w:t>
      </w:r>
      <w:r w:rsidRPr="00BA08AB">
        <w:t>dotyczących transpozycji zaleceń regionalnych organizacji ds. zarządzania rybołówstwem w ciągu maksymalnie sześciu miesięcy od daty ich przyjęcia przez regionalne organizacje ds. zarządzania rybołówstwem. Warto zauważyć, że od ostatniego posiedzenia GFCM w</w:t>
      </w:r>
      <w:r w:rsidRPr="00BA08AB">
        <w:t xml:space="preserve"> listopadzie 2024 r. nie minęło jeszcze sześć miesięcy. Komisja musi nadal dążyć do zapewnienia pełnej przejrzystości w dzieleniu się swoimi stanowiskami dotyczącymi negocjacji w ramach GFCM. Sprawozdawczyni oczekuje na wniosek Komisji dotyczący zaleceń na</w:t>
      </w:r>
      <w:r w:rsidRPr="00BA08AB">
        <w:t xml:space="preserve"> 2024 r. po ich analizie prawnej.</w:t>
      </w:r>
    </w:p>
    <w:p w:rsidR="00C6436A" w:rsidRPr="00BA08AB" w:rsidRDefault="00774DE8" w:rsidP="00C6436A">
      <w:pPr>
        <w:widowControl/>
      </w:pPr>
      <w:r w:rsidRPr="00BA08AB">
        <w:br w:type="page"/>
      </w:r>
    </w:p>
    <w:p w:rsidR="00C6436A" w:rsidRPr="00BA08AB" w:rsidRDefault="00774DE8" w:rsidP="00C6436A">
      <w:pPr>
        <w:pStyle w:val="PageHeading"/>
        <w:rPr>
          <w:noProof/>
        </w:rPr>
      </w:pPr>
      <w:bookmarkStart w:id="5" w:name="_Toc190942593"/>
      <w:bookmarkStart w:id="6" w:name="_Toc192599591"/>
      <w:r w:rsidRPr="00BA08AB">
        <w:lastRenderedPageBreak/>
        <w:t>ZAŁĄCZNIK: PODMIOTY LUB OSOBY, OD KTÓRYCH SPRAWOZDAWCZYNI OTRZYMAŁA INFORMACJE</w:t>
      </w:r>
      <w:bookmarkEnd w:id="5"/>
      <w:bookmarkEnd w:id="6"/>
    </w:p>
    <w:p w:rsidR="00C6436A" w:rsidRPr="00BA08AB" w:rsidRDefault="00774DE8" w:rsidP="00C6436A">
      <w:pPr>
        <w:pStyle w:val="Normal24a"/>
        <w:spacing w:after="240"/>
      </w:pPr>
      <w:r w:rsidRPr="00BA08AB">
        <w:rPr>
          <w:rStyle w:val="HideTWBExt"/>
        </w:rPr>
        <w:t>&lt;FootprintIntro&gt;</w:t>
      </w:r>
      <w:r w:rsidRPr="00BA08AB">
        <w:t xml:space="preserve">Zgodnie z art. 8 załącznika I do Regulaminu sprawozdawczyni oświadcza, że przy sporządzaniu projektu sprawozdania otrzymała </w:t>
      </w:r>
      <w:r w:rsidRPr="00BA08AB">
        <w:t>informacje od następujących podmiotów lub osób:</w:t>
      </w:r>
      <w:r w:rsidRPr="00BA08A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17F65" w:rsidRPr="00BA08AB"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BA08AB" w:rsidRDefault="00774DE8">
            <w:pPr>
              <w:pStyle w:val="NormalBoldCenter"/>
              <w:spacing w:line="254" w:lineRule="auto"/>
            </w:pPr>
            <w:r w:rsidRPr="00BA08AB">
              <w:t>Podmiot lub osoba</w:t>
            </w:r>
          </w:p>
        </w:tc>
      </w:tr>
      <w:tr w:rsidR="00F17F65" w:rsidRPr="00BA08AB"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BA08AB" w:rsidRDefault="00774DE8">
            <w:pPr>
              <w:pStyle w:val="NormalSingle"/>
              <w:spacing w:line="254" w:lineRule="auto"/>
            </w:pPr>
            <w:r w:rsidRPr="00BA08AB">
              <w:t>Stałe Przedstawicielstwo Chorwacji w UE</w:t>
            </w:r>
          </w:p>
        </w:tc>
      </w:tr>
      <w:tr w:rsidR="00F17F65" w:rsidRPr="00BA08AB"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BA08AB" w:rsidRDefault="00774DE8">
            <w:pPr>
              <w:pStyle w:val="NormalSingle"/>
              <w:spacing w:line="254" w:lineRule="auto"/>
            </w:pPr>
            <w:r w:rsidRPr="00BA08AB">
              <w:t>Ministerstwo rolnictwa Republiki Chorwacji</w:t>
            </w:r>
          </w:p>
        </w:tc>
      </w:tr>
    </w:tbl>
    <w:p w:rsidR="00C6436A" w:rsidRPr="00BA08AB" w:rsidRDefault="00774DE8" w:rsidP="00C6436A">
      <w:pPr>
        <w:pStyle w:val="Footprint12b"/>
      </w:pPr>
      <w:r w:rsidRPr="00BA08AB">
        <w:t>Powyższy wykaz został sporządzony na wyłączną odpowiedzialność sprawozdawczyni.</w:t>
      </w:r>
    </w:p>
    <w:p w:rsidR="00C6436A" w:rsidRPr="00BA08AB" w:rsidRDefault="00774DE8" w:rsidP="00C6436A">
      <w:pPr>
        <w:pStyle w:val="Footprint12b"/>
      </w:pPr>
      <w:r w:rsidRPr="00BA08AB">
        <w:t>Gdy oso</w:t>
      </w:r>
      <w:r w:rsidRPr="00BA08AB">
        <w:t>by fizyczne są wymienione w wykazie z imienia i nazwiska, zidentyfikowane poprzez swoją funkcję lub wymienione z imienia i nazwiska wraz z podaniem ich funkcji, sprawozdawczyni oświadcza, że przedstawiła tym osobom fizycznym Oświadczenie o ochronie prywatn</w:t>
      </w:r>
      <w:r w:rsidRPr="00BA08AB">
        <w:t xml:space="preserve">ości w Parlamencie Europejskim nr 484 </w:t>
      </w:r>
      <w:hyperlink r:id="rId15" w:history="1">
        <w:r w:rsidRPr="00BA08AB">
          <w:rPr>
            <w:rStyle w:val="Hyperlink"/>
          </w:rPr>
          <w:t>https://www.europarl.europa.eu/data-protect/index.do</w:t>
        </w:r>
      </w:hyperlink>
      <w:r w:rsidRPr="00BA08AB">
        <w:t>), w którym przedstawione są warunki mające zastosowanie do przetwarzania danych osobowych tych o</w:t>
      </w:r>
      <w:r w:rsidRPr="00BA08AB">
        <w:t>sób oraz prawa związane z takim przetwarzaniem.</w:t>
      </w:r>
    </w:p>
    <w:p w:rsidR="00C6436A" w:rsidRPr="00BA08AB" w:rsidRDefault="00C6436A" w:rsidP="00C6436A"/>
    <w:bookmarkEnd w:id="3"/>
    <w:p w:rsidR="00C6436A" w:rsidRPr="00BA08AB" w:rsidRDefault="00C6436A" w:rsidP="00C6436A">
      <w:pPr>
        <w:pStyle w:val="AmNumberTabs"/>
        <w:keepNext/>
      </w:pPr>
    </w:p>
    <w:p w:rsidR="002669B6" w:rsidRPr="00BA08AB" w:rsidRDefault="002669B6" w:rsidP="00C6436A">
      <w:bookmarkStart w:id="7" w:name="_GoBack"/>
      <w:bookmarkEnd w:id="7"/>
    </w:p>
    <w:sectPr w:rsidR="002669B6" w:rsidRPr="00BA08AB" w:rsidSect="00D548B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A08AB" w:rsidRDefault="00774DE8">
      <w:r w:rsidRPr="00BA08AB">
        <w:separator/>
      </w:r>
    </w:p>
  </w:endnote>
  <w:endnote w:type="continuationSeparator" w:id="0">
    <w:p w:rsidR="00000000" w:rsidRPr="00BA08AB" w:rsidRDefault="00774DE8">
      <w:r w:rsidRPr="00BA0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8AB" w:rsidRPr="00BA08AB" w:rsidRDefault="00BA08AB" w:rsidP="00BA08AB">
    <w:pPr>
      <w:pStyle w:val="EPFooter"/>
    </w:pPr>
    <w:r w:rsidRPr="00BA08AB">
      <w:t>PE</w:t>
    </w:r>
    <w:r w:rsidRPr="00BA08AB">
      <w:rPr>
        <w:rStyle w:val="HideTWBExt"/>
      </w:rPr>
      <w:t>&lt;NoPE&gt;</w:t>
    </w:r>
    <w:r w:rsidRPr="00BA08AB">
      <w:t>765.292</w:t>
    </w:r>
    <w:r w:rsidRPr="00BA08AB">
      <w:rPr>
        <w:rStyle w:val="HideTWBExt"/>
      </w:rPr>
      <w:t>&lt;/NoPE&gt;&lt;Version&gt;</w:t>
    </w:r>
    <w:r w:rsidRPr="00BA08AB">
      <w:t>v01-00</w:t>
    </w:r>
    <w:r w:rsidRPr="00BA08AB">
      <w:rPr>
        <w:rStyle w:val="HideTWBExt"/>
      </w:rPr>
      <w:t>&lt;/Version&gt;</w:t>
    </w:r>
    <w:r w:rsidRPr="00BA08AB">
      <w:tab/>
    </w:r>
    <w:r w:rsidRPr="00BA08AB">
      <w:fldChar w:fldCharType="begin"/>
    </w:r>
    <w:r w:rsidRPr="00BA08AB">
      <w:instrText xml:space="preserve"> PAGE  \* MERGEFORMAT </w:instrText>
    </w:r>
    <w:r w:rsidRPr="00BA08AB">
      <w:fldChar w:fldCharType="separate"/>
    </w:r>
    <w:r w:rsidR="00774DE8">
      <w:rPr>
        <w:noProof/>
      </w:rPr>
      <w:t>98</w:t>
    </w:r>
    <w:r w:rsidRPr="00BA08AB">
      <w:fldChar w:fldCharType="end"/>
    </w:r>
    <w:r w:rsidRPr="00BA08AB">
      <w:t>/</w:t>
    </w:r>
    <w:fldSimple w:instr=" NUMPAGES  \* MERGEFORMAT ">
      <w:r w:rsidR="00774DE8">
        <w:rPr>
          <w:noProof/>
        </w:rPr>
        <w:t>98</w:t>
      </w:r>
    </w:fldSimple>
    <w:r w:rsidRPr="00BA08AB">
      <w:tab/>
    </w:r>
    <w:r w:rsidRPr="00BA08AB">
      <w:rPr>
        <w:rStyle w:val="HideTWBExt"/>
      </w:rPr>
      <w:t>&lt;PathFdR&gt;</w:t>
    </w:r>
    <w:r w:rsidRPr="00BA08AB">
      <w:t>PR\1309819PL.docx</w:t>
    </w:r>
    <w:r w:rsidRPr="00BA08AB">
      <w:rPr>
        <w:rStyle w:val="HideTWBExt"/>
      </w:rPr>
      <w:t>&lt;/PathFdR&gt;</w:t>
    </w:r>
  </w:p>
  <w:p w:rsidR="00DA04EE" w:rsidRPr="00BA08AB" w:rsidRDefault="00BA08AB" w:rsidP="00BA08AB">
    <w:pPr>
      <w:pStyle w:val="EPFooter2"/>
    </w:pPr>
    <w:r w:rsidRPr="00BA08A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8AB" w:rsidRPr="00BA08AB" w:rsidRDefault="00BA08AB" w:rsidP="00BA08AB">
    <w:pPr>
      <w:pStyle w:val="EPFooter"/>
    </w:pPr>
    <w:r w:rsidRPr="00BA08AB">
      <w:rPr>
        <w:rStyle w:val="HideTWBExt"/>
      </w:rPr>
      <w:t>&lt;PathFdR&gt;</w:t>
    </w:r>
    <w:r w:rsidRPr="00BA08AB">
      <w:t>PR\1309819PL.docx</w:t>
    </w:r>
    <w:r w:rsidRPr="00BA08AB">
      <w:rPr>
        <w:rStyle w:val="HideTWBExt"/>
      </w:rPr>
      <w:t>&lt;/PathFdR&gt;</w:t>
    </w:r>
    <w:r w:rsidRPr="00BA08AB">
      <w:tab/>
    </w:r>
    <w:r w:rsidRPr="00BA08AB">
      <w:fldChar w:fldCharType="begin"/>
    </w:r>
    <w:r w:rsidRPr="00BA08AB">
      <w:instrText xml:space="preserve"> PAGE  \* MERGEFORMAT </w:instrText>
    </w:r>
    <w:r w:rsidRPr="00BA08AB">
      <w:fldChar w:fldCharType="separate"/>
    </w:r>
    <w:r w:rsidR="00774DE8">
      <w:rPr>
        <w:noProof/>
      </w:rPr>
      <w:t>97</w:t>
    </w:r>
    <w:r w:rsidRPr="00BA08AB">
      <w:fldChar w:fldCharType="end"/>
    </w:r>
    <w:r w:rsidRPr="00BA08AB">
      <w:t>/</w:t>
    </w:r>
    <w:fldSimple w:instr=" NUMPAGES  \* MERGEFORMAT ">
      <w:r w:rsidR="00774DE8">
        <w:rPr>
          <w:noProof/>
        </w:rPr>
        <w:t>98</w:t>
      </w:r>
    </w:fldSimple>
    <w:r w:rsidRPr="00BA08AB">
      <w:tab/>
      <w:t>PE</w:t>
    </w:r>
    <w:r w:rsidRPr="00BA08AB">
      <w:rPr>
        <w:rStyle w:val="HideTWBExt"/>
      </w:rPr>
      <w:t>&lt;NoPE&gt;</w:t>
    </w:r>
    <w:r w:rsidRPr="00BA08AB">
      <w:t>765.292</w:t>
    </w:r>
    <w:r w:rsidRPr="00BA08AB">
      <w:rPr>
        <w:rStyle w:val="HideTWBExt"/>
      </w:rPr>
      <w:t>&lt;/NoPE&gt;&lt;Version&gt;</w:t>
    </w:r>
    <w:r w:rsidRPr="00BA08AB">
      <w:t>v01-00</w:t>
    </w:r>
    <w:r w:rsidRPr="00BA08AB">
      <w:rPr>
        <w:rStyle w:val="HideTWBExt"/>
      </w:rPr>
      <w:t>&lt;/Version&gt;</w:t>
    </w:r>
  </w:p>
  <w:p w:rsidR="00DA04EE" w:rsidRPr="00BA08AB" w:rsidRDefault="00BA08AB" w:rsidP="00BA08AB">
    <w:pPr>
      <w:pStyle w:val="EPFooter2"/>
    </w:pPr>
    <w:r w:rsidRPr="00BA08AB">
      <w:tab/>
    </w:r>
    <w:r w:rsidRPr="00BA08AB">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8AB" w:rsidRPr="00BA08AB" w:rsidRDefault="00BA08AB" w:rsidP="00BA08AB">
    <w:pPr>
      <w:pStyle w:val="EPFooter"/>
    </w:pPr>
    <w:r w:rsidRPr="00BA08AB">
      <w:rPr>
        <w:rStyle w:val="HideTWBExt"/>
      </w:rPr>
      <w:t>&lt;PathFdR&gt;</w:t>
    </w:r>
    <w:r w:rsidRPr="00BA08AB">
      <w:t>PR\1309819PL.docx</w:t>
    </w:r>
    <w:r w:rsidRPr="00BA08AB">
      <w:rPr>
        <w:rStyle w:val="HideTWBExt"/>
      </w:rPr>
      <w:t>&lt;/PathFdR&gt;</w:t>
    </w:r>
    <w:r w:rsidRPr="00BA08AB">
      <w:tab/>
    </w:r>
    <w:r w:rsidRPr="00BA08AB">
      <w:tab/>
      <w:t>PE</w:t>
    </w:r>
    <w:r w:rsidRPr="00BA08AB">
      <w:rPr>
        <w:rStyle w:val="HideTWBExt"/>
      </w:rPr>
      <w:t>&lt;NoPE&gt;</w:t>
    </w:r>
    <w:r w:rsidRPr="00BA08AB">
      <w:t>765.292</w:t>
    </w:r>
    <w:r w:rsidRPr="00BA08AB">
      <w:rPr>
        <w:rStyle w:val="HideTWBExt"/>
      </w:rPr>
      <w:t>&lt;/NoPE&gt;&lt;Version&gt;</w:t>
    </w:r>
    <w:r w:rsidRPr="00BA08AB">
      <w:t>v01-00</w:t>
    </w:r>
    <w:r w:rsidRPr="00BA08AB">
      <w:rPr>
        <w:rStyle w:val="HideTWBExt"/>
      </w:rPr>
      <w:t>&lt;/Version&gt;</w:t>
    </w:r>
  </w:p>
  <w:p w:rsidR="00DA04EE" w:rsidRPr="00BA08AB" w:rsidRDefault="00BA08AB" w:rsidP="00BA08AB">
    <w:pPr>
      <w:pStyle w:val="EPFooter2"/>
    </w:pPr>
    <w:r w:rsidRPr="00BA08AB">
      <w:t>PL</w:t>
    </w:r>
    <w:r w:rsidRPr="00BA08AB">
      <w:tab/>
    </w:r>
    <w:r w:rsidRPr="00BA08AB">
      <w:rPr>
        <w:b w:val="0"/>
        <w:i/>
        <w:color w:val="C0C0C0"/>
        <w:sz w:val="22"/>
      </w:rPr>
      <w:t>Zjednoczona w różnorodności</w:t>
    </w:r>
    <w:r w:rsidRPr="00BA08AB">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BA08AB" w:rsidRDefault="00774DE8" w:rsidP="00F07062">
    <w:pPr>
      <w:pStyle w:val="EPFooter"/>
    </w:pPr>
    <w:r w:rsidRPr="00BA08AB">
      <w:rPr>
        <w:rStyle w:val="HideTWBExt"/>
      </w:rPr>
      <w:t>&lt;PathFdR&gt;</w:t>
    </w:r>
    <w:r w:rsidRPr="00BA08AB">
      <w:t>PR\1309819EN.docx</w:t>
    </w:r>
    <w:r w:rsidRPr="00BA08AB">
      <w:rPr>
        <w:rStyle w:val="HideTWBExt"/>
      </w:rPr>
      <w:t>&lt;/PathFdR&gt;</w:t>
    </w:r>
    <w:r w:rsidRPr="00BA08AB">
      <w:tab/>
    </w:r>
    <w:r w:rsidRPr="00BA08AB">
      <w:tab/>
      <w:t>PE</w:t>
    </w:r>
    <w:r w:rsidRPr="00BA08AB">
      <w:rPr>
        <w:rStyle w:val="HideTWBExt"/>
      </w:rPr>
      <w:t>&lt;NoPE&gt;</w:t>
    </w:r>
    <w:r w:rsidRPr="00BA08AB">
      <w:t>765.292</w:t>
    </w:r>
    <w:r w:rsidRPr="00BA08AB">
      <w:rPr>
        <w:rStyle w:val="HideTWBExt"/>
      </w:rPr>
      <w:t>&lt;/NoPE&gt;&lt;Version&gt;</w:t>
    </w:r>
    <w:r w:rsidRPr="00BA08AB">
      <w:t>v01-00</w:t>
    </w:r>
    <w:r w:rsidRPr="00BA08AB">
      <w:rPr>
        <w:rStyle w:val="HideTWBExt"/>
      </w:rPr>
      <w:t>&lt;/Version&gt;</w:t>
    </w:r>
  </w:p>
  <w:p w:rsidR="00DA04EE" w:rsidRPr="00BA08AB" w:rsidRDefault="00774DE8" w:rsidP="00461601">
    <w:pPr>
      <w:pStyle w:val="EPFooter2"/>
      <w:tabs>
        <w:tab w:val="clear" w:pos="4535"/>
        <w:tab w:val="center" w:pos="4536"/>
      </w:tabs>
    </w:pPr>
    <w:r w:rsidRPr="00BA08AB">
      <w:fldChar w:fldCharType="begin"/>
    </w:r>
    <w:r w:rsidRPr="00BA08AB">
      <w:instrText xml:space="preserve"> DOCPROPERTY "&lt;Extension&gt;" </w:instrText>
    </w:r>
    <w:r w:rsidRPr="00BA08AB">
      <w:fldChar w:fldCharType="separate"/>
    </w:r>
    <w:r w:rsidR="00BA08AB" w:rsidRPr="00BA08AB">
      <w:t>PL</w:t>
    </w:r>
    <w:r w:rsidRPr="00BA08AB">
      <w:fldChar w:fldCharType="end"/>
    </w:r>
    <w:r w:rsidRPr="00BA08AB">
      <w:tab/>
    </w:r>
    <w:r w:rsidRPr="00BA08AB">
      <w:rPr>
        <w:b w:val="0"/>
        <w:i/>
        <w:color w:val="C0C0C0"/>
        <w:sz w:val="22"/>
        <w:szCs w:val="22"/>
      </w:rPr>
      <w:t>United in diversity</w:t>
    </w:r>
    <w:r w:rsidRPr="00BA08AB">
      <w:tab/>
    </w:r>
    <w:r w:rsidRPr="00BA08AB">
      <w:fldChar w:fldCharType="begin"/>
    </w:r>
    <w:r w:rsidRPr="00BA08AB">
      <w:instrText xml:space="preserve"> DOCPROPERTY "&lt;Extension&gt;" </w:instrText>
    </w:r>
    <w:r w:rsidRPr="00BA08AB">
      <w:fldChar w:fldCharType="separate"/>
    </w:r>
    <w:r w:rsidR="00BA08AB" w:rsidRPr="00BA08AB">
      <w:t>PL</w:t>
    </w:r>
    <w:r w:rsidRPr="00BA08A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A0" w:rsidRPr="00BA08AB" w:rsidRDefault="00774DE8">
      <w:r w:rsidRPr="00BA08AB">
        <w:separator/>
      </w:r>
    </w:p>
  </w:footnote>
  <w:footnote w:type="continuationSeparator" w:id="0">
    <w:p w:rsidR="002A12A0" w:rsidRPr="00BA08AB" w:rsidRDefault="00774DE8">
      <w:r w:rsidRPr="00BA08AB">
        <w:continuationSeparator/>
      </w:r>
    </w:p>
  </w:footnote>
  <w:footnote w:id="1">
    <w:p w:rsidR="00DA04EE" w:rsidRPr="00BA08AB" w:rsidRDefault="00774DE8">
      <w:pPr>
        <w:pStyle w:val="FootnoteText"/>
      </w:pPr>
      <w:r w:rsidRPr="00BA08AB">
        <w:rPr>
          <w:rStyle w:val="FootnoteReference"/>
        </w:rPr>
        <w:footnoteRef/>
      </w:r>
      <w:r w:rsidRPr="00BA08AB">
        <w:t xml:space="preserve"> Dz.U. C,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E8" w:rsidRDefault="00774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E8" w:rsidRDefault="00774D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E8" w:rsidRDefault="00774D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PECH"/>
    <w:docVar w:name="CONTRIBUTIONMNU" w:val=" 1"/>
    <w:docVar w:name="CopyToNetwork" w:val="-1"/>
    <w:docVar w:name="CVar" w:val="33"/>
    <w:docVar w:name="DOCDT" w:val="10/12/2024"/>
    <w:docVar w:name="DOCMNU" w:val=" 1"/>
    <w:docVar w:name="EPSTATMNU" w:val=" 5"/>
    <w:docVar w:name="EVABUDGMNU" w:val=" 2"/>
    <w:docVar w:name="iNoAmend" w:val="33"/>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9037 HideTWBExt;}{\*\cs18 \additive \v\f1\fs20\cf15 _x000d__x000a_\spriority0 \styrsid12729037 HideTWBInt;}{\s19\ql \li0\ri0\sa120\nowidctlpar\wrapdefault\aspalpha\aspnum\faauto\adjustright\rin0\lin0\itap0 \rtlch\fcs1 \af0\afs20\alang1025 \ltrch\fcs0 \fs24\lang2057\langfe2057\cgrid\langnp2057\langfenp2057 _x000d__x000a_\sbasedon0 \snext19 \spriority0 \styrsid12729037 Normal6a;}{\s20\ql \li0\ri0\nowidctlpar\wrapdefault\aspalpha\aspnum\faauto\adjustright\rin0\lin0\itap0 \rtlch\fcs1 \af0\afs20\alang1025 \ltrch\fcs0 \b\fs24\lang2057\langfe2057\cgrid\langnp2057\langfenp2057 _x000d__x000a_\sbasedon0 \snext20 \spriority0 \styrsid12729037 NormalBold;}{\s21\ql \li0\ri0\sa240\nowidctlpar\wrapdefault\aspalpha\aspnum\faauto\adjustright\rin0\lin0\itap0 \rtlch\fcs1 \af0\afs20\alang1025 \ltrch\fcs0 _x000d__x000a_\i\fs24\lang2057\langfe2057\cgrid\langnp2057\langfenp2057 \sbasedon0 \snext21 \spriority0 \styrsid12729037 AmJustText;}{\s22\qc \li0\ri0\sb240\sa240\nowidctlpar\wrapdefault\aspalpha\aspnum\faauto\adjustright\rin0\lin0\itap0 \rtlch\fcs1 _x000d__x000a_\af0\afs20\alang1025 \ltrch\fcs0 \i\fs24\lang2057\langfe2057\cgrid\langnp2057\langfenp2057 \sbasedon0 \snext22 \spriority0 \styrsid12729037 AmCrossRef;}{_x000d__x000a_\s23\qc \li0\ri0\sb240\sa240\keepn\nowidctlpar\wrapdefault\aspalpha\aspnum\faauto\adjustright\rin0\lin0\itap0 \rtlch\fcs1 \af0\afs20\alang1025 \ltrch\fcs0 \i\fs24\lang2057\langfe2057\cgrid\langnp2057\langfenp2057 _x000d__x000a_\sbasedon0 \snext21 \spriority0 \styrsid12729037 AmJustTitle;}{\s24\qr \li0\ri0\sb240\sa240\nowidctlpar\wrapdefault\aspalpha\aspnum\faauto\adjustright\rin0\lin0\itap0 \rtlch\fcs1 \af0\afs20\alang1025 \ltrch\fcs0 _x000d__x000a_\fs24\lang2057\langfe2057\cgrid\langnp2057\langfenp2057 \sbasedon0 \snext24 \spriority0 \styrsid12729037 AmOrLang;}{\s25\qc \li0\ri0\sa240\nowidctlpar\wrapdefault\aspalpha\aspnum\faauto\adjustright\rin0\lin0\itap0 \rtlch\fcs1 \af0\afs20\alang1025 _x000d__x000a_\ltrch\fcs0 \i\fs24\lang2057\langfe2057\cgrid\langnp2057\langfenp2057 \sbasedon0 \snext25 \spriority0 \styrsid127290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729037 AmNumberTabs;}{\s27\ql \li0\ri0\sb240\nowidctlpar\wrapdefault\aspalpha\aspnum\faauto\adjustright\rin0\lin0\itap0 \rtlch\fcs1 _x000d__x000a_\af0\afs20\alang1025 \ltrch\fcs0 \b\fs24\lang2057\langfe2057\cgrid\langnp2057\langfenp2057 \sbasedon0 \snext27 \spriority0 \styrsid12729037 NormalBold12b;}}{\*\rsidtbl \rsid24658\rsid223860\rsid735077\rsid1718133\rsid2892074\rsid3565327\rsid4666813_x000d__x000a_\rsid6641733\rsid7739349\rsid7823322\rsid9636012\rsid10377208\rsid11215221\rsid11549030\rsid12154954\rsid12729037\rsid14382809\rsid14424199\rsid15204470\rsid15285974\rsid15950462\rsid16324206\rsid16662270}{\mmathPr\mmathFont34\mbrkBin0\mbrkBinSub0_x000d__x000a_\msmallFrac0\mdispDef1\mlMargin0\mrMargin0\mdefJc1\mwrapIndent1440\mintLim0\mnaryLim1}{\info{\author NENICKOVA Sylvia}{\operator NENICKOVA Sylvia}{\creatim\yr2024\mo11\dy7\hr13}{\revtim\yr2024\mo11\dy7\hr13}{\version1}{\edmins0}{\nofpages1}{\nofwords104}_x000d__x000a_{\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9037\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7739349 \chftnsep _x000d__x000a_\par }}{\*\ftnsepc \ltrpar \pard\plain \ltrpar\ql \li0\ri0\widctlpar\wrapdefault\aspalpha\aspnum\faauto\adjustright\rin0\lin0\itap0 \rtlch\fcs1 \af0\afs20\alang1025 \ltrch\fcs0 \fs24\lang2057\langfe2057\cgrid\langnp2057\langfenp2057 {\rtlch\fcs1 \af0 _x000d__x000a_\ltrch\fcs0 \insrsid7739349 \chftnsepc _x000d__x000a_\par }}{\*\aftnsep \ltrpar \pard\plain \ltrpar\ql \li0\ri0\widctlpar\wrapdefault\aspalpha\aspnum\faauto\adjustright\rin0\lin0\itap0 \rtlch\fcs1 \af0\afs20\alang1025 \ltrch\fcs0 \fs24\lang2057\langfe2057\cgrid\langnp2057\langfenp2057 {\rtlch\fcs1 \af0 _x000d__x000a_\ltrch\fcs0 \insrsid7739349 \chftnsep _x000d__x000a_\par }}{\*\aftnsepc \ltrpar \pard\plain \ltrpar\ql \li0\ri0\widctlpar\wrapdefault\aspalpha\aspnum\faauto\adjustright\rin0\lin0\itap0 \rtlch\fcs1 \af0\afs20\alang1025 \ltrch\fcs0 \fs24\lang2057\langfe2057\cgrid\langnp2057\langfenp2057 {\rtlch\fcs1 \af0 _x000d__x000a_\ltrch\fcs0 \insrsid7739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729037 \rtlch\fcs1 _x000d__x000a_\af0\afs20\alang1025 \ltrch\fcs0 \b\fs24\lang2057\langfe2057\cgrid\langnp2057\langfenp2057 {\rtlch\fcs1 \af0 \ltrch\fcs0 \cs17\b0\v\fs20\cf9\lang1024\langfe1024\loch\af1\hich\af1\dbch\af31501\noproof\insrsid12729037\charrsid8550218 {\*\bkmkstart restart}_x000d__x000a_\hich\af1\dbch\af31501\loch\f1 &lt;Amend&gt;}{\rtlch\fcs1 \af0 \ltrch\fcs0 \insrsid12729037\charrsid8550218 Amendment\tab \tab }{\rtlch\fcs1 \af0 \ltrch\fcs0 _x000d__x000a_\cs17\b0\v\fs20\cf9\lang1024\langfe1024\loch\af1\hich\af1\dbch\af31501\noproof\insrsid12729037\charrsid8550218 \hich\af1\dbch\af31501\loch\f1 &lt;NumAm&gt;}{\rtlch\fcs1 \af0 \ltrch\fcs0 \insrsid12729037\charrsid8550218 #}{\rtlch\fcs1 \af1 \ltrch\fcs0 _x000d__x000a_\cs18\v\f1\fs20\cf15\insrsid12729037\charrsid8550218 ENMIENDA@NRAM@}{\rtlch\fcs1 \af0 \ltrch\fcs0 \insrsid12729037\charrsid8550218 #}{\rtlch\fcs1 \af0 \ltrch\fcs0 _x000d__x000a_\cs17\b0\v\fs20\cf9\lang1024\langfe1024\loch\af1\hich\af1\dbch\af31501\noproof\insrsid12729037\charrsid8550218 \hich\af1\dbch\af31501\loch\f1 &lt;/NumAm&gt;}{\rtlch\fcs1 \af0 \ltrch\fcs0 \insrsid12729037\charrsid8550218 _x000d__x000a_\par }\pard\plain \ltrpar\s27\ql \li0\ri0\sb240\keepn\nowidctlpar\wrapdefault\aspalpha\aspnum\faauto\adjustright\rin0\lin0\itap0\pararsid12729037 \rtlch\fcs1 \af0\afs20\alang1025 \ltrch\fcs0 \b\fs24\lang2057\langfe2057\cgrid\langnp2057\langfenp2057 {_x000d__x000a_\rtlch\fcs1 \af0 \ltrch\fcs0 \cs17\b0\v\fs20\cf9\lang1024\langfe1024\loch\af1\hich\af1\dbch\af31501\noproof\insrsid12729037\charrsid8550218 \hich\af1\dbch\af31501\loch\f1 &lt;DocAmend&gt;}{\rtlch\fcs1 \af0 \ltrch\fcs0 \insrsid12729037\charrsid8550218 _x000d__x000a_Proposal for a #}{\rtlch\fcs1 \af1 \ltrch\fcs0 \cs18\v\f1\fs20\cf15\insrsid12729037\charrsid8550218 MNU[DOC1][DOC2][DOC3]@DOCMSG@DOCMNU}{\rtlch\fcs1 \af0 \ltrch\fcs0 \insrsid12729037\charrsid8550218 ##}{\rtlch\fcs1 \af1 \ltrch\fcs0 _x000d__x000a_\cs18\v\f1\fs20\cf15\insrsid12729037\charrsid8550218 MNU[AMACTYES][NOTAPP]@CHOICE@AMACTMNU}{\rtlch\fcs1 \af0 \ltrch\fcs0 \insrsid12729037\charrsid8550218 #}{\rtlch\fcs1 \af0 \ltrch\fcs0 _x000d__x000a_\cs17\b0\v\fs20\cf9\lang1024\langfe1024\loch\af1\hich\af1\dbch\af31501\noproof\insrsid12729037\charrsid8550218 \hich\af1\dbch\af31501\loch\f1 &lt;/DocAmend&gt;}{\rtlch\fcs1 \af0 \ltrch\fcs0 \insrsid12729037\charrsid8550218 _x000d__x000a_\par }\pard\plain \ltrpar\s20\ql \li0\ri0\keepn\nowidctlpar\wrapdefault\aspalpha\aspnum\faauto\adjustright\rin0\lin0\itap0\pararsid12729037 \rtlch\fcs1 \af0\afs20\alang1025 \ltrch\fcs0 \b\fs24\lang2057\langfe2057\cgrid\langnp2057\langfenp2057 {\rtlch\fcs1 _x000d__x000a_\af0 \ltrch\fcs0 \cs17\b0\v\fs20\cf9\lang1024\langfe1024\loch\af1\hich\af1\dbch\af31501\noproof\insrsid12729037\charrsid8550218 \hich\af1\dbch\af31501\loch\f1 &lt;Article&gt;}{\rtlch\fcs1 \af0 \ltrch\fcs0 \insrsid12729037\charrsid8550218 #}{\rtlch\fcs1 \af1 _x000d__x000a_\ltrch\fcs0 \cs18\v\f1\fs20\cf15\insrsid12729037\charrsid8550218 MNU[AMACTPARTYES][AMACTPARTNO]@CHOICE@AMACTMNU}{\rtlch\fcs1 \af0 \ltrch\fcs0 \insrsid12729037\charrsid8550218 #}{\rtlch\fcs1 \af0 \ltrch\fcs0 _x000d__x000a_\cs17\b0\v\fs20\cf9\lang1024\langfe1024\loch\af1\hich\af1\dbch\af31501\noproof\insrsid12729037\charrsid8550218 \hich\af1\dbch\af31501\loch\f1 &lt;/Article&gt;}{\rtlch\fcs1 \af0 \ltrch\fcs0 \insrsid12729037\charrsid8550218 _x000d__x000a_\par }\pard\plain \ltrpar\ql \li0\ri0\keepn\widctlpar\wrapdefault\aspalpha\aspnum\faauto\adjustright\rin0\lin0\itap0\pararsid12729037 \rtlch\fcs1 \af0\afs20\alang1025 \ltrch\fcs0 \fs24\lang2057\langfe2057\cgrid\langnp2057\langfenp2057 {\rtlch\fcs1 \af0 _x000d__x000a_\ltrch\fcs0 \cs17\v\fs20\cf9\lang1024\langfe1024\loch\af1\hich\af1\dbch\af31501\noproof\insrsid12729037\charrsid8550218 \hich\af1\dbch\af31501\loch\f1 &lt;DocAmend2&gt;&lt;OptDel&gt;}{\rtlch\fcs1 \af0 \ltrch\fcs0 \insrsid12729037\charrsid8550218 #}{\rtlch\fcs1 \af1 _x000d__x000a_\ltrch\fcs0 \cs18\v\f1\fs20\cf15\insrsid12729037\charrsid8550218 MNU[OPTNRACTYES][NOTAPP]@CHOICE@AMACTMNU}{\rtlch\fcs1 \af0 \ltrch\fcs0 \insrsid12729037\charrsid8550218 #}{\rtlch\fcs1 \af0 \ltrch\fcs0 _x000d__x000a_\cs17\v\fs20\cf9\lang1024\langfe1024\loch\af1\hich\af1\dbch\af31501\noproof\insrsid12729037\charrsid8550218 \hich\af1\dbch\af31501\loch\f1 &lt;/OptDel&gt;&lt;/DocAmend2&gt;}{\rtlch\fcs1 \af0 \ltrch\fcs0 \insrsid12729037\charrsid8550218 _x000d__x000a_\par }\pard \ltrpar\ql \li0\ri0\widctlpar\wrapdefault\aspalpha\aspnum\faauto\adjustright\rin0\lin0\itap0\pararsid12729037 {\rtlch\fcs1 \af0 \ltrch\fcs0 \cs17\v\fs20\cf9\lang1024\langfe1024\loch\af1\hich\af1\dbch\af31501\noproof\insrsid12729037\charrsid8550218 _x000d__x000a_\hich\af1\dbch\af31501\loch\f1 &lt;Article2&gt;&lt;OptDel&gt;}{\rtlch\fcs1 \af0 \ltrch\fcs0 \insrsid12729037\charrsid8550218 #}{\rtlch\fcs1 \af1 \ltrch\fcs0 \cs18\v\f1\fs20\cf15\insrsid12729037\charrsid8550218 MNU[OPTACTPARTYES][NOTAPP]@CHOICE@AMACTMNU}{\rtlch\fcs1 _x000d__x000a_\af0 \ltrch\fcs0 \insrsid12729037\charrsid8550218 #}{\rtlch\fcs1 \af0 \ltrch\fcs0 \cs17\v\fs20\cf9\lang1024\langfe1024\loch\af1\hich\af1\dbch\af31501\noproof\insrsid12729037\charrsid8550218 \hich\af1\dbch\af31501\loch\f1 &lt;/OptDel&gt;&lt;/Article2&gt;}{\rtlch\fcs1 _x000d__x000a_\af0 \ltrch\fcs0 \insrsid12729037\charrsid855021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2729037\charrsid8550218 #}{\rtlch\fcs1 \af1 \ltrch\fcs0 \cs18\v\f1\fs20\cf15\insrsid12729037\charrsid8550218 MNU[OPTLEFTAMACT][LEFTPROP]@CHOICE@AMACTMNU}{\rtlch\fcs1 \af0 \ltrch\fcs0 \insrsid12729037\charrsid8550218 #\cell Amendment\cell _x000d__x000a_}\pard\plain \ltrpar\ql \li0\ri0\widctlpar\intbl\wrapdefault\aspalpha\aspnum\faauto\adjustright\rin0\lin0 \rtlch\fcs1 \af0\afs20\alang1025 \ltrch\fcs0 \fs24\lang2057\langfe2057\cgrid\langnp2057\langfenp2057 {\rtlch\fcs1 \af0 \ltrch\fcs0 _x000d__x000a_\insrsid12729037\charrsid855021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2729037\charrsid8550218 ##\cell ##}{\rtlch\fcs1 \af0\afs24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729037 \rtlch\fcs1 \af0\afs20\alang1025 \ltrch\fcs0 \fs24\lang2057\langfe2057\cgrid\langnp2057\langfenp2057 {\rtlch\fcs1 \af0 \ltrch\fcs0 _x000d__x000a_\insrsid12729037\charrsid8550218 Or. }{\rtlch\fcs1 \af0 \ltrch\fcs0 \cs17\v\fs20\cf9\lang1024\langfe1024\loch\af1\hich\af1\dbch\af31501\noproof\insrsid12729037\charrsid8550218 \hich\af1\dbch\af31501\loch\f1 &lt;Original&gt;}{\rtlch\fcs1 \af0 \ltrch\fcs0 _x000d__x000a_\insrsid12729037\charrsid8550218 #}{\rtlch\fcs1 \af1 \ltrch\fcs0 \cs18\v\f1\fs20\cf15\insrsid12729037\charrsid8550218 MNU[ORLANGONE][ORLANGMORE]@CHOICE@ORLANGMNU}{\rtlch\fcs1 \af0 \ltrch\fcs0 \insrsid12729037\charrsid8550218 #}{\rtlch\fcs1 \af0 _x000d__x000a_\ltrch\fcs0 \cs17\v\fs20\cf9\lang1024\langfe1024\loch\af1\hich\af1\dbch\af31501\noproof\insrsid12729037\charrsid8550218 \hich\af1\dbch\af31501\loch\f1 &lt;/Original&gt;}{\rtlch\fcs1 \af0 \ltrch\fcs0 \insrsid12729037\charrsid8550218 _x000d__x000a_\par }\pard\plain \ltrpar\s22\qc \li0\ri0\sb240\sa240\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OptDel&gt;}{\rtlch\fcs1 \af0 \ltrch\fcs0 \insrsid12729037\charrsid8550218 #}{_x000d__x000a_\rtlch\fcs1 \af1 \ltrch\fcs0 \cs18\v\f1\fs20\cf15\insrsid12729037\charrsid8550218 MNU[CROSSREFNO][CROSSREFYES]@CHOICE@}{\rtlch\fcs1 \af0 \ltrch\fcs0 \insrsid12729037\charrsid8550218 #}{\rtlch\fcs1 \af0 \ltrch\fcs0 _x000d__x000a_\cs17\i0\v\fs20\cf9\lang1024\langfe1024\loch\af1\hich\af1\dbch\af31501\noproof\insrsid12729037\charrsid8550218 \hich\af1\dbch\af31501\loch\f1 &lt;/OptDel&gt;}{\rtlch\fcs1 \af0 \ltrch\fcs0 \insrsid12729037\charrsid8550218 _x000d__x000a_\par }\pard\plain \ltrpar\s23\qc \li0\ri0\sb240\sa240\keepn\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TitreJust&gt;}{\rtlch\fcs1 \af0 \ltrch\fcs0 \insrsid12729037\charrsid8550218 _x000d__x000a_Justification}{\rtlch\fcs1 \af0 \ltrch\fcs0 \cs17\i0\v\fs20\cf9\lang1024\langfe1024\loch\af1\hich\af1\dbch\af31501\noproof\insrsid12729037\charrsid8550218 \hich\af1\dbch\af31501\loch\f1 &lt;/TitreJust&gt;}{\rtlch\fcs1 \af0 \ltrch\fcs0 _x000d__x000a_\insrsid12729037\charrsid8550218 _x000d__x000a_\par }\pard\plain \ltrpar\s21\ql \li0\ri0\sa240\nowidctlpar\wrapdefault\aspalpha\aspnum\faauto\adjustright\rin0\lin0\itap0\pararsid12729037 \rtlch\fcs1 \af0\afs20\alang1025 \ltrch\fcs0 \i\fs24\lang2057\langfe2057\cgrid\langnp2057\langfenp2057 {\rtlch\fcs1 _x000d__x000a_\af0 \ltrch\fcs0 \cs17\i0\v\fs20\cf9\lang1024\langfe1024\loch\af1\hich\af1\dbch\af31501\noproof\insrsid12729037\charrsid8550218 \hich\af1\dbch\af31501\loch\f1 &lt;OptDelPrev&gt;}{\rtlch\fcs1 \af0 \ltrch\fcs0 \insrsid12729037\charrsid8550218 #}{\rtlch\fcs1 \af1 _x000d__x000a_\ltrch\fcs0 \cs18\v\f1\fs20\cf15\insrsid12729037\charrsid8550218 MNU[TEXTJUSTYES][TEXTJUSTNO]@CHOICE@}{\rtlch\fcs1 \af0 \ltrch\fcs0 \insrsid12729037\charrsid8550218 #}{\rtlch\fcs1 \af0 \ltrch\fcs0 _x000d__x000a_\cs17\i0\v\fs20\cf9\lang1024\langfe1024\loch\af1\hich\af1\dbch\af31501\noproof\insrsid12729037\charrsid8550218 \hich\af1\dbch\af31501\loch\f1 &lt;/OptDelPrev&gt;}{\rtlch\fcs1 \af0 \ltrch\fcs0 \insrsid12729037\charrsid8550218 _x000d__x000a_\par }\pard\plain \ltrpar\ql \li0\ri0\widctlpar\wrapdefault\aspalpha\aspnum\faauto\adjustright\rin0\lin0\itap0\pararsid12729037 \rtlch\fcs1 \af0\afs20\alang1025 \ltrch\fcs0 \fs24\lang2057\langfe2057\cgrid\langnp2057\langfenp2057 {\rtlch\fcs1 \af0 \ltrch\fcs0 _x000d__x000a_\cs17\v\fs20\cf9\lang1024\langfe1024\loch\af1\hich\af1\dbch\af31501\noproof\insrsid12729037\charrsid8550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6_x000d__x000a_c4980c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LANGUE" w:val="EN"/>
    <w:docVar w:name="TXTLANGUEMIN" w:val="en"/>
    <w:docVar w:name="TXTNRC" w:val="xxxx"/>
    <w:docVar w:name="TXTNRCOD" w:val="2024/0098"/>
    <w:docVar w:name="TXTNRCOM" w:val="(2024)183"/>
    <w:docVar w:name="TXTNRFIRSTAM" w:val="1"/>
    <w:docVar w:name="TXTNRLASTAM" w:val="126"/>
    <w:docVar w:name="TXTNRPE" w:val="765.292"/>
    <w:docVar w:name="TXTPEorAP" w:val="PE"/>
    <w:docVar w:name="TXTROUTE" w:val="PR\1309819EN.docx"/>
    <w:docVar w:name="TXTTITLE" w:val="amending Regulation (EU) No 2023/2124 of the European Parliament and of the Council of 4 October 2023 on certain provisions for fishing in the GFCM (General Fisheries Commission for the Mediterranean) Agreement area"/>
    <w:docVar w:name="TXTVERSION" w:val="01-00"/>
  </w:docVars>
  <w:rsids>
    <w:rsidRoot w:val="006F3CBE"/>
    <w:rsid w:val="00011AAB"/>
    <w:rsid w:val="00012351"/>
    <w:rsid w:val="000139E5"/>
    <w:rsid w:val="000162E6"/>
    <w:rsid w:val="00070A9E"/>
    <w:rsid w:val="00084DD2"/>
    <w:rsid w:val="00084E89"/>
    <w:rsid w:val="000B62B6"/>
    <w:rsid w:val="000B7489"/>
    <w:rsid w:val="000C5776"/>
    <w:rsid w:val="000E2622"/>
    <w:rsid w:val="000F1096"/>
    <w:rsid w:val="000F61F0"/>
    <w:rsid w:val="00104E2D"/>
    <w:rsid w:val="00120948"/>
    <w:rsid w:val="00123DD5"/>
    <w:rsid w:val="001277AE"/>
    <w:rsid w:val="00133656"/>
    <w:rsid w:val="00142215"/>
    <w:rsid w:val="00156D23"/>
    <w:rsid w:val="001767E2"/>
    <w:rsid w:val="00183BAE"/>
    <w:rsid w:val="00185D25"/>
    <w:rsid w:val="00187008"/>
    <w:rsid w:val="001B3829"/>
    <w:rsid w:val="001C5592"/>
    <w:rsid w:val="001C5B44"/>
    <w:rsid w:val="001C6FFC"/>
    <w:rsid w:val="001D0647"/>
    <w:rsid w:val="001F5EC3"/>
    <w:rsid w:val="001F7C7C"/>
    <w:rsid w:val="002003E3"/>
    <w:rsid w:val="00212B84"/>
    <w:rsid w:val="002346B0"/>
    <w:rsid w:val="00235674"/>
    <w:rsid w:val="00252CA6"/>
    <w:rsid w:val="002667C3"/>
    <w:rsid w:val="002669B6"/>
    <w:rsid w:val="00290BED"/>
    <w:rsid w:val="002A12A0"/>
    <w:rsid w:val="002D13EE"/>
    <w:rsid w:val="002D261A"/>
    <w:rsid w:val="002D4270"/>
    <w:rsid w:val="002E33EE"/>
    <w:rsid w:val="002F316B"/>
    <w:rsid w:val="002F40BB"/>
    <w:rsid w:val="002F4B02"/>
    <w:rsid w:val="00305CD9"/>
    <w:rsid w:val="00323EF8"/>
    <w:rsid w:val="003316DD"/>
    <w:rsid w:val="003322C9"/>
    <w:rsid w:val="00366A46"/>
    <w:rsid w:val="00370AC3"/>
    <w:rsid w:val="003824EE"/>
    <w:rsid w:val="00390661"/>
    <w:rsid w:val="003A78B1"/>
    <w:rsid w:val="003B4689"/>
    <w:rsid w:val="003C2068"/>
    <w:rsid w:val="003C37CF"/>
    <w:rsid w:val="003D6F81"/>
    <w:rsid w:val="003F6772"/>
    <w:rsid w:val="003F71E4"/>
    <w:rsid w:val="004100B1"/>
    <w:rsid w:val="004133B6"/>
    <w:rsid w:val="00416980"/>
    <w:rsid w:val="00426E47"/>
    <w:rsid w:val="00455743"/>
    <w:rsid w:val="00461601"/>
    <w:rsid w:val="00473E3A"/>
    <w:rsid w:val="004A5900"/>
    <w:rsid w:val="004B2EE4"/>
    <w:rsid w:val="004B7199"/>
    <w:rsid w:val="004C0915"/>
    <w:rsid w:val="004D424E"/>
    <w:rsid w:val="004E42C8"/>
    <w:rsid w:val="004E733D"/>
    <w:rsid w:val="004F3FA5"/>
    <w:rsid w:val="004F62B9"/>
    <w:rsid w:val="00510CEC"/>
    <w:rsid w:val="0051271F"/>
    <w:rsid w:val="00521F46"/>
    <w:rsid w:val="00543BCF"/>
    <w:rsid w:val="00551111"/>
    <w:rsid w:val="00551123"/>
    <w:rsid w:val="00567E12"/>
    <w:rsid w:val="00570A6A"/>
    <w:rsid w:val="00586E50"/>
    <w:rsid w:val="0059583D"/>
    <w:rsid w:val="005A1C15"/>
    <w:rsid w:val="005A42D9"/>
    <w:rsid w:val="005C2BEF"/>
    <w:rsid w:val="005D1A99"/>
    <w:rsid w:val="005D2552"/>
    <w:rsid w:val="005D7609"/>
    <w:rsid w:val="005D7EE8"/>
    <w:rsid w:val="005F1A7E"/>
    <w:rsid w:val="00642325"/>
    <w:rsid w:val="006A2F5D"/>
    <w:rsid w:val="006F3CBE"/>
    <w:rsid w:val="006F7907"/>
    <w:rsid w:val="00742346"/>
    <w:rsid w:val="00743189"/>
    <w:rsid w:val="00743D33"/>
    <w:rsid w:val="00774DE8"/>
    <w:rsid w:val="00786B7A"/>
    <w:rsid w:val="007932B3"/>
    <w:rsid w:val="00793EA9"/>
    <w:rsid w:val="00796F71"/>
    <w:rsid w:val="007A4FF2"/>
    <w:rsid w:val="007A7D9E"/>
    <w:rsid w:val="007D6F68"/>
    <w:rsid w:val="007E47FF"/>
    <w:rsid w:val="00812124"/>
    <w:rsid w:val="00815B1B"/>
    <w:rsid w:val="00823E6B"/>
    <w:rsid w:val="00826780"/>
    <w:rsid w:val="00837CCD"/>
    <w:rsid w:val="00857E18"/>
    <w:rsid w:val="008633CC"/>
    <w:rsid w:val="00865190"/>
    <w:rsid w:val="00865E5A"/>
    <w:rsid w:val="008719B9"/>
    <w:rsid w:val="00873C87"/>
    <w:rsid w:val="00893113"/>
    <w:rsid w:val="00894ECE"/>
    <w:rsid w:val="00896BB4"/>
    <w:rsid w:val="008A7FB8"/>
    <w:rsid w:val="008B724D"/>
    <w:rsid w:val="008C62F9"/>
    <w:rsid w:val="009022B8"/>
    <w:rsid w:val="00914537"/>
    <w:rsid w:val="0091726D"/>
    <w:rsid w:val="00917CC4"/>
    <w:rsid w:val="00917E30"/>
    <w:rsid w:val="009241EE"/>
    <w:rsid w:val="0093264F"/>
    <w:rsid w:val="0096324F"/>
    <w:rsid w:val="009763DA"/>
    <w:rsid w:val="009778B7"/>
    <w:rsid w:val="009975B3"/>
    <w:rsid w:val="009A216D"/>
    <w:rsid w:val="009B4B93"/>
    <w:rsid w:val="009C1B1C"/>
    <w:rsid w:val="009C7A89"/>
    <w:rsid w:val="009E2F79"/>
    <w:rsid w:val="009F24BE"/>
    <w:rsid w:val="009F6C2F"/>
    <w:rsid w:val="009F767A"/>
    <w:rsid w:val="009F767F"/>
    <w:rsid w:val="00A061C1"/>
    <w:rsid w:val="00A079CA"/>
    <w:rsid w:val="00A20006"/>
    <w:rsid w:val="00A22533"/>
    <w:rsid w:val="00A26F46"/>
    <w:rsid w:val="00A34FD3"/>
    <w:rsid w:val="00A36929"/>
    <w:rsid w:val="00A472B4"/>
    <w:rsid w:val="00A50548"/>
    <w:rsid w:val="00A577F9"/>
    <w:rsid w:val="00A60EE7"/>
    <w:rsid w:val="00A910C9"/>
    <w:rsid w:val="00AA35B0"/>
    <w:rsid w:val="00AC7816"/>
    <w:rsid w:val="00AD18C8"/>
    <w:rsid w:val="00AD7FA6"/>
    <w:rsid w:val="00AE4643"/>
    <w:rsid w:val="00AF0416"/>
    <w:rsid w:val="00AF340C"/>
    <w:rsid w:val="00B10CB4"/>
    <w:rsid w:val="00B13D6F"/>
    <w:rsid w:val="00B203FA"/>
    <w:rsid w:val="00B23B72"/>
    <w:rsid w:val="00B3565C"/>
    <w:rsid w:val="00B42702"/>
    <w:rsid w:val="00B433E1"/>
    <w:rsid w:val="00B57B8B"/>
    <w:rsid w:val="00B85407"/>
    <w:rsid w:val="00B95702"/>
    <w:rsid w:val="00BA08AB"/>
    <w:rsid w:val="00BB5657"/>
    <w:rsid w:val="00BB5825"/>
    <w:rsid w:val="00BB74B0"/>
    <w:rsid w:val="00BC6489"/>
    <w:rsid w:val="00BD480C"/>
    <w:rsid w:val="00BF20D2"/>
    <w:rsid w:val="00BF517C"/>
    <w:rsid w:val="00C20954"/>
    <w:rsid w:val="00C23324"/>
    <w:rsid w:val="00C326E3"/>
    <w:rsid w:val="00C34BCB"/>
    <w:rsid w:val="00C42A41"/>
    <w:rsid w:val="00C47E74"/>
    <w:rsid w:val="00C57A72"/>
    <w:rsid w:val="00C6436A"/>
    <w:rsid w:val="00C72F81"/>
    <w:rsid w:val="00C73602"/>
    <w:rsid w:val="00CB0189"/>
    <w:rsid w:val="00CD36CB"/>
    <w:rsid w:val="00CE014B"/>
    <w:rsid w:val="00CF1B18"/>
    <w:rsid w:val="00CF60C8"/>
    <w:rsid w:val="00D30DE2"/>
    <w:rsid w:val="00D32924"/>
    <w:rsid w:val="00D503A3"/>
    <w:rsid w:val="00D548BB"/>
    <w:rsid w:val="00D55785"/>
    <w:rsid w:val="00D84F8F"/>
    <w:rsid w:val="00D932A1"/>
    <w:rsid w:val="00D97385"/>
    <w:rsid w:val="00DA04EE"/>
    <w:rsid w:val="00DA6ED0"/>
    <w:rsid w:val="00DB004B"/>
    <w:rsid w:val="00DC5011"/>
    <w:rsid w:val="00E12DA0"/>
    <w:rsid w:val="00E1319E"/>
    <w:rsid w:val="00E171B6"/>
    <w:rsid w:val="00E61780"/>
    <w:rsid w:val="00E72695"/>
    <w:rsid w:val="00EB1753"/>
    <w:rsid w:val="00EB6CFF"/>
    <w:rsid w:val="00ED2CA8"/>
    <w:rsid w:val="00EE3996"/>
    <w:rsid w:val="00F01F68"/>
    <w:rsid w:val="00F07062"/>
    <w:rsid w:val="00F17F65"/>
    <w:rsid w:val="00F23CFC"/>
    <w:rsid w:val="00F258E8"/>
    <w:rsid w:val="00F433E2"/>
    <w:rsid w:val="00F71CCF"/>
    <w:rsid w:val="00F818C7"/>
    <w:rsid w:val="00F904AE"/>
    <w:rsid w:val="00F934F8"/>
    <w:rsid w:val="00FB52FE"/>
    <w:rsid w:val="00FB5B7B"/>
    <w:rsid w:val="00FC0A34"/>
    <w:rsid w:val="00FD1D3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B4E2B"/>
  <w15:chartTrackingRefBased/>
  <w15:docId w15:val="{C0390256-89EC-4F28-861B-85F65CFE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E5A"/>
    <w:rPr>
      <w:rFonts w:ascii="Arial" w:hAnsi="Arial"/>
      <w:b/>
      <w:kern w:val="28"/>
      <w:sz w:val="28"/>
    </w:rPr>
  </w:style>
  <w:style w:type="character" w:customStyle="1" w:styleId="Heading2Char">
    <w:name w:val="Heading 2 Char"/>
    <w:basedOn w:val="DefaultParagraphFont"/>
    <w:link w:val="Heading2"/>
    <w:semiHidden/>
    <w:rsid w:val="00865E5A"/>
    <w:rPr>
      <w:rFonts w:ascii="Arial" w:hAnsi="Arial"/>
      <w:b/>
      <w:i/>
      <w:sz w:val="24"/>
    </w:rPr>
  </w:style>
  <w:style w:type="character" w:customStyle="1" w:styleId="Heading3Char">
    <w:name w:val="Heading 3 Char"/>
    <w:basedOn w:val="DefaultParagraphFont"/>
    <w:link w:val="Heading3"/>
    <w:semiHidden/>
    <w:rsid w:val="00865E5A"/>
    <w:rPr>
      <w:rFonts w:ascii="Arial" w:hAnsi="Arial"/>
      <w:sz w:val="24"/>
    </w:rPr>
  </w:style>
  <w:style w:type="character" w:customStyle="1" w:styleId="Heading4Char">
    <w:name w:val="Heading 4 Char"/>
    <w:basedOn w:val="DefaultParagraphFont"/>
    <w:link w:val="Heading4"/>
    <w:semiHidden/>
    <w:rsid w:val="00865E5A"/>
    <w:rPr>
      <w:rFonts w:ascii="Arial" w:hAnsi="Arial"/>
      <w:b/>
      <w:sz w:val="24"/>
    </w:rPr>
  </w:style>
  <w:style w:type="character" w:customStyle="1" w:styleId="Heading5Char">
    <w:name w:val="Heading 5 Char"/>
    <w:basedOn w:val="DefaultParagraphFont"/>
    <w:link w:val="Heading5"/>
    <w:semiHidden/>
    <w:rsid w:val="00865E5A"/>
    <w:rPr>
      <w:sz w:val="22"/>
    </w:rPr>
  </w:style>
  <w:style w:type="character" w:customStyle="1" w:styleId="Heading6Char">
    <w:name w:val="Heading 6 Char"/>
    <w:basedOn w:val="DefaultParagraphFont"/>
    <w:link w:val="Heading6"/>
    <w:semiHidden/>
    <w:rsid w:val="00865E5A"/>
    <w:rPr>
      <w:i/>
      <w:sz w:val="22"/>
    </w:rPr>
  </w:style>
  <w:style w:type="character" w:customStyle="1" w:styleId="Heading7Char">
    <w:name w:val="Heading 7 Char"/>
    <w:basedOn w:val="DefaultParagraphFont"/>
    <w:link w:val="Heading7"/>
    <w:semiHidden/>
    <w:rsid w:val="00865E5A"/>
    <w:rPr>
      <w:rFonts w:ascii="Arial" w:hAnsi="Arial"/>
      <w:sz w:val="24"/>
    </w:rPr>
  </w:style>
  <w:style w:type="character" w:customStyle="1" w:styleId="Heading8Char">
    <w:name w:val="Heading 8 Char"/>
    <w:basedOn w:val="DefaultParagraphFont"/>
    <w:link w:val="Heading8"/>
    <w:semiHidden/>
    <w:rsid w:val="00865E5A"/>
    <w:rPr>
      <w:rFonts w:ascii="Arial" w:hAnsi="Arial"/>
      <w:i/>
      <w:sz w:val="24"/>
    </w:rPr>
  </w:style>
  <w:style w:type="character" w:customStyle="1" w:styleId="Heading9Char">
    <w:name w:val="Heading 9 Char"/>
    <w:basedOn w:val="DefaultParagraphFont"/>
    <w:link w:val="Heading9"/>
    <w:semiHidden/>
    <w:rsid w:val="00865E5A"/>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72F81"/>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A78B1"/>
    <w:pPr>
      <w:tabs>
        <w:tab w:val="right" w:pos="454"/>
        <w:tab w:val="left" w:pos="737"/>
      </w:tabs>
      <w:ind w:left="737" w:hanging="737"/>
    </w:pPr>
    <w:rPr>
      <w:snapToGrid w:val="0"/>
      <w:sz w:val="18"/>
      <w:lang w:eastAsia="en-US"/>
    </w:rPr>
  </w:style>
  <w:style w:type="paragraph" w:customStyle="1" w:styleId="Lgendetitre">
    <w:name w:val="Légende titre"/>
    <w:basedOn w:val="Normal"/>
    <w:rsid w:val="003A78B1"/>
    <w:pPr>
      <w:spacing w:before="240" w:after="240"/>
    </w:pPr>
    <w:rPr>
      <w:b/>
      <w:i/>
      <w:snapToGrid w:val="0"/>
      <w:lang w:eastAsia="en-US"/>
    </w:rPr>
  </w:style>
  <w:style w:type="paragraph" w:customStyle="1" w:styleId="Lgendestandard">
    <w:name w:val="Légende standard"/>
    <w:basedOn w:val="Normal"/>
    <w:rsid w:val="003A78B1"/>
    <w:rPr>
      <w:sz w:val="18"/>
    </w:rPr>
  </w:style>
  <w:style w:type="character" w:customStyle="1" w:styleId="FooterChar">
    <w:name w:val="Footer Char"/>
    <w:basedOn w:val="DefaultParagraphFont"/>
    <w:link w:val="Footer"/>
    <w:rsid w:val="00C72F81"/>
    <w:rPr>
      <w:sz w:val="22"/>
    </w:rPr>
  </w:style>
  <w:style w:type="paragraph" w:styleId="Footer">
    <w:name w:val="footer"/>
    <w:link w:val="FooterChar"/>
    <w:unhideWhenUsed/>
    <w:rsid w:val="00C72F8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72F81"/>
    <w:rPr>
      <w:noProof/>
      <w:sz w:val="24"/>
    </w:rPr>
  </w:style>
  <w:style w:type="paragraph" w:customStyle="1" w:styleId="Normal12">
    <w:name w:val="Normal12"/>
    <w:basedOn w:val="Normal"/>
    <w:link w:val="Normal12Char"/>
    <w:rsid w:val="00C72F81"/>
    <w:pPr>
      <w:spacing w:after="240"/>
    </w:pPr>
    <w:rPr>
      <w:noProof/>
    </w:rPr>
  </w:style>
  <w:style w:type="character" w:customStyle="1" w:styleId="Normal6Char">
    <w:name w:val="Normal6 Char"/>
    <w:basedOn w:val="DefaultParagraphFont"/>
    <w:link w:val="Normal6"/>
    <w:locked/>
    <w:rsid w:val="00C72F81"/>
    <w:rPr>
      <w:sz w:val="24"/>
      <w:lang w:val="pl-PL"/>
    </w:rPr>
  </w:style>
  <w:style w:type="paragraph" w:customStyle="1" w:styleId="Normal6">
    <w:name w:val="Normal6"/>
    <w:basedOn w:val="Normal"/>
    <w:link w:val="Normal6Char"/>
    <w:rsid w:val="00C72F81"/>
    <w:pPr>
      <w:spacing w:after="120"/>
    </w:pPr>
  </w:style>
  <w:style w:type="paragraph" w:customStyle="1" w:styleId="Normal12Italic">
    <w:name w:val="Normal12Italic"/>
    <w:basedOn w:val="Normal12"/>
    <w:rsid w:val="00C72F81"/>
    <w:rPr>
      <w:i/>
    </w:rPr>
  </w:style>
  <w:style w:type="paragraph" w:customStyle="1" w:styleId="Footer2">
    <w:name w:val="Footer2"/>
    <w:basedOn w:val="Normal12"/>
    <w:rsid w:val="00C72F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2F81"/>
    <w:pPr>
      <w:jc w:val="center"/>
    </w:pPr>
    <w:rPr>
      <w:noProof w:val="0"/>
      <w:sz w:val="56"/>
    </w:rPr>
  </w:style>
  <w:style w:type="paragraph" w:customStyle="1" w:styleId="AMNumberTabs0">
    <w:name w:val="AMNumberTabs"/>
    <w:basedOn w:val="Normal"/>
    <w:rsid w:val="00C72F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2F81"/>
    <w:pPr>
      <w:spacing w:after="240"/>
      <w:jc w:val="center"/>
    </w:pPr>
    <w:rPr>
      <w:i/>
    </w:rPr>
  </w:style>
  <w:style w:type="paragraph" w:customStyle="1" w:styleId="Olang">
    <w:name w:val="Olang"/>
    <w:basedOn w:val="Normal"/>
    <w:rsid w:val="00C72F81"/>
    <w:pPr>
      <w:spacing w:before="240" w:after="240"/>
      <w:jc w:val="right"/>
    </w:pPr>
    <w:rPr>
      <w:noProof/>
      <w:szCs w:val="24"/>
    </w:rPr>
  </w:style>
  <w:style w:type="paragraph" w:customStyle="1" w:styleId="JustificationTitle">
    <w:name w:val="JustificationTitle"/>
    <w:basedOn w:val="Normal"/>
    <w:next w:val="Normal12"/>
    <w:rsid w:val="00C72F81"/>
    <w:pPr>
      <w:keepNext/>
      <w:spacing w:before="240" w:after="240"/>
      <w:jc w:val="center"/>
    </w:pPr>
    <w:rPr>
      <w:i/>
      <w:noProof/>
    </w:rPr>
  </w:style>
  <w:style w:type="paragraph" w:customStyle="1" w:styleId="Normal24a">
    <w:name w:val="Normal24a"/>
    <w:basedOn w:val="Normal"/>
    <w:rsid w:val="00D548BB"/>
    <w:pPr>
      <w:spacing w:after="480"/>
    </w:pPr>
  </w:style>
  <w:style w:type="paragraph" w:customStyle="1" w:styleId="NormalBoldCenter">
    <w:name w:val="NormalBoldCenter"/>
    <w:basedOn w:val="Normal"/>
    <w:rsid w:val="00D548BB"/>
    <w:pPr>
      <w:jc w:val="center"/>
    </w:pPr>
    <w:rPr>
      <w:b/>
    </w:rPr>
  </w:style>
  <w:style w:type="paragraph" w:customStyle="1" w:styleId="Footprint12b">
    <w:name w:val="Footprint12b"/>
    <w:basedOn w:val="Normal"/>
    <w:rsid w:val="00D548BB"/>
    <w:pPr>
      <w:spacing w:before="240"/>
    </w:pPr>
    <w:rPr>
      <w:szCs w:val="24"/>
    </w:rPr>
  </w:style>
  <w:style w:type="paragraph" w:customStyle="1" w:styleId="NormalSingle">
    <w:name w:val="NormalSingle"/>
    <w:basedOn w:val="Normal"/>
    <w:qFormat/>
    <w:rsid w:val="00D548BB"/>
    <w:rPr>
      <w:szCs w:val="24"/>
    </w:rPr>
  </w:style>
  <w:style w:type="character" w:styleId="Hyperlink">
    <w:name w:val="Hyperlink"/>
    <w:basedOn w:val="DefaultParagraphFont"/>
    <w:rsid w:val="003D6F81"/>
    <w:rPr>
      <w:color w:val="0563C1" w:themeColor="hyperlink"/>
      <w:u w:val="single"/>
    </w:rPr>
  </w:style>
  <w:style w:type="paragraph" w:customStyle="1" w:styleId="TableParagraph">
    <w:name w:val="Table Paragraph"/>
    <w:basedOn w:val="Normal"/>
    <w:uiPriority w:val="1"/>
    <w:qFormat/>
    <w:rsid w:val="00873C87"/>
    <w:pPr>
      <w:spacing w:line="256" w:lineRule="auto"/>
    </w:pPr>
    <w:rPr>
      <w:sz w:val="22"/>
      <w:szCs w:val="22"/>
      <w:lang w:eastAsia="en-US"/>
    </w:rPr>
  </w:style>
  <w:style w:type="paragraph" w:customStyle="1" w:styleId="NormalCentered">
    <w:name w:val="Normal Centered"/>
    <w:basedOn w:val="Normal"/>
    <w:rsid w:val="0096324F"/>
    <w:pPr>
      <w:widowControl/>
      <w:spacing w:before="120" w:after="120"/>
      <w:jc w:val="center"/>
    </w:pPr>
    <w:rPr>
      <w:rFonts w:eastAsiaTheme="minorHAnsi"/>
      <w:szCs w:val="22"/>
      <w:lang w:eastAsia="en-US"/>
    </w:rPr>
  </w:style>
  <w:style w:type="table" w:customStyle="1" w:styleId="TableGrid0">
    <w:name w:val="TableGrid"/>
    <w:rsid w:val="0096324F"/>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F818C7"/>
  </w:style>
  <w:style w:type="character" w:styleId="FollowedHyperlink">
    <w:name w:val="FollowedHyperlink"/>
    <w:basedOn w:val="DefaultParagraphFont"/>
    <w:uiPriority w:val="99"/>
    <w:unhideWhenUsed/>
    <w:rsid w:val="00C6436A"/>
    <w:rPr>
      <w:color w:val="954F72" w:themeColor="followedHyperlink"/>
      <w:u w:val="single"/>
    </w:rPr>
  </w:style>
  <w:style w:type="paragraph" w:customStyle="1" w:styleId="msonormal0">
    <w:name w:val="msonormal"/>
    <w:basedOn w:val="Normal"/>
    <w:rsid w:val="00C6436A"/>
    <w:pPr>
      <w:widowControl/>
      <w:spacing w:before="100" w:beforeAutospacing="1" w:after="100" w:afterAutospacing="1"/>
    </w:pPr>
    <w:rPr>
      <w:szCs w:val="24"/>
    </w:rPr>
  </w:style>
  <w:style w:type="character" w:customStyle="1" w:styleId="FooterChar1">
    <w:name w:val="Footer Char1"/>
    <w:basedOn w:val="DefaultParagraphFont"/>
    <w:semiHidden/>
    <w:rsid w:val="00C6436A"/>
    <w:rPr>
      <w:sz w:val="24"/>
    </w:rPr>
  </w:style>
  <w:style w:type="paragraph" w:styleId="FootnoteText">
    <w:name w:val="footnote text"/>
    <w:basedOn w:val="Normal"/>
    <w:link w:val="FootnoteTextChar"/>
    <w:rsid w:val="00857E18"/>
    <w:rPr>
      <w:sz w:val="20"/>
    </w:rPr>
  </w:style>
  <w:style w:type="character" w:customStyle="1" w:styleId="FootnoteTextChar">
    <w:name w:val="Footnote Text Char"/>
    <w:basedOn w:val="DefaultParagraphFont"/>
    <w:link w:val="FootnoteText"/>
    <w:rsid w:val="00857E18"/>
  </w:style>
  <w:style w:type="character" w:styleId="FootnoteReference">
    <w:name w:val="footnote reference"/>
    <w:basedOn w:val="DefaultParagraphFont"/>
    <w:rsid w:val="00857E18"/>
    <w:rPr>
      <w:vertAlign w:val="superscript"/>
    </w:rPr>
  </w:style>
  <w:style w:type="paragraph" w:styleId="BalloonText">
    <w:name w:val="Balloon Text"/>
    <w:basedOn w:val="Normal"/>
    <w:link w:val="BalloonTextChar"/>
    <w:semiHidden/>
    <w:unhideWhenUsed/>
    <w:rsid w:val="003F71E4"/>
    <w:rPr>
      <w:rFonts w:ascii="Segoe UI" w:hAnsi="Segoe UI" w:cs="Segoe UI"/>
      <w:sz w:val="18"/>
      <w:szCs w:val="18"/>
    </w:rPr>
  </w:style>
  <w:style w:type="character" w:customStyle="1" w:styleId="BalloonTextChar">
    <w:name w:val="Balloon Text Char"/>
    <w:basedOn w:val="DefaultParagraphFont"/>
    <w:link w:val="BalloonText"/>
    <w:semiHidden/>
    <w:rsid w:val="003F71E4"/>
    <w:rPr>
      <w:rFonts w:ascii="Segoe UI" w:hAnsi="Segoe UI" w:cs="Segoe UI"/>
      <w:sz w:val="18"/>
      <w:szCs w:val="18"/>
    </w:rPr>
  </w:style>
  <w:style w:type="character" w:styleId="CommentReference">
    <w:name w:val="annotation reference"/>
    <w:basedOn w:val="DefaultParagraphFont"/>
    <w:rsid w:val="00C326E3"/>
    <w:rPr>
      <w:sz w:val="16"/>
      <w:szCs w:val="16"/>
    </w:rPr>
  </w:style>
  <w:style w:type="paragraph" w:styleId="CommentText">
    <w:name w:val="annotation text"/>
    <w:basedOn w:val="Normal"/>
    <w:link w:val="CommentTextChar"/>
    <w:rsid w:val="00C326E3"/>
    <w:rPr>
      <w:sz w:val="20"/>
    </w:rPr>
  </w:style>
  <w:style w:type="character" w:customStyle="1" w:styleId="CommentTextChar">
    <w:name w:val="Comment Text Char"/>
    <w:basedOn w:val="DefaultParagraphFont"/>
    <w:link w:val="CommentText"/>
    <w:rsid w:val="00C326E3"/>
  </w:style>
  <w:style w:type="paragraph" w:styleId="CommentSubject">
    <w:name w:val="annotation subject"/>
    <w:basedOn w:val="CommentText"/>
    <w:next w:val="CommentText"/>
    <w:link w:val="CommentSubjectChar"/>
    <w:semiHidden/>
    <w:unhideWhenUsed/>
    <w:rsid w:val="00C326E3"/>
    <w:rPr>
      <w:b/>
      <w:bCs/>
    </w:rPr>
  </w:style>
  <w:style w:type="character" w:customStyle="1" w:styleId="CommentSubjectChar">
    <w:name w:val="Comment Subject Char"/>
    <w:basedOn w:val="CommentTextChar"/>
    <w:link w:val="CommentSubject"/>
    <w:semiHidden/>
    <w:rsid w:val="00C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47006-7B7C-47BB-A696-3DD8BD18B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98</Pages>
  <Words>19286</Words>
  <Characters>127096</Characters>
  <Application>Microsoft Office Word</Application>
  <DocSecurity>0</DocSecurity>
  <Lines>5525</Lines>
  <Paragraphs>2439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NENICKOVA Sylvia</dc:creator>
  <cp:lastModifiedBy>WIERTLEWSKA Maria</cp:lastModifiedBy>
  <cp:revision>2</cp:revision>
  <cp:lastPrinted>2004-11-04T09:41:00Z</cp:lastPrinted>
  <dcterms:created xsi:type="dcterms:W3CDTF">2025-03-11T14:33:00Z</dcterms:created>
  <dcterms:modified xsi:type="dcterms:W3CDTF">2025-03-11T14:33:00Z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[20241115]</vt:lpwstr>
  </property>
  <property fmtid="{D5CDD505-2E9C-101B-9397-08002B2CF9AE}" pid="9" name="FooterPath">
    <vt:lpwstr>PR\1309819PL.docx</vt:lpwstr>
  </property>
  <property fmtid="{D5CDD505-2E9C-101B-9397-08002B2CF9AE}" pid="10" name="LastEdited with">
    <vt:lpwstr>10.0.1 Build [20250114]</vt:lpwstr>
  </property>
  <property fmtid="{D5CDD505-2E9C-101B-9397-08002B2CF9AE}" pid="11" name="PE number">
    <vt:lpwstr>765.292</vt:lpwstr>
  </property>
  <property fmtid="{D5CDD505-2E9C-101B-9397-08002B2CF9AE}" pid="12" name="SDLStudio">
    <vt:lpwstr/>
  </property>
  <property fmtid="{D5CDD505-2E9C-101B-9397-08002B2CF9AE}" pid="13" name="SendToEpades">
    <vt:lpwstr>OK(AMNUM) - 2025/02/25 14:46</vt:lpwstr>
  </property>
  <property fmtid="{D5CDD505-2E9C-101B-9397-08002B2CF9AE}" pid="14" name="Bookout">
    <vt:lpwstr>OK - 2025/03/11 15:32</vt:lpwstr>
  </property>
</Properties>
</file>