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1.0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Evropský parlament</w:t>
            </w:r>
          </w:p>
          <w:p>
            <w:pPr>
              <w:pStyle w:val="EPTerm"/>
            </w:pPr>
            <w:r>
              <w:t>2024-2029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Výbor pro rybolov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2025/2011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22/04/2025</w:t>
      </w:r>
      <w:r>
        <w:rPr>
          <w:rStyle w:val="HideTWBInt"/>
        </w:rPr>
        <w:t>}</w:t>
      </w:r>
      <w:r>
        <w:t>22.4.2025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NÁVRH ZPRÁVY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o přístupech k řízení rybolovu zaměřených na ochranu citlivých druhů a boj proti invazivním druhům a přínos pro místní hospodářství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(2025/2011(INI))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Výbor pro rybolov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Zpravodaj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André Rodrigues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VYSVĚTLUJÍCÍ PROHLÁŠENÍ</w:t>
      </w:r>
      <w:r>
        <w:tab/>
      </w:r>
      <w:r>
        <w:fldChar w:fldCharType="begin"/>
      </w:r>
      <w:r>
        <w:instrText xml:space="preserve"> PAGEREF _Toc256000004 \h </w:instrText>
      </w:r>
      <w:r>
        <w:fldChar w:fldCharType="separate"/>
      </w:r>
      <w:r>
        <w:t>7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PŘÍLOHA: SUBJEKTY NEBO OSOBY, OD NICHŽ ZPRAVODAJ OBDRŽEL PODNĚTY</w:t>
      </w:r>
      <w:r>
        <w:tab/>
      </w:r>
      <w:r>
        <w:fldChar w:fldCharType="begin"/>
      </w:r>
      <w:r>
        <w:instrText xml:space="preserve"> PAGEREF _Toc256000005 \h </w:instrText>
      </w:r>
      <w:r>
        <w:fldChar w:fldCharType="separate"/>
      </w:r>
      <w:r>
        <w:t>9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PageHeading"/>
      </w:pPr>
      <w:r>
        <w:br w:type="page"/>
      </w:r>
      <w:bookmarkStart w:id="0" w:name="_Toc256000003"/>
      <w:r>
        <w:t>NÁVRH USNESENÍ EVROPSKÉHO PARLAMENTU</w:t>
      </w:r>
      <w:bookmarkEnd w:id="0"/>
    </w:p>
    <w:p>
      <w:pPr>
        <w:pStyle w:val="NormalBold"/>
      </w:pPr>
      <w:r>
        <w:t>o přístupech k řízení rybolovu zaměřených na ochranu citlivých druhů a boj proti invazivním druhům a přínos pro místní hospodářství</w:t>
      </w:r>
    </w:p>
    <w:p>
      <w:pPr>
        <w:pStyle w:val="NormalBold"/>
      </w:pPr>
      <w:r>
        <w:t>(2025/2011(INI))</w:t>
      </w:r>
    </w:p>
    <w:p>
      <w:pPr>
        <w:pStyle w:val="EPComma"/>
      </w:pPr>
      <w:r>
        <w:rPr>
          <w:rStyle w:val="Italic"/>
        </w:rPr>
        <w:t>Evropský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Smlouvu o fungování Evropské unie, a zejména na článek 43 této smlouvy,</w:t>
      </w:r>
    </w:p>
    <w:p>
      <w:pPr>
        <w:pStyle w:val="NormalHanging12a"/>
      </w:pPr>
      <w:r>
        <w:t>–</w:t>
      </w:r>
      <w:r>
        <w:tab/>
      </w:r>
      <w:r>
        <w:t xml:space="preserve">s ohledem na nařízení </w:t>
      </w:r>
      <w:r>
        <w:t>Evropského parlamentu</w:t>
      </w:r>
      <w:r>
        <w:t xml:space="preserve"> a Rady (EU) č. 1380/2013 ze dne 11. prosince 2013 o společné rybářské politice (SRP)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nařízení Rady (ES) č. 1224/2009 ze dne 20. listopadu 2009 o zavedení kontrolního režimu Společenství k zajištění dodržování pravidel společné rybářské politiky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s ohledem na nařízení </w:t>
      </w:r>
      <w:r>
        <w:t>Evropského parlamentu</w:t>
      </w:r>
      <w:r>
        <w:t xml:space="preserve"> a Rady (EU) č. 1143/2014 ze dne 22. října 2014 o prevenci a regulaci zavlékání či vysazování a šíření invazních a nepůvodních druhů</w:t>
      </w:r>
      <w:r>
        <w:rPr>
          <w:rStyle w:val="FootnoteReference"/>
        </w:rPr>
        <w:footnoteReference w:id="4"/>
      </w:r>
      <w:r>
        <w:t xml:space="preserve"> (nařízení o invazních nepůvodních druzích),</w:t>
      </w:r>
    </w:p>
    <w:p>
      <w:pPr>
        <w:pStyle w:val="NormalHanging12a"/>
      </w:pPr>
      <w:r>
        <w:t>–</w:t>
      </w:r>
      <w:r>
        <w:tab/>
      </w:r>
      <w:r>
        <w:t>s ohledem na Mezinárodní úmluvu o kontrole a řízení lodní zátěžové vody a usazenin,</w:t>
      </w:r>
    </w:p>
    <w:p>
      <w:pPr>
        <w:pStyle w:val="NormalHanging12a"/>
      </w:pPr>
      <w:r>
        <w:t>–</w:t>
      </w:r>
      <w:r>
        <w:tab/>
      </w:r>
      <w:r>
        <w:t>s ohledem na článek 55 jednacího řádu,</w:t>
      </w:r>
    </w:p>
    <w:p>
      <w:pPr>
        <w:pStyle w:val="NormalHanging12a"/>
      </w:pPr>
      <w:r>
        <w:t>–</w:t>
      </w:r>
      <w:r>
        <w:tab/>
      </w:r>
      <w:r>
        <w:t>s ohledem na zprávu Výboru pro rybolov (A10-0000/2025),</w:t>
      </w:r>
    </w:p>
    <w:p>
      <w:pPr>
        <w:pStyle w:val="NormalHanging12a"/>
      </w:pPr>
      <w:r>
        <w:t>A.</w:t>
      </w:r>
      <w:r>
        <w:tab/>
      </w:r>
      <w:r>
        <w:t>vzhledem k tomu, že EU již dlouho uznává význam udržitelného rybolovu a přístupů k řízení rybolovu pro zachování mořské biologické rozmanitosti, ochranu citlivých druhů, podporu místních ekonomik a zajištění potravinové zabezpečení;</w:t>
      </w:r>
    </w:p>
    <w:p>
      <w:pPr>
        <w:pStyle w:val="NormalHanging12a"/>
      </w:pPr>
      <w:r>
        <w:t>B.</w:t>
      </w:r>
      <w:r>
        <w:tab/>
      </w:r>
      <w:r>
        <w:t>vzhledem k tomu, že invazní nepůvodní druhy jsou jednou z příčin úbytku biologické rozmanitosti, mají negativní dopad na rybolov a akvakulturu a na ekosystémové funkce a mohou být škodlivé pro lidské zdraví a biologickou bezpečnost;</w:t>
      </w:r>
    </w:p>
    <w:p>
      <w:pPr>
        <w:pStyle w:val="NormalHanging12a"/>
      </w:pPr>
      <w:r>
        <w:t>C.</w:t>
      </w:r>
      <w:r>
        <w:tab/>
      </w:r>
      <w:r>
        <w:t>vzhledem k tomu, že EU přijala několik opatření k mapování a potírání šíření invazních nepůvodních druhů, zejména nařízení o invazních nepůvodních druzích, kterým se stanoví seznam druhů vzbuzujících obavy Unie a prosazují kontrolní opatření;</w:t>
      </w:r>
    </w:p>
    <w:p>
      <w:pPr>
        <w:pStyle w:val="NormalHanging12a"/>
      </w:pPr>
      <w:r>
        <w:t>D.</w:t>
      </w:r>
      <w:r>
        <w:tab/>
      </w:r>
      <w:r>
        <w:t>vzhledem k tomu, že Evropská síť pro informace o nepůvodních druzích (EASIN) v současné době v různých prostředích monitoruje 12 423 nepůvodních druhů, z nichž 1 440 (11,6 %) jsou mořské druhy; vzhledem k tomu, že od roku 2019 je 53 % evropského mořského pobřeží vystaveno tlaku invazivních nepůvodních druhů, přičemž existují značné regionální rozdíly: 33 % v Baltském moři, 100 % v Černém moři, 98 % ve Středozemním moři a 25 % v severovýchodním Atlantiku;</w:t>
      </w:r>
    </w:p>
    <w:p>
      <w:pPr>
        <w:pStyle w:val="NormalHanging12a"/>
      </w:pPr>
      <w:r>
        <w:t>E.</w:t>
      </w:r>
      <w:r>
        <w:tab/>
      </w:r>
      <w:r>
        <w:t>vzhledem k tomu, že změna klimatu, zejména oteplování oceánů, a zvýšený pohyb zboží a osob jsou klíčovými vektory pro zavlečení invazních nepůvodních druhů a mohou zesílit jejich dopad na citlivé druhy, ekosystémy, a v důsledku toho i na rybolovné činnosti;</w:t>
      </w:r>
    </w:p>
    <w:p>
      <w:pPr>
        <w:pStyle w:val="NormalHanging12a"/>
      </w:pPr>
      <w:r>
        <w:t>F.</w:t>
      </w:r>
      <w:r>
        <w:tab/>
      </w:r>
      <w:r>
        <w:t>vzhledem k tomu, že boj proti invazivním nepůvodním druhům vyžaduje také důrazná mezinárodní opatření; vzhledem k tomu, že Úmluva o biologické rozmanitosti uznává, že invazivní nepůvodní druhy jsou průřezovým problémem a že celosvětový rámec pro biologickou rozmanitost z Kchun-mingu a Montrealu si klade za cíl snížit do roku 2030 zavlékání a usazování invazních nepůvodních druhů alespoň o 50 %;</w:t>
      </w:r>
    </w:p>
    <w:p>
      <w:pPr>
        <w:pStyle w:val="Normal12a24b"/>
      </w:pPr>
      <w:r>
        <w:rPr>
          <w:rStyle w:val="BoldItalic"/>
        </w:rPr>
        <w:t>Citlivé druhy:</w:t>
      </w:r>
      <w:r>
        <w:rPr>
          <w:rStyle w:val="BoldItalic"/>
        </w:rPr>
        <w:t xml:space="preserve"> ukazatelé</w:t>
      </w:r>
      <w:r>
        <w:rPr>
          <w:rStyle w:val="BoldItalic"/>
        </w:rPr>
        <w:t xml:space="preserve"> odolnosti oceánů</w:t>
      </w:r>
    </w:p>
    <w:p>
      <w:pPr>
        <w:pStyle w:val="NormalHanging12a"/>
      </w:pPr>
      <w:r>
        <w:t>1.</w:t>
      </w:r>
      <w:r>
        <w:tab/>
      </w:r>
      <w:r>
        <w:t>zdůrazňuje jedinečnou úlohu citlivých druhů jako ukazatelů stavu mořských ekosystémů a environmentální, ekonomické a sociální přínosy plynoucí z jejich ochrany a zachování;</w:t>
      </w:r>
    </w:p>
    <w:p>
      <w:pPr>
        <w:pStyle w:val="NormalHanging12a"/>
      </w:pPr>
      <w:r>
        <w:t>2.</w:t>
      </w:r>
      <w:r>
        <w:tab/>
      </w:r>
      <w:r>
        <w:t>naléhavě vyzývá Komisi a členské státy, aby podporovaly přístupy k řízení rybolovu, které upřednostňují ochranu citlivých druhů, včetně řádného provádění cílů EU týkajících se chráněných mořských oblastí a posílení ochrany nejdůležitějších stanovišť;</w:t>
      </w:r>
    </w:p>
    <w:p>
      <w:pPr>
        <w:pStyle w:val="NormalHanging12a"/>
      </w:pPr>
      <w:r>
        <w:t>3.</w:t>
      </w:r>
      <w:r>
        <w:tab/>
      </w:r>
      <w:r>
        <w:t>vyzývá Komisi a členské státy, aby plně využívaly nástroje SRP, zejména technická opatření k řešení vzájemného působení rybolovu a posílení ochrany citlivých druhů;</w:t>
      </w:r>
    </w:p>
    <w:p>
      <w:pPr>
        <w:pStyle w:val="NormalHanging12a"/>
      </w:pPr>
      <w:r>
        <w:t>4.</w:t>
      </w:r>
      <w:r>
        <w:tab/>
      </w:r>
      <w:r>
        <w:t>připomíná význam údajů shromážděných v rámci SRP pro správné určení dopadu rybolovu na citlivé druhy;</w:t>
      </w:r>
    </w:p>
    <w:p>
      <w:pPr>
        <w:pStyle w:val="NormalHanging12a"/>
      </w:pPr>
      <w:r>
        <w:t>5.</w:t>
      </w:r>
      <w:r>
        <w:tab/>
      </w:r>
      <w:r>
        <w:t>zdůrazňuje, že je důležité posílit ochranu a obnovu citlivých druhů ve všech příslušných právních návrzích, a to i nad rámec těch, které se přímo týkají SRP;</w:t>
      </w:r>
    </w:p>
    <w:p>
      <w:pPr>
        <w:pStyle w:val="Normal12a24b"/>
      </w:pPr>
      <w:r>
        <w:rPr>
          <w:rStyle w:val="BoldItalic"/>
        </w:rPr>
        <w:t xml:space="preserve">Invazivní druhy: hrozby pro náš </w:t>
      </w:r>
      <w:r>
        <w:rPr>
          <w:rStyle w:val="BoldItalic"/>
        </w:rPr>
        <w:t>oceán</w:t>
      </w:r>
      <w:r>
        <w:rPr>
          <w:rStyle w:val="BoldItalic"/>
        </w:rPr>
        <w:t xml:space="preserve"> i hospodářství</w:t>
      </w:r>
    </w:p>
    <w:p>
      <w:pPr>
        <w:pStyle w:val="NormalHanging12a"/>
      </w:pPr>
      <w:r>
        <w:t>6.</w:t>
      </w:r>
      <w:r>
        <w:tab/>
      </w:r>
      <w:r>
        <w:t>vyzdvihuje, že invazní nepůvodní druhy ohrožují rybolov a akvakulturu, původní mořskou biologickou rozmanitost a ekosystémy, a tím ovlivňují příjmy rybářů a pobřežních komunit;</w:t>
      </w:r>
    </w:p>
    <w:p>
      <w:pPr>
        <w:pStyle w:val="NormalHanging12a"/>
      </w:pPr>
      <w:r>
        <w:t>7.</w:t>
      </w:r>
      <w:r>
        <w:tab/>
      </w:r>
      <w:r>
        <w:t>připomíná, že v EU je přísně regulováno 88 invazních nepůvodních druhů, včetně 47 živočišných druhů a 41 rostlinných druhů s významným dopadem na Unii;</w:t>
      </w:r>
    </w:p>
    <w:p>
      <w:pPr>
        <w:pStyle w:val="NormalHanging12a"/>
      </w:pPr>
      <w:r>
        <w:t>8.</w:t>
      </w:r>
      <w:r>
        <w:tab/>
      </w:r>
      <w:r>
        <w:t xml:space="preserve">lituje, že současný seznam druhů s významným dopadem na Unii neuznává plně hrozbu invazivních nepůvodních druhů pro rybolov, akvakulturu a mořské prostředí EU plně – v současné době jsou na seznamu pouze dva mořské druhy </w:t>
      </w:r>
      <w:r>
        <w:rPr>
          <w:rStyle w:val="Italic"/>
        </w:rPr>
        <w:t>(Plotosus lineatus</w:t>
      </w:r>
      <w:r>
        <w:t xml:space="preserve"> a </w:t>
      </w:r>
      <w:r>
        <w:rPr>
          <w:rStyle w:val="Italic"/>
        </w:rPr>
        <w:t>Rugulopteryx okamurae</w:t>
      </w:r>
      <w:r>
        <w:t>); vyzývá k jeho zlepšení na základě aktuálních vědeckých doporučení a posouzení rizik;</w:t>
      </w:r>
    </w:p>
    <w:p>
      <w:pPr>
        <w:pStyle w:val="NormalHanging12a"/>
      </w:pPr>
      <w:r>
        <w:t>9.</w:t>
      </w:r>
      <w:r>
        <w:tab/>
      </w:r>
      <w:r>
        <w:t>vyjadřuje politování nad nedostatkem specifických programů monitorování mořských invazních nepůvodních druhů a vyzývá ke zlepšení metod monitorování a harmonizaci ukazatelů v rámci EU a ke zvýšení technické a finanční podpory;</w:t>
      </w:r>
    </w:p>
    <w:p>
      <w:pPr>
        <w:pStyle w:val="NormalHanging12a"/>
      </w:pPr>
      <w:r>
        <w:t>10.</w:t>
      </w:r>
      <w:r>
        <w:tab/>
      </w:r>
      <w:r>
        <w:t>doporučuje stanovit metodiku pro prahové hodnoty i hodnoty pro všechny evropské mořské regiony a subregiony, a to s ohledem na dopad na rybolov, zvládnutelnost postupů a potřebu prosazovat úmluvu o řízení zátěžové vody a uplatňovat pokyny pro usazeniny z trupu lodí;</w:t>
      </w:r>
    </w:p>
    <w:p>
      <w:pPr>
        <w:pStyle w:val="NormalHanging12a"/>
      </w:pPr>
      <w:r>
        <w:t>11.</w:t>
      </w:r>
      <w:r>
        <w:tab/>
      </w:r>
      <w:r>
        <w:t>vyzdvihuje potenciální vazby mezi invazními nepůvodními druhy zavlečenými do suchozemských a sladkovodních ekosystémů a těmi v oceánech a mořích a jejich dopad na rybolov a akvakulturu; vyzývá Komisi, aby k tomuto problému vypracovala komplexní strategii;</w:t>
      </w:r>
    </w:p>
    <w:p>
      <w:pPr>
        <w:pStyle w:val="NormalHanging12a"/>
      </w:pPr>
      <w:r>
        <w:t>12.</w:t>
      </w:r>
      <w:r>
        <w:tab/>
      </w:r>
      <w:r>
        <w:t>zdůrazňuje, že pro účinný boj s mořskými nepůvodními druhy je absolutní prioritou holistický, preventivní a víceodvětvový přístup k řízení; vybízí členské státy, aby více využívaly mapování terénu a nové techniky, jako je eDNA, umělá inteligence a automatizované monitorování, a také rybáře, pobřežní komunity a občanskou vědu jako nástroje pro stanovení důležitosti nových, objevujících se a pro rybolov a akvakulturu vysoce rizikových invazivních nepůvodních druhů;</w:t>
      </w:r>
    </w:p>
    <w:p>
      <w:pPr>
        <w:pStyle w:val="NormalHanging12a"/>
      </w:pPr>
      <w:r>
        <w:t>13.</w:t>
      </w:r>
      <w:r>
        <w:tab/>
      </w:r>
      <w:r>
        <w:t>vyzývá členské státy, aby posílily komunikaci, koordinaci a spolupráci s cílem zavést opatření rychlé reakce pro včasné odhalení a rychlou eradikaci mořských invazních nepůvodních druhů a také pro řízení již velmi rozšířených druhů;</w:t>
      </w:r>
    </w:p>
    <w:p>
      <w:pPr>
        <w:pStyle w:val="NormalHanging12a"/>
      </w:pPr>
      <w:r>
        <w:t>14.</w:t>
      </w:r>
      <w:r>
        <w:tab/>
      </w:r>
      <w:r>
        <w:t>vyzdvihuje, že zejména Středozemní moře je kritickým místem, kde se vyskytuje více invazních nepůvodních druhů než v jakémkoli jiném moři na světě, což má významný dopad na odvětví rybolovu a akvakultury, a vyžaduje proto zvláštní pozornost;</w:t>
      </w:r>
    </w:p>
    <w:p>
      <w:pPr>
        <w:pStyle w:val="NormalHanging12a"/>
      </w:pPr>
      <w:r>
        <w:t>15.</w:t>
      </w:r>
      <w:r>
        <w:tab/>
      </w:r>
      <w:r>
        <w:t>vyzdvihuje význam systému hlášení v rámci sítě EASIN, a to zejména pro včasné a komplexní hlášení nových nálezů, eradikačních opatření a nálezů při úřední kontrole; vyzývá členské státy, aby systém posílily poskytováním dalších informací, zejména údajů o rozložení druhů, zejména s přispěním informací od rybářů;</w:t>
      </w:r>
    </w:p>
    <w:p>
      <w:pPr>
        <w:pStyle w:val="NormalHanging12a"/>
      </w:pPr>
      <w:r>
        <w:t>16.</w:t>
      </w:r>
      <w:r>
        <w:tab/>
      </w:r>
      <w:r>
        <w:t>připomíná mezinárodní rozměr invazivních nepůvodních druhů a navrhuje, aby EU v tomto ohledu posílila svou činnost prostřednictvím regionálních organizací pro řízení rybolovu, a to v kontextu Úmluvy o biologické rozmanitosti i celosvětového rámce pro biologickou rozmanitost z Kchun-mingu a Montrealu, a vyzývá EU, aby posílila spolupráci s ostatními zeměmi při sdílení znalostí a vzájemné učení;</w:t>
      </w:r>
    </w:p>
    <w:p>
      <w:pPr>
        <w:pStyle w:val="Normal12a24b"/>
      </w:pPr>
      <w:r>
        <w:rPr>
          <w:rStyle w:val="BoldItalic"/>
        </w:rPr>
        <w:t>Příležitosti a výzvy pro pobřežní komunity</w:t>
      </w:r>
    </w:p>
    <w:p>
      <w:pPr>
        <w:pStyle w:val="NormalHanging12a"/>
      </w:pPr>
      <w:r>
        <w:t>17.</w:t>
      </w:r>
      <w:r>
        <w:tab/>
      </w:r>
      <w:r>
        <w:t>zdůrazňuje, že invazivní nepůvodní druhy mají významný negativní dopad na rybolov, akvakulturu, pobřežní komunity a další hospodářské činnosti; považuje za zásadní zohlednit i jejich širší sociální, ekonomické a kulturní důsledky nad rámec ztráty biologické rozmanitosti a dopady na ekosystémy, aby bylo možné účinně předcházet novým invazím a provádět úspěšná opatření na jejich zmírnění;</w:t>
      </w:r>
    </w:p>
    <w:p>
      <w:pPr>
        <w:pStyle w:val="NormalHanging12a"/>
      </w:pPr>
      <w:r>
        <w:t>18.</w:t>
      </w:r>
      <w:r>
        <w:tab/>
      </w:r>
      <w:r>
        <w:t>vyzývá k rozvoji osvětových kampaní s cílem informovat a zapojit rybáře, zúčastněné strany v odvětví rybolovu i širokou veřejnost o zavlékání, zjišťování i dopadech invazivních nepůvodních druhů;</w:t>
      </w:r>
    </w:p>
    <w:p>
      <w:pPr>
        <w:pStyle w:val="NormalHanging12a"/>
      </w:pPr>
      <w:r>
        <w:t>19.</w:t>
      </w:r>
      <w:r>
        <w:tab/>
      </w:r>
      <w:r>
        <w:t>požaduje finanční podporu na ochranu mořských ekosystémů a zachování citlivých druhů, jakož i na systémy pro informování o invazivních nepůvodních druzích, jejich monitorování a včasné varování před nimi na regionální a vnitrostátní úrovni i na úrovni EU, a to s ohledem na pozitivní dopad na rybolov a zachování biologické rozmanitosti;</w:t>
      </w:r>
    </w:p>
    <w:p>
      <w:pPr>
        <w:pStyle w:val="NormalHanging12a"/>
      </w:pPr>
      <w:r>
        <w:t>20.</w:t>
      </w:r>
      <w:r>
        <w:tab/>
      </w:r>
      <w:r>
        <w:t>připomíná Komisi, že nejvzdálenější regiony slouží jako důležité „bezpečné přístavy“ pro citlivé mořské druhy a zároveň jsou, pokud jde o invazivní nepůvodní druhy, velmi zranitelné; vyzývá k uznání významu ochrany těchto citlivých druhů a boje proti invazivním nepůvodním druhům v těchto regionech a zdůrazňuje potenciál udržitelného ekoturismu jako prostředku ochrany mořských ekosystémů a zároveň přímého přínosu pro odvětví rybolovu a akvakultury;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21.</w:t>
      </w:r>
      <w:r>
        <w:tab/>
      </w:r>
      <w:r>
        <w:t>pověřuje svou předsedkyni, aby předala toto usnesení Radě a Komisi.</w:t>
      </w:r>
    </w:p>
    <w:p>
      <w:pPr>
        <w:pStyle w:val="NormalHanging12a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</w:p>
    <w:p>
      <w:pPr>
        <w:pStyle w:val="PageHeading"/>
      </w:pPr>
      <w:bookmarkStart w:id="1" w:name="_Toc256000004"/>
      <w:r>
        <w:t>VYSVĚTLUJÍCÍ PROHLÁŠENÍ</w:t>
      </w:r>
      <w:bookmarkEnd w:id="1"/>
    </w:p>
    <w:p>
      <w:pPr>
        <w:pStyle w:val="Normal12a"/>
      </w:pPr>
      <w:r>
        <w:t>Tato zpráva se zabývá zásadními a vzájemně propojenými problémy ochrany citlivých mořských druhů, řešením rostoucí hrozby invazních nepůvodních druhů a zajištěním toho, aby toto úsilí přinášelo prospěch pro místní ekonomiky, zejména v odvětví rybolovu a akvakultury.</w:t>
      </w:r>
    </w:p>
    <w:p>
      <w:pPr>
        <w:pStyle w:val="Normal12a"/>
      </w:pPr>
      <w:r>
        <w:t>Kromě dlouhodobého závazku Evropské unie k udržitelnému řízení rybolovu a jeho úlohy při zachování mořské biologické rozmanitosti, ochraně zranitelných druhů, podpoře pobřežních komunit a zaručení potravinového zabezpečení také konstatuje, že pokud jde o mořské invazní nepůvodní druhy, je k dispozici podstatně méně údajů o jejich výskytu a hrozbách pro EU a členské státy než o výskytu invazních nepůvodních druhů v jiných ekosystémech.</w:t>
      </w:r>
    </w:p>
    <w:p>
      <w:pPr>
        <w:pStyle w:val="Normal12a"/>
      </w:pPr>
      <w:r>
        <w:t>Zpráva zdůrazňuje zásadní roli citlivých druhů jakožto zásadních ukazatelů zdraví mořských ekosystémů a inherentní environmentální, ekonomickou a sociální hodnotu jejich ochrany. Naléhavě vyzývá Komisi a členské státy, aby jejich ochraně přiznaly prioritu prostřednictvím důsledných přístupů k řízení rybolovu, plného provádění cílů pro chráněné mořské oblasti a posílené ochrany nejdůležitějších stanovišť.</w:t>
      </w:r>
    </w:p>
    <w:p>
      <w:pPr>
        <w:pStyle w:val="Normal12a"/>
      </w:pPr>
      <w:r>
        <w:t>Zdůrazňuje rovněž potřebu plně využívat nástroje společné rybářské politiky (SRP), zejména nařízení o technických opatřeních, ke zmírnění dopadů rybolovu na citlivé druhy a zdůrazňuje význam údajů shromážděných v rámci SRP pro přesné posouzení dopadů rybolovu a vyzývá k začlenění ochrany citlivých druhů a jejich obnovy do všech příslušných právních návrhů.</w:t>
      </w:r>
    </w:p>
    <w:p>
      <w:pPr>
        <w:pStyle w:val="Normal12a"/>
      </w:pPr>
      <w:r>
        <w:t>Oceňuje současný seznam invazních nepůvodních druhů s významným dopadem na Unii, ale vyjadřuje politování nad tím, že tento seznam neodráží dostatečně podstatnou hrozbu, kterou invazní nepůvodní druhy představují pro mořské prostředí EU, a vyzývá k urychlenému vylepšení tohoto seznamu na základě nejnovějších vědeckých poznatků a posouzení rizik.</w:t>
      </w:r>
    </w:p>
    <w:p>
      <w:pPr>
        <w:pStyle w:val="Normal12a"/>
      </w:pPr>
      <w:r>
        <w:t>Zpráva rovněž upozorňuje na nedostatky v konkrétních programech monitorování mořských invazních nepůvodních druhů a zasazuje se o zdokonalení metod monitorování a harmonizaci ukazatelů napříč EU. Doporučuje vypracovat metodiky pro prahové hodnoty i hodnoty pro všechny evropské mořské regiony s ohledem na zvládnutelnost postupů a účinné prosazování úmluvy o zátěžových vodách.</w:t>
      </w:r>
    </w:p>
    <w:p>
      <w:pPr>
        <w:pStyle w:val="Normal12a"/>
      </w:pPr>
      <w:r>
        <w:t>Zpráva dále zdůrazňuje rostoucí roli změny klimatu a zvýšeného globálního pohybu, které usnadňují zavlékání a šíření invazních nepůvodních druhů, čímž zesilují jejich dopady na citlivé druhy a ekosystémy, což má přímé důsledky pro rybolovné činnosti.</w:t>
      </w:r>
    </w:p>
    <w:p>
      <w:pPr>
        <w:pStyle w:val="Normal12a"/>
      </w:pPr>
      <w:r>
        <w:t>V neposlední řadě uznává mezinárodní rozměr problému invazivních nepůvodních druhů a závazek EU v rámci Úmluvy o biologické rozmanitosti a celosvětového rámce pro biologickou rozmanitost z Kchun-mingu a Montrealu.</w:t>
      </w:r>
    </w:p>
    <w:p>
      <w:pPr>
        <w:pStyle w:val="Normal12a"/>
      </w:pPr>
      <w:r>
        <w:t>Závěrečná část se zaměřuje na příležitosti a výzvy z hlediska prospěchu pobřežních komunit. Zdůrazňuje, že invazní nepůvodní druhy škodí nejen biologické rozmanitosti, ale poškozují také rybolov, akvakulturu a další hospodářské, sociální a kulturní činnosti, a zdůrazňuje potřebu komplexního pochopení dopadů invazních nepůvodních druhů na hospodářství, ekosystémové služby a biologickou rozmanitost, aby bylo možné účinně předcházet novým invazím a provádět opatření na jejich zmírnění.</w:t>
      </w:r>
    </w:p>
    <w:p>
      <w:pPr>
        <w:pStyle w:val="Normal12a"/>
      </w:pPr>
      <w:r>
        <w:t>Vyzývá k rozvoji osvětových kampaní zaměřených na rybáře, širokou veřejnost a zúčastněné strany s cílem lépe pochopit zavlékání, zjišťování a dopady invazních nepůvodních druhů, a zasazuje se o finanční podporu ochrany mořských ekosystémů a citlivých druhů, jakož i o regionální, vnitrostátní a evropské systémy pro informování o invazivních nepůvodních druzích, jejich monitorování a včasné varování před nimi, přičemž uznává dvojí přínos těchto systémů pro zachování biologické rozmanitosti a pro rybolov.</w:t>
      </w:r>
    </w:p>
    <w:p>
      <w:pPr>
        <w:pStyle w:val="Normal12a"/>
      </w:pPr>
      <w:r>
        <w:t>V neposlední řadě uznává zvláštní zranitelnost nejvzdálenějších regionů, pokud jde o invazivní nepůvodní druhy, a význam citlivých druhů v jejich mořském prostředí a žádá uznat, že je nutné v těchto regionech řešit oba tyto problémy, přičemž zdůrazňuje potenciál udržitelného ekoturismu pro podporu ochrany mořských ekosystémů s přímými přínosy pro rybolov a akvakulturu.</w:t>
      </w:r>
    </w:p>
    <w:p>
      <w:pPr>
        <w:pStyle w:val="Normal12a"/>
      </w:pPr>
      <w:r>
        <w:t>Závěrem tato zpráva usiluje o podnícení činnosti a vyzývá k integrovanějšímu, vědecky podloženému a společnému přístupu, který uznává naléhavost a složitost těchto vzájemně propojených výzev.</w:t>
      </w:r>
    </w:p>
    <w:p>
      <w:pPr>
        <w:pStyle w:val="Normal12a"/>
        <w:sectPr>
          <w:footnotePr>
            <w:numRestart w:val="eachSect"/>
          </w:footnotePr>
          <w:type w:val="nextPage"/>
          <w:pgSz w:w="11906" w:h="16838"/>
          <w:pgMar w:top="1134" w:right="1417" w:bottom="1417" w:left="1417" w:header="1134" w:footer="567" w:gutter="0"/>
          <w:cols w:num="1" w:space="708"/>
          <w:titlePg w:val="0"/>
          <w:docGrid w:linePitch="360"/>
        </w:sectPr>
      </w:pPr>
    </w:p>
    <w:p>
      <w:pPr>
        <w:pStyle w:val="PageHeading"/>
      </w:pPr>
      <w:bookmarkStart w:id="2" w:name="_Toc256000005"/>
      <w:r>
        <w:t>PŘÍLOHA: SUBJEKTY NEBO OSOBY, OD NICHŽ</w:t>
        <w:br/>
        <w:t>ZPRAVODAJ OBDRŽEL PODNĚTY</w:t>
      </w:r>
      <w:bookmarkEnd w:id="2"/>
    </w:p>
    <w:p>
      <w:pPr>
        <w:pStyle w:val="Normal12a"/>
      </w:pPr>
      <w:r>
        <w:rPr>
          <w:rStyle w:val="HideTWBExt"/>
        </w:rPr>
        <w:t>&lt;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  <w:r>
        <w:t>Zpravodaj v souladu s článkem 8 přílohy I jednacího řádu prohlašuje, že při vypracovávání návrhu zprávy obdržel podněty od těchto subjektů nebo osob:</w:t>
      </w:r>
      <w:r>
        <w:rPr>
          <w:rStyle w:val="HideTWBExt"/>
        </w:rPr>
        <w:t>&lt;/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</w:p>
    <w:tbl>
      <w:tblPr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jc w:val="center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pPr>
              <w:pStyle w:val="NormalCenter"/>
            </w:pPr>
            <w:r>
              <w:rPr>
                <w:rStyle w:val="Bold"/>
              </w:rPr>
              <w:t>Subjekt nebo osoba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Ana Cristina Cardoso (PhD), Scientific Officer, European Commission, Joint Research Centre, Directorate D – Sustainable Resources, Unit D.02 Ocean and Water</w:t>
            </w:r>
          </w:p>
        </w:tc>
      </w:tr>
    </w:tbl>
    <w:p/>
    <w:p>
      <w:pPr>
        <w:pStyle w:val="Normal12a"/>
      </w:pPr>
      <w:r>
        <w:t>Výše uvedený seznam je sestaven na výhradní odpovědnost zpravodaje.</w:t>
      </w:r>
    </w:p>
    <w:p>
      <w:pPr>
        <w:pStyle w:val="Normal12a"/>
      </w:pPr>
      <w:r>
        <w:t>Pokud jsou na seznamu uvedena jména, funkce, případně jména i funkce fyzických osob, zpravodaj prohlašuje, že příslušné fyzické osoby byly seznámeny s prohlášením Evropského parlamentu o ochraně osobních údajů č. 484 (</w:t>
      </w:r>
      <w:hyperlink r:id="rId9" w:history="1">
        <w:r>
          <w:rPr>
            <w:rStyle w:val="Hyperlink"/>
          </w:rPr>
          <w:t>https://www.europarl.europa.eu/data-protect/index.do</w:t>
        </w:r>
      </w:hyperlink>
      <w:r>
        <w:rPr>
          <w:rStyle w:val="DefaultParagraphFont"/>
          <w:b w:val="0"/>
          <w:i w:val="0"/>
          <w:u w:val="none"/>
        </w:rPr>
        <w:t>), které stanoví podmínky platné pro zpracování jejich osobních údajů a práva související s tímto zpracováním.</w:t>
      </w:r>
    </w:p>
    <w:p>
      <w:pPr>
        <w:pStyle w:val="Normal12a"/>
      </w:pPr>
    </w:p>
    <w:sectPr>
      <w:footnotePr>
        <w:numRestart w:val="eachSect"/>
      </w:footnotePr>
      <w:type w:val="nextPage"/>
      <w:pgSz w:w="11906" w:h="16838"/>
      <w:pgMar w:top="1134" w:right="1417" w:bottom="1417" w:left="1417" w:header="1134" w:footer="567" w:gutter="0"/>
      <w:cols w:num="1"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 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 L 354, 28.12.2013, s. 22, ELI: http://data.europa.eu/eli/reg/2013/1380/oj.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L 343, 22.12.2009, s. 1, ELI: http://data.europa.eu/eli/reg/2009/1224/oj.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 L 317, 25.10.2022, s. 35, ELI: http://data.europa.eu/eli/reg/2014/1143/oj.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customStyle="1" w:styleId="NormalTab">
    <w:name w:val="NormalTab"/>
    <w:basedOn w:val="Normal"/>
    <w:rsid w:val="00CC6F1E"/>
    <w:pPr>
      <w:tabs>
        <w:tab w:val="center" w:pos="284"/>
        <w:tab w:val="left" w:pos="425"/>
      </w:tabs>
    </w:pPr>
    <w:rPr>
      <w:snapToGrid/>
      <w:lang w:eastAsia="en-GB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www.europarl.europa.eu/data-protect/index.d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1315593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20250507-113004-006133-604031</vt:lpwstr>
  </property>
  <property fmtid="{D5CDD505-2E9C-101B-9397-08002B2CF9AE}" pid="7" name="FooterPath">
    <vt:lpwstr>PR\1315593CS.doc</vt:lpwstr>
  </property>
  <property fmtid="{D5CDD505-2E9C-101B-9397-08002B2CF9AE}" pid="8" name="PE Number">
    <vt:lpwstr>769.962</vt:lpwstr>
  </property>
  <property fmtid="{D5CDD505-2E9C-101B-9397-08002B2CF9AE}" pid="9" name="UID">
    <vt:lpwstr>eu.europa.europarl-DIN1-2025-0000029055_01.06-cs-01.00_text-xml</vt:lpwstr>
  </property>
</Properties>
</file>