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1.0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Europejski</w:t>
            </w:r>
          </w:p>
          <w:p>
            <w:pPr>
              <w:pStyle w:val="EPTerm"/>
            </w:pPr>
            <w:r>
              <w:t>2024-2029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Komisja Rybołówstwa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2025/2011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22/04/2025</w:t>
      </w:r>
      <w:r>
        <w:rPr>
          <w:rStyle w:val="HideTWBInt"/>
        </w:rPr>
        <w:t>}</w:t>
      </w:r>
      <w:r>
        <w:t>22.04.2025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PROJEKT SPRAWOZDANIA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w sprawie podejść do zarządzania rybołówstwem sprzyjających ochronie wrażliwych gatunków, zwalczaniu gatunków inwazyjnych i korzyściom dla lokalnych gospodarek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(2025/2011(INI))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Komisja Rybołówstwa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Sprawozdawca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André Rodrigues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SPIS 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UZASADNIENIE</w:t>
      </w:r>
      <w:r>
        <w:tab/>
      </w:r>
      <w:r>
        <w:fldChar w:fldCharType="begin"/>
      </w:r>
      <w:r>
        <w:instrText xml:space="preserve"> PAGEREF _Toc256000004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ZAŁĄCZNIK: PODMIOTY LUB OSOBY, OD KTÓRYCH  SPRAWOZDAWCA OTRZYMAŁ INFORMACJE</w:t>
      </w:r>
      <w:r>
        <w:tab/>
      </w:r>
      <w:r>
        <w:fldChar w:fldCharType="begin"/>
      </w:r>
      <w:r>
        <w:instrText xml:space="preserve"> PAGEREF _Toc256000005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PageHeading"/>
      </w:pPr>
      <w:r>
        <w:br w:type="page"/>
      </w:r>
      <w:bookmarkStart w:id="0" w:name="_Toc256000003"/>
      <w:r>
        <w:t>PROJEKT REZOLUCJI PARLAMENTU EUROPEJSKIEGO</w:t>
      </w:r>
      <w:bookmarkEnd w:id="0"/>
    </w:p>
    <w:p>
      <w:pPr>
        <w:pStyle w:val="NormalBold"/>
      </w:pPr>
      <w:r>
        <w:t>w sprawie podejść do zarządzania rybołówstwem sprzyjających ochronie wrażliwych gatunków, bezpieczeństwu żywnościowemu i lokalnym gospodarkom</w:t>
      </w:r>
    </w:p>
    <w:p>
      <w:pPr>
        <w:pStyle w:val="NormalBold"/>
      </w:pPr>
      <w:r>
        <w:t>(2025/2011(INI))</w:t>
      </w:r>
    </w:p>
    <w:p>
      <w:pPr>
        <w:pStyle w:val="EPComma"/>
      </w:pPr>
      <w:r>
        <w:rPr>
          <w:rStyle w:val="Italic"/>
        </w:rPr>
        <w:t>Parlament Europejski</w:t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Traktat o funkcjonowaniu Unii Europejskiej, w szczególności jego art. 43,</w:t>
      </w:r>
    </w:p>
    <w:p>
      <w:pPr>
        <w:pStyle w:val="NormalHanging12a"/>
      </w:pPr>
      <w:r>
        <w:t>–</w:t>
      </w:r>
      <w:r>
        <w:tab/>
      </w:r>
      <w:r>
        <w:t xml:space="preserve">uwzględniając rozporządzenie </w:t>
      </w:r>
      <w:r>
        <w:t>Parlamentu Europejskiego</w:t>
      </w:r>
      <w:r>
        <w:t xml:space="preserve"> i Rady (UE) nr 1380/2013 z dnia 11 grudnia 2013 r. w sprawie wspólnej polityki rybołówstwa (WPRyb)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uwzględniając rozporządzenie Rady (WE) nr 1224/2009 z dnia 20 listopada 2009 r. ustanawiające wspólnotowy system kontroli w celu zapewnienia przestrzegania przepisów wspólnej polityki rybołówstwa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uwzględniając rozporządzenie </w:t>
      </w:r>
      <w:r>
        <w:t>Parlamentu Europejskiego</w:t>
      </w:r>
      <w:r>
        <w:t xml:space="preserve"> i Rady (UE) nr 1143/2014 z dnia 22 października 2014 r. w sprawie działań zapobiegawczych i zaradczych w odniesieniu do wprowadzania i rozprzestrzeniania inwazyjnych gatunków obcych</w:t>
      </w:r>
      <w:r>
        <w:rPr>
          <w:rStyle w:val="FootnoteReference"/>
        </w:rPr>
        <w:footnoteReference w:id="4"/>
      </w:r>
      <w:r>
        <w:t xml:space="preserve"> (rozporządzenie w sprawie inwazyjnych gatunków obcych),</w:t>
      </w:r>
    </w:p>
    <w:p>
      <w:pPr>
        <w:pStyle w:val="NormalHanging12a"/>
      </w:pPr>
      <w:r>
        <w:t>–</w:t>
      </w:r>
      <w:r>
        <w:tab/>
      </w:r>
      <w:r>
        <w:t>uwzględniając Międzynarodową konwencję o kontroli i postępowaniu ze statkowymi wodami balastowymi i osadami,</w:t>
      </w:r>
    </w:p>
    <w:p>
      <w:pPr>
        <w:pStyle w:val="NormalHanging12a"/>
      </w:pPr>
      <w:r>
        <w:t>–</w:t>
      </w:r>
      <w:r>
        <w:tab/>
      </w:r>
      <w:r>
        <w:t>uwzględniając art. 55 Regulaminu,</w:t>
      </w:r>
    </w:p>
    <w:p>
      <w:pPr>
        <w:pStyle w:val="NormalHanging12a"/>
      </w:pPr>
      <w:r>
        <w:t>–</w:t>
      </w:r>
      <w:r>
        <w:tab/>
      </w:r>
      <w:r>
        <w:t>uwzględniając sprawozdanie Komisji Rybołówstwa (A10-0000/2025),</w:t>
      </w:r>
    </w:p>
    <w:p>
      <w:pPr>
        <w:pStyle w:val="NormalHanging12a"/>
      </w:pPr>
      <w:r>
        <w:t>A.</w:t>
      </w:r>
      <w:r>
        <w:tab/>
      </w:r>
      <w:r>
        <w:t>mając na uwadze, że UE od dawna uznaje znaczenie podejścia opartego na zrównoważonym rybołówstwie i zarządzaniu rybołówstwem dla zachowania morskiej różnorodności biologicznej, ochrony wrażliwych gatunków, wspierania lokalnych gospodarek i zapewniania bezpieczeństwa żywnościowego;</w:t>
      </w:r>
    </w:p>
    <w:p>
      <w:pPr>
        <w:pStyle w:val="NormalHanging12a"/>
      </w:pPr>
      <w:r>
        <w:t>B.</w:t>
      </w:r>
      <w:r>
        <w:tab/>
      </w:r>
      <w:r>
        <w:t>mając na uwadze, że inwazyjne gatunki obce są jedną z przyczyn utraty różnorodności biologicznej, mają negatywny wpływ na rybołówstwo i akwakulturę oraz funkcje ekosystemu i mogą być szkodliwe dla zdrowia ludzkiego i ochrony biologicznej;</w:t>
      </w:r>
    </w:p>
    <w:p>
      <w:pPr>
        <w:pStyle w:val="NormalHanging12a"/>
      </w:pPr>
      <w:r>
        <w:t>C.</w:t>
      </w:r>
      <w:r>
        <w:tab/>
      </w:r>
      <w:r>
        <w:t>mając na uwadze, że UE przyjęła szereg środków w celu mapowania inwazyjnych gatunków obcych i przeciwdziałania rozprzestrzenianiu się tych gatunków, w szczególności rozporządzenie w sprawie inwazyjnych gatunków obcych ustanawiające wykaz gatunków stwarzających zagrożenie dla Unii i egzekwujące środki kontroli;</w:t>
      </w:r>
    </w:p>
    <w:p>
      <w:pPr>
        <w:pStyle w:val="NormalHanging12a"/>
      </w:pPr>
      <w:r>
        <w:t>D.</w:t>
      </w:r>
      <w:r>
        <w:tab/>
      </w:r>
      <w:r>
        <w:t>mając na uwadze, że europejska sieć informacji o gatunkach obcych (EASIN) monitoruje obecnie 12 423 gatunki obce w różnych środowiskach, z czego 1440 (11,6 %) to gatunki morskie; mając na uwadze, że od 2019 r. 53 % morskich linii brzegowych Europy znajduje się pod presją inwazyjnych gatunków obcych, przy czym występują znaczne różnice regionalne – 33 % występuje w Morzu Bałtyckim, 100 % – w Morzu Czarnym, 98 % – w Morzu Śródziemnym i 25 % – na północno-wschodnim Oceanie Atlantyckim;</w:t>
      </w:r>
    </w:p>
    <w:p>
      <w:pPr>
        <w:pStyle w:val="NormalHanging12a"/>
      </w:pPr>
      <w:r>
        <w:t>E.</w:t>
      </w:r>
      <w:r>
        <w:tab/>
      </w:r>
      <w:r>
        <w:t>mając na uwadze, że zmiana klimatu, zwłaszcza ocieplenie oceanów, oraz zwiększony przepływ towarów i ludzi są kluczowymi czynnikami wprowadzania inwazyjnych gatunków obcych i mogą zwiększyć ich wpływ na wrażliwe gatunki, ekosystemy, a w konsekwencji na działalność połowową;</w:t>
      </w:r>
    </w:p>
    <w:p>
      <w:pPr>
        <w:pStyle w:val="NormalHanging12a"/>
      </w:pPr>
      <w:r>
        <w:t>F.</w:t>
      </w:r>
      <w:r>
        <w:tab/>
      </w:r>
      <w:r>
        <w:t>mając na uwadze, że zwalczanie inwazyjnych gatunków obcych wymaga również zdecydowanych działań międzynarodowych; mając na uwadze, że w Konwencji o różnorodności biologicznej (CBD) uznano inwazyjne gatunki obce za kwestię przekrojową, a globalne ramy różnorodności biologicznej z Kunmingu/Montrealu mają na celu ograniczenie wprowadzania i ustanawiania inwazyjnych gatunków obcych o co najmniej 50 % do 2030 r.;</w:t>
      </w:r>
    </w:p>
    <w:p>
      <w:pPr>
        <w:pStyle w:val="Normal12a24b"/>
      </w:pPr>
      <w:r>
        <w:rPr>
          <w:rStyle w:val="BoldItalic"/>
        </w:rPr>
        <w:t>Wrażliwe gatunki:</w:t>
      </w:r>
      <w:r>
        <w:rPr>
          <w:rStyle w:val="BoldItalic"/>
        </w:rPr>
        <w:t xml:space="preserve"> </w:t>
      </w:r>
      <w:r>
        <w:rPr>
          <w:rStyle w:val="BoldItalic"/>
        </w:rPr>
        <w:t>wskaźniki odporności oceanów</w:t>
      </w:r>
    </w:p>
    <w:p>
      <w:pPr>
        <w:pStyle w:val="NormalHanging12a"/>
      </w:pPr>
      <w:r>
        <w:t>1.</w:t>
      </w:r>
      <w:r>
        <w:tab/>
      </w:r>
      <w:r>
        <w:t>podkreśla wyjątkową rolę, jaką odgrywają wrażliwe gatunki jako wskaźniki stanu ekosystemów morskich, oraz korzyści środowiskowe, gospodarcze i społeczne wynikające z ich ochrony i zachowania;</w:t>
      </w:r>
    </w:p>
    <w:p>
      <w:pPr>
        <w:pStyle w:val="NormalHanging12a"/>
      </w:pPr>
      <w:r>
        <w:t>2.</w:t>
      </w:r>
      <w:r>
        <w:tab/>
      </w:r>
      <w:r>
        <w:t>wzywa Komisję i państwa członkowskie do promowania podejść do zarządzania rybołówstwem, w ramach których priorytetowo traktuje się ochronę wrażliwych gatunków, w tym poprzez należyte wdrażanie celów UE dotyczących chronionych obszarów morskich i wzmocnienie ochrony siedlisk krytycznych;</w:t>
      </w:r>
    </w:p>
    <w:p>
      <w:pPr>
        <w:pStyle w:val="NormalHanging12a"/>
      </w:pPr>
      <w:r>
        <w:t>3.</w:t>
      </w:r>
      <w:r>
        <w:tab/>
      </w:r>
      <w:r>
        <w:t>wzywa Komisję i państwa członkowskie do pełnego wykorzystania narzędzi WPRyb, w szczególności środków technicznych, w celu rozwiązania problemu interakcji między połowami i zwiększenia ochrony wrażliwych gatunków;</w:t>
      </w:r>
    </w:p>
    <w:p>
      <w:pPr>
        <w:pStyle w:val="NormalHanging12a"/>
      </w:pPr>
      <w:r>
        <w:t>4.</w:t>
      </w:r>
      <w:r>
        <w:tab/>
      </w:r>
      <w:r>
        <w:t>przypomina o znaczeniu danych gromadzonych w ramach WPRyb dla właściwego określenia wpływu rybołówstwa na wrażliwe gatunki;</w:t>
      </w:r>
    </w:p>
    <w:p>
      <w:pPr>
        <w:pStyle w:val="NormalHanging12a"/>
      </w:pPr>
      <w:r>
        <w:t>5.</w:t>
      </w:r>
      <w:r>
        <w:tab/>
      </w:r>
      <w:r>
        <w:t>podkreśla znaczenie wzmocnienia kwestii ochrony i odbudowy gatunków wrażliwych we wszystkich odnośnych wnioskach ustawodawczych wykraczających poza te bezpośrednio związane z WPRyb;</w:t>
      </w:r>
    </w:p>
    <w:p>
      <w:pPr>
        <w:pStyle w:val="Normal12a24b"/>
      </w:pPr>
      <w:r>
        <w:rPr>
          <w:rStyle w:val="BoldItalic"/>
        </w:rPr>
        <w:t xml:space="preserve">Gatunki inwazyjne: </w:t>
      </w:r>
      <w:r>
        <w:rPr>
          <w:rStyle w:val="BoldItalic"/>
        </w:rPr>
        <w:t>zagrożenia dla naszych oceanów i gospodarki</w:t>
      </w:r>
    </w:p>
    <w:p>
      <w:pPr>
        <w:pStyle w:val="NormalHanging12a"/>
      </w:pPr>
      <w:r>
        <w:t>6.</w:t>
      </w:r>
      <w:r>
        <w:tab/>
      </w:r>
      <w:r>
        <w:t>podkreśla, że inwazyjne gatunki obce stanowią zagrożenie dla rybołówstwa i akwakultury, rodzimej różnorodności biologicznej mórz i ekosystemów morskich, a tym samym wpływają na dochody rybaków i społeczności nadbrzeżnych;</w:t>
      </w:r>
    </w:p>
    <w:p>
      <w:pPr>
        <w:pStyle w:val="NormalHanging12a"/>
      </w:pPr>
      <w:r>
        <w:t>7.</w:t>
      </w:r>
      <w:r>
        <w:tab/>
      </w:r>
      <w:r>
        <w:t>przypomina, że w UE ścisłym regulacjom podlega 88 inwazyjnych gatunków obcych, w tym 47 gatunków zwierząt i 41 gatunków roślin stwarzających zagrożenie dla Unii;</w:t>
      </w:r>
    </w:p>
    <w:p>
      <w:pPr>
        <w:pStyle w:val="NormalHanging12a"/>
      </w:pPr>
      <w:r>
        <w:t>8.</w:t>
      </w:r>
      <w:r>
        <w:tab/>
      </w:r>
      <w:r>
        <w:t>ubolewa, że obecny wykaz gatunków stwarzających zagrożenie dla Unii nie uwzględnia w pełni zagrożenia ze strony inwazyjnych gatunków obcych dla rybołówstwa, akwakultury i środowiska morskiego UE – obecnie do wykazu włączono tylko dwa gatunki morskie (</w:t>
      </w:r>
      <w:r>
        <w:rPr>
          <w:rStyle w:val="Italic"/>
        </w:rPr>
        <w:t>Plotosus lineatus</w:t>
      </w:r>
      <w:r>
        <w:t xml:space="preserve"> i </w:t>
      </w:r>
      <w:r>
        <w:rPr>
          <w:rStyle w:val="Italic"/>
        </w:rPr>
        <w:t>Rugulopteryx okamurae</w:t>
      </w:r>
      <w:r>
        <w:t>); wzywa do poprawienia wykazu w oparciu o aktualne opinie naukowe i oceny ryzyka;</w:t>
      </w:r>
    </w:p>
    <w:p>
      <w:pPr>
        <w:pStyle w:val="NormalHanging12a"/>
      </w:pPr>
      <w:r>
        <w:t>9.</w:t>
      </w:r>
      <w:r>
        <w:tab/>
      </w:r>
      <w:r>
        <w:t>ubolewa nad brakiem specjalnych programów monitorowania morskich inwazyjnych gatunków obcych i wzywa do poprawy metod monitorowania i do harmonizacji wskaźników w całej UE oraz do większego wsparcia technicznego i finansowego;</w:t>
      </w:r>
    </w:p>
    <w:p>
      <w:pPr>
        <w:pStyle w:val="NormalHanging12a"/>
      </w:pPr>
      <w:r>
        <w:t>10.</w:t>
      </w:r>
      <w:r>
        <w:tab/>
      </w:r>
      <w:r>
        <w:t>zaleca przyjęcie metodologii i wartości progowych dla wszystkich europejskich regionów i podregionów morskich, z uwzględnieniem wpływu na rybołówstwo, możliwości zarządzania szlakami oraz potrzeby egzekwowania konwencji o gospodarowaniu wodami balastowymi i stosowania wytycznych dotyczących zanieczyszczenia kadłuba;</w:t>
      </w:r>
    </w:p>
    <w:p>
      <w:pPr>
        <w:pStyle w:val="NormalHanging12a"/>
      </w:pPr>
      <w:r>
        <w:t>11.</w:t>
      </w:r>
      <w:r>
        <w:tab/>
      </w:r>
      <w:r>
        <w:t>podkreśla potencjalne powiązania między inwazyjnymi gatunkami obcymi wprowadzanymi do ekosystemów lądowych i słodkowodnych a tymi wprowadzanymi do ekosystemów oceanicznych i morskich oraz ich wpływ na rybołówstwo i akwakulturę; wzywa Komisję do opracowania kompleksowej strategii w celu rozwiązania tego problemu;</w:t>
      </w:r>
    </w:p>
    <w:p>
      <w:pPr>
        <w:pStyle w:val="NormalHanging12a"/>
      </w:pPr>
      <w:r>
        <w:t>12.</w:t>
      </w:r>
      <w:r>
        <w:tab/>
      </w:r>
      <w:r>
        <w:t>podkreśla, że całościowe, zapobiegawcze i wielowektorowe podejście do zarządzania oparte na szlakach jest absolutnym priorytetem w skutecznym zwalczaniu morskich gatunków obcych; zachęca państwa członkowskie do częstszego wykorzystywania analizy sytuacji i nowatorskich technik, takich jak eDNA, sztuczna inteligencja i zautomatyzowane monitorowanie, oraz wiedzy uzyskanej od rybaków, społeczności nabrzeżnych i obywateli jako narzędzi do priorytetowego traktowania nowych i pojawiających się inwazyjnych gatunków obcych wysokiego ryzyka w rybołówstwie i akwakulturze;</w:t>
      </w:r>
    </w:p>
    <w:p>
      <w:pPr>
        <w:pStyle w:val="NormalHanging12a"/>
      </w:pPr>
      <w:r>
        <w:t>13.</w:t>
      </w:r>
      <w:r>
        <w:tab/>
      </w:r>
      <w:r>
        <w:t>wzywa państwa członkowskie do wzmocnienia komunikacji, koordynacji i współpracy w celu wdrożenia środków szybkiego reagowania z myślą o wczesnym wykrywaniu i szybkiej eliminacji morskich inwazyjnych gatunków obcych, a także do zarządzania gatunkami, które już powszechnie występują;</w:t>
      </w:r>
    </w:p>
    <w:p>
      <w:pPr>
        <w:pStyle w:val="NormalHanging12a"/>
      </w:pPr>
      <w:r>
        <w:t>14.</w:t>
      </w:r>
      <w:r>
        <w:tab/>
      </w:r>
      <w:r>
        <w:t>podkreśla, że sytuacja jest szczególnie krytyczna w Morzu Śródziemnym, w którym znajduje się więcej inwazyjnych gatunków obcych niż w jakimkolwiek innym morzu na świecie, co ma znaczący wpływ na sektory rybołówstwa i akwakultury, a zatem wymaga szczególnej uwagi;</w:t>
      </w:r>
    </w:p>
    <w:p>
      <w:pPr>
        <w:pStyle w:val="NormalHanging12a"/>
      </w:pPr>
      <w:r>
        <w:t>15.</w:t>
      </w:r>
      <w:r>
        <w:tab/>
      </w:r>
      <w:r>
        <w:t>podkreśla znaczenie systemu powiadamiania EASIN, w szczególności dla terminowego i pełnego zgłaszania nowych przypadków wykrycia tych gatunków, środków ich zwalczania i kontroli urzędowych służących ich wykrywaniu; wzywa państwa członkowskie do usprawnienia systemu przez dostarczanie dodatkowych informacji, w szczególności danych dotyczących dystrybucji, zwłaszcza dzięki informacjom od rybaków;</w:t>
      </w:r>
    </w:p>
    <w:p>
      <w:pPr>
        <w:pStyle w:val="NormalHanging12a"/>
      </w:pPr>
      <w:r>
        <w:t>16.</w:t>
      </w:r>
      <w:r>
        <w:tab/>
      </w:r>
      <w:r>
        <w:t>przypomina o międzynarodowym wymiarze problemu inwazyjnych gatunków obcych i sugeruje, by UE zintensyfikowała działania w tym zakresie za pośrednictwem regionalnych organizacji ds. zarządzania rybołówstwem w kontekście Konwencji o różnorodności biologicznej i globalnych ram różnorodności biologicznej, a także wzywa UE do szerzej zakrojonego dzielenia się wiedzą na zasadzie współpracy oraz do wzajemnej wymiany z innymi krajami w celu uczenia się;</w:t>
      </w:r>
    </w:p>
    <w:p>
      <w:pPr>
        <w:pStyle w:val="Normal12a24b"/>
      </w:pPr>
      <w:r>
        <w:rPr>
          <w:rStyle w:val="BoldItalic"/>
        </w:rPr>
        <w:t>Szanse i wyzwania dla społeczności nadbrzeżnych</w:t>
      </w:r>
    </w:p>
    <w:p>
      <w:pPr>
        <w:pStyle w:val="NormalHanging12a"/>
      </w:pPr>
      <w:r>
        <w:t>17.</w:t>
      </w:r>
      <w:r>
        <w:tab/>
      </w:r>
      <w:r>
        <w:t>podkreśla, że inwazyjne gatunki obce mają znaczący negatywny wpływ na rybołówstwo, akwakulturę, społeczności nadbrzeżne i inną działalność gospodarczą; uważa, że kluczowe jest uwzględnienie ich szerszych skutków społecznych, gospodarczych i kulturowych, wykraczających poza utratę różnorodności biologicznej i wpływ na ekosystemy, aby skutecznie zapobiegać nowym inwazjom i wdrożyć skuteczne środki łagodzące;</w:t>
      </w:r>
    </w:p>
    <w:p>
      <w:pPr>
        <w:pStyle w:val="NormalHanging12a"/>
      </w:pPr>
      <w:r>
        <w:t>18.</w:t>
      </w:r>
      <w:r>
        <w:tab/>
      </w:r>
      <w:r>
        <w:t>wzywa do opracowania kampanii uświadamiających w celu informowania i angażowania rybaków, zainteresowanych stron z sektora rybołówstwa i ogółu społeczeństwa o wprowadzaniu, wykrywaniu i wpływie inwazyjnych gatunków obcych;</w:t>
      </w:r>
    </w:p>
    <w:p>
      <w:pPr>
        <w:pStyle w:val="NormalHanging12a"/>
      </w:pPr>
      <w:r>
        <w:t>19.</w:t>
      </w:r>
      <w:r>
        <w:tab/>
      </w:r>
      <w:r>
        <w:t>apeluje o wsparcie finansowe na rzecz ochrony ekosystemów morskich i wrażliwych gatunków, a także o systemy informowania, monitorowania i wczesnego ostrzegania w odniesieniu do inwazyjnych gatunków obcych na szczeblu regionalnym, krajowym i unijnym, z uwagi na pozytywny wpływ tych systemów zarówno na rybołówstwo, jak i na ochronę różnorodności biologicznej;</w:t>
      </w:r>
    </w:p>
    <w:p>
      <w:pPr>
        <w:pStyle w:val="NormalHanging12a"/>
      </w:pPr>
      <w:r>
        <w:t>20.</w:t>
      </w:r>
      <w:r>
        <w:tab/>
      </w:r>
      <w:r>
        <w:t>przypomina Komisji, że regiony najbardziej oddalone stanowią ważne bezpieczne przystanie dla wrażliwych gatunków morskich, a jednocześnie są wysoce narażone na inwazyjne gatunki obce; apeluje o uznanie znaczenia ochrony tych wrażliwych gatunków i zwalczania inwazyjnych gatunków obcych w tych regionach oraz podkreśla potencjał zrównoważonej ekoturystyki jako środka ochrony ekosystemów morskich, przy jednoczesnym zapewnieniu bezpośrednich korzyści sektorom rybołówstwa i akwakultury;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zobowiązuje swoją przewodniczącą do przekazania niniejszej rezolucji Radzie i Komisji.</w:t>
      </w:r>
    </w:p>
    <w:p>
      <w:pPr>
        <w:pStyle w:val="NormalHanging12a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</w:p>
    <w:p>
      <w:pPr>
        <w:pStyle w:val="PageHeading"/>
      </w:pPr>
      <w:bookmarkStart w:id="1" w:name="_Toc256000004"/>
      <w:r>
        <w:t>UZASADNIENIE</w:t>
      </w:r>
      <w:bookmarkEnd w:id="1"/>
    </w:p>
    <w:p>
      <w:pPr>
        <w:pStyle w:val="Normal12a"/>
      </w:pPr>
      <w:r>
        <w:t>Niniejsze sprawozdanie odnosi się do kluczowych i wzajemnie powiązanych wyzwań związanych z ochroną wrażliwych gatunków morskich, przeciwdziałaniem rosnącemu zagrożeniu związanemu z inwazyjnymi gatunkami obcymi oraz zapewnieniem pozytywnego wkładu tych działań w lokalną gospodarkę, zwłaszcza w sektorach rybołówstwa i akwakultury.</w:t>
      </w:r>
    </w:p>
    <w:p>
      <w:pPr>
        <w:pStyle w:val="Normal12a"/>
      </w:pPr>
      <w:r>
        <w:t>W sprawozdaniu odnotowano długotrwałe zaangażowanie Unii Europejskiej na rzecz zrównoważonego zarządzania rybołówstwem i jej rolę w zachowaniu różnorodności biologicznej mórz, ochronie wrażliwych gatunków, wspieraniu społeczności nadbrzeżnych i gwarantowaniu bezpieczeństwa żywnościowego. Zwrócono ponadto uwagę, że w odniesieniu do morskich inwazyjnych gatunków obcych istnieje znacznie mniej danych na temat ich obecności i zagrożeń dla UE i państw członkowskich niż na temat obecności inwazyjnych gatunków obcych w innych ekosystemach.</w:t>
      </w:r>
    </w:p>
    <w:p>
      <w:pPr>
        <w:pStyle w:val="Normal12a"/>
      </w:pPr>
      <w:r>
        <w:t>W sprawozdaniu podkreślono zasadniczą rolę wrażliwych gatunków jako kluczowych wskaźników zdrowia ekosystemów morskich oraz nieodłączną wartość środowiskową, gospodarczą i społeczną ich ochrony. Wezwano Komisję i państwa członkowskie do priorytetowego traktowania ich ochrony poprzez solidne podejście do zarządzania rybołówstwem, pełne wdrożenie celów dotyczących morskich obszarów chronionych oraz wzmocnioną ochronę siedlisk o krytycznym znaczeniu.</w:t>
      </w:r>
    </w:p>
    <w:p>
      <w:pPr>
        <w:pStyle w:val="Normal12a"/>
      </w:pPr>
      <w:r>
        <w:t>Podkreślono w nim również potrzebę pełnego wykorzystania narzędzi dostępnych w ramach wspólnej polityki rybołówstwa (WPRyb), w szczególności rozporządzenia w sprawie środków technicznych, w celu złagodzenia interakcji połowów z gatunkami wrażliwymi. Wskazano na znaczenie danych gromadzonych w ramach WPRyb dla dokładnej oceny wpływu rybołówstwa oraz wezwano do włączenia ochrony i odbudowy gatunków wrażliwych do wszystkich odpowiednich wniosków ustawodawczych.</w:t>
      </w:r>
    </w:p>
    <w:p>
      <w:pPr>
        <w:pStyle w:val="Normal12a"/>
      </w:pPr>
      <w:r>
        <w:t>Uznając obecny wykaz inwazyjnych gatunków obcych stwarzających zagrożenie dla Unii, wyraża ubolewanie, że wykaz ten nie odzwierciedla w odpowiedni sposób znaczącego zagrożenia stwarzanego przez inwazyjne gatunki obce dla środowiska morskiego UE, i wzywa do jego pilnej poprawy w oparciu o najnowsze dowody naukowe i oceny ryzyka.</w:t>
      </w:r>
    </w:p>
    <w:p>
      <w:pPr>
        <w:pStyle w:val="Normal12a"/>
      </w:pPr>
      <w:r>
        <w:t>W sprawozdaniu podkreślono również niedociągnięcia w konkretnych programach monitorowania morskich inwazyjnych gatunków obcych i wezwano do poprawy metod monitorowania i harmonizację wskaźników w całej UE. Zalecono opracowanie metod ustalania progów i wartości dla wszystkich europejskich regionów morskich, z uwzględnieniem możliwości zarządzania szlakami i skutecznego egzekwowania konwencji w sprawie wód balastowych.</w:t>
      </w:r>
    </w:p>
    <w:p>
      <w:pPr>
        <w:pStyle w:val="Normal12a"/>
      </w:pPr>
      <w:r>
        <w:t>W sprawozdaniu podkreślono ponadto coraz większą rolę zmiany klimatu i wzmożonego globalnego ruchu w ułatwianiu wprowadzania i rozprzestrzeniania inwazyjnych gatunków obcych, co zwiększa ich wpływ na wrażliwe gatunki i ekosystemy oraz ma bezpośrednie konsekwencje dla działalności połowowej.</w:t>
      </w:r>
    </w:p>
    <w:p>
      <w:pPr>
        <w:pStyle w:val="Normal12a"/>
      </w:pPr>
      <w:r>
        <w:t>Ponadto uznano międzynarodowy wymiar wyzwania związanego z inwazyjnymi gatunkami obcymi oraz zobowiązanie UE w ramach Konwencji o różnorodności biologicznej i globalnych ram różnorodności biologicznej z Kunmingu/Montrealu.</w:t>
      </w:r>
    </w:p>
    <w:p>
      <w:pPr>
        <w:pStyle w:val="Normal12a"/>
      </w:pPr>
      <w:r>
        <w:t>W ostatniej części skoncentrowano się na możliwościach i wyzwaniach z korzyścią dla społeczności nadbrzeżnych. Podkreślono, że inwazyjne gatunki obce nie tylko szkodzą różnorodności biologicznej, ale również rybołówstwu, akwakulturze i innej działalności gospodarczej, społecznej i kulturalnej. Podkreślono także potrzebę całościowego zrozumienia wpływu inwazyjnych gatunków obcych na gospodarkę, usługi ekosystemowe i różnorodność biologiczną, aby skutecznie zapobiegać nowym inwazjom i wdrażać środki łagodzące.</w:t>
      </w:r>
    </w:p>
    <w:p>
      <w:pPr>
        <w:pStyle w:val="Normal12a"/>
      </w:pPr>
      <w:r>
        <w:t>Wezwano do opracowania kampanii uświadamiających skierowanych do rybaków, ogółu społeczeństwa i zainteresowanych stron w celu lepszego zrozumienia wprowadzania, wykrywania i oddziaływania inwazyjnych gatunków obcych. Opowiedziano się też za wsparciem finansowym na rzecz ochrony ekosystemów morskich i wrażliwych gatunków, a także na rzecz regionalnych, krajowych i europejskich systemów informacji, monitorowania i wczesnego ostrzegania w odniesieniu do inwazyjnych gatunków obcych, uznając ich podwójną korzyść dla ochrony różnorodności biologicznej i rybołówstwa.</w:t>
      </w:r>
    </w:p>
    <w:p>
      <w:pPr>
        <w:pStyle w:val="Normal12a"/>
      </w:pPr>
      <w:r>
        <w:t>Ponadto uznano szczególną podatność regionów najbardziej oddalonych na inwazyjne gatunki obce oraz znaczenie wrażliwych gatunków w ich środowiskach morskich. Zaapelowano, by uznać znaczenie zajęcia się obiema kwestiami w tych regionach, i podkreślono potencjał zrównoważonej ekoturystyki w zakresie promowania ochrony ekosystemów morskich niosących bezpośrednie korzyści dla rybołówstwa i akwakultury.</w:t>
      </w:r>
    </w:p>
    <w:p>
      <w:pPr>
        <w:pStyle w:val="Normal12a"/>
      </w:pPr>
      <w:r>
        <w:t>Podsumowując, przedmiotowe sprawozdanie ma pobudzić do działań i zawiera apel o przyjęcie bardziej zintegrowanego, opartego na nauce i na współpracy podejścia, uznającego pilny charakter i złożoność tych wzajemnie powiązanych wyzwań.</w:t>
      </w:r>
    </w:p>
    <w:p>
      <w:pPr>
        <w:pStyle w:val="Normal12a"/>
        <w:sectPr>
          <w:footnotePr>
            <w:numRestart w:val="eachSect"/>
          </w:footnotePr>
          <w:type w:val="nextPage"/>
          <w:pgSz w:w="11906" w:h="16838"/>
          <w:pgMar w:top="1134" w:right="1417" w:bottom="1417" w:left="1417" w:header="1134" w:footer="567" w:gutter="0"/>
          <w:cols w:num="1" w:space="708"/>
          <w:titlePg w:val="0"/>
          <w:docGrid w:linePitch="360"/>
        </w:sectPr>
      </w:pPr>
    </w:p>
    <w:p>
      <w:pPr>
        <w:pStyle w:val="PageHeading"/>
      </w:pPr>
      <w:bookmarkStart w:id="2" w:name="_Toc256000005"/>
      <w:r>
        <w:t xml:space="preserve">ZAŁĄCZNIK: PODMIOTY LUB OSOBY, OD KTÓRYCH </w:t>
        <w:br/>
        <w:t>SPRAWOZDAWCA OTRZYMAŁ INFORMACJE</w:t>
      </w:r>
      <w:bookmarkEnd w:id="2"/>
    </w:p>
    <w:p>
      <w:pPr>
        <w:pStyle w:val="Normal12a"/>
      </w:pPr>
      <w:r>
        <w:rPr>
          <w:rStyle w:val="HideTWBExt"/>
        </w:rPr>
        <w:t>&lt;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  <w:r>
        <w:t>Zgodnie z art. 8 załącznika I do Regulaminu Parlamentu sprawozdawca oświadcza, że przy sporządzaniu projektu sprawozdania otrzymał informacje od następujących podmiotów lub osób:</w:t>
      </w:r>
      <w:r>
        <w:rPr>
          <w:rStyle w:val="HideTWBExt"/>
        </w:rPr>
        <w:t>&lt;/</w:t>
      </w:r>
      <w:r>
        <w:rPr>
          <w:rStyle w:val="HideTWBExt"/>
        </w:rPr>
        <w:t>FootprintIntro</w:t>
      </w:r>
      <w:r>
        <w:rPr>
          <w:rStyle w:val="HideTWBExt"/>
        </w:rPr>
        <w:t>&gt;</w:t>
      </w:r>
    </w:p>
    <w:tbl>
      <w:tblPr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0"/>
      </w:tblGrid>
      <w:tr>
        <w:tblPrEx>
          <w:jc w:val="center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pPr>
              <w:pStyle w:val="NormalCenter"/>
            </w:pPr>
            <w:r>
              <w:rPr>
                <w:rStyle w:val="Bold"/>
              </w:rPr>
              <w:t>Podmiot lub osoba</w:t>
            </w:r>
          </w:p>
        </w:tc>
      </w:tr>
      <w:tr>
        <w:tblPrEx>
          <w:jc w:val="cente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 w:val="0"/>
          <w:trHeight w:hRule="auto" w:val="0"/>
          <w:jc w:val="center"/>
        </w:trPr>
        <w:tc>
          <w:tcPr>
            <w:tcW w:w="9060" w:type="dxa"/>
            <w:vAlign w:val="top"/>
          </w:tcPr>
          <w:p>
            <w:r>
              <w:t>Ana Cristina Cardoso (PhD), Scientific Officer, European Commission, Joint Research Centre, Directorate D – Sustainable Resources, Unit D.02 Ocean and Water</w:t>
            </w:r>
          </w:p>
        </w:tc>
      </w:tr>
    </w:tbl>
    <w:p/>
    <w:p>
      <w:pPr>
        <w:pStyle w:val="Normal12a"/>
      </w:pPr>
      <w:r>
        <w:t>Powyższy wykaz został sporządzony na wyłączną odpowiedzialność sprawozdawcy.</w:t>
      </w:r>
    </w:p>
    <w:p>
      <w:pPr>
        <w:pStyle w:val="Normal12a"/>
      </w:pPr>
      <w:r>
        <w:t>Gdy osoby fizyczne są wymienione w wykazie z imienia i nazwiska, zidentyfikowane poprzez swoją funkcję lub wymienione z imienia i nazwiska wraz z podaniem ich funkcji, sprawozdawca oświadcza, że przedstawił tym osobom fizycznym Oświadczenie o ochronie prywatności w Parlamencie Europejskim nr 484 (</w:t>
      </w:r>
      <w:hyperlink r:id="rId9" w:history="1">
        <w:r>
          <w:rPr>
            <w:rStyle w:val="Hyperlink"/>
          </w:rPr>
          <w:t>https://www.europarl.europa.eu/data-protect/index.do</w:t>
        </w:r>
      </w:hyperlink>
      <w:r>
        <w:rPr>
          <w:rStyle w:val="DefaultParagraphFont"/>
          <w:b w:val="0"/>
          <w:i w:val="0"/>
          <w:u w:val="none"/>
        </w:rPr>
        <w:t>), w którym przedstawione są warunki mające zastosowanie do przetwarzania danych osobowych tych osób oraz prawa związane z takim przetwarzaniem.</w:t>
      </w:r>
    </w:p>
    <w:p>
      <w:pPr>
        <w:pStyle w:val="Normal12a"/>
      </w:pPr>
    </w:p>
    <w:sectPr>
      <w:footnotePr>
        <w:numRestart w:val="eachSect"/>
      </w:footnotePr>
      <w:type w:val="nextPage"/>
      <w:pgSz w:w="11906" w:h="16838"/>
      <w:pgMar w:top="1134" w:right="1417" w:bottom="1417" w:left="1417" w:header="1134" w:footer="567" w:gutter="0"/>
      <w:cols w:num="1"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PR\1315593PL.docx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769.962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354 z 28.12.2013, s. 22, ELI: http://data.europa.eu/eli/reg/2013/1380/oj.</w:t>
      </w:r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Dz.U. L 343 z 22.12.2009, s. 1, ELI: http://data.europa.eu/eli/reg/2009/1224/oj.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OJ L 317, 4.11.2014, p. 35, ELI: http://data.europa.eu/eli/reg/2014/1143/oj.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customStyle="1" w:styleId="NormalTab">
    <w:name w:val="NormalTab"/>
    <w:basedOn w:val="Normal"/>
    <w:rsid w:val="00CC6F1E"/>
    <w:pPr>
      <w:tabs>
        <w:tab w:val="center" w:pos="284"/>
        <w:tab w:val="left" w:pos="425"/>
      </w:tabs>
    </w:pPr>
    <w:rPr>
      <w:snapToGrid/>
      <w:lang w:eastAsia="en-GB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1315593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20250507-151405-006743-388998</vt:lpwstr>
  </property>
  <property fmtid="{D5CDD505-2E9C-101B-9397-08002B2CF9AE}" pid="7" name="FooterPath">
    <vt:lpwstr>PR\1315593PL.doc</vt:lpwstr>
  </property>
  <property fmtid="{D5CDD505-2E9C-101B-9397-08002B2CF9AE}" pid="8" name="PE Number">
    <vt:lpwstr>769.962</vt:lpwstr>
  </property>
  <property fmtid="{D5CDD505-2E9C-101B-9397-08002B2CF9AE}" pid="9" name="UID">
    <vt:lpwstr>eu.europa.europarl-DIN1-2025-0000029055_01.06-pl-01.00_text-xml</vt:lpwstr>
  </property>
</Properties>
</file>