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05489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054894" w:rsidRDefault="0073688C" w:rsidP="00C85D0F">
            <w:pPr>
              <w:pStyle w:val="EPName"/>
            </w:pPr>
            <w:bookmarkStart w:id="0" w:name="_GoBack"/>
            <w:bookmarkEnd w:id="0"/>
            <w:r w:rsidRPr="00054894">
              <w:t>Evropský parlament</w:t>
            </w:r>
          </w:p>
          <w:p w:rsidR="00C05DD8" w:rsidRPr="00054894" w:rsidRDefault="00323EB4" w:rsidP="00323EB4">
            <w:pPr>
              <w:pStyle w:val="EPTerm"/>
            </w:pPr>
            <w:r w:rsidRPr="00054894">
              <w:t>2024-2029</w:t>
            </w:r>
          </w:p>
        </w:tc>
        <w:tc>
          <w:tcPr>
            <w:tcW w:w="2268" w:type="dxa"/>
            <w:shd w:val="clear" w:color="auto" w:fill="auto"/>
          </w:tcPr>
          <w:p w:rsidR="00C05DD8" w:rsidRPr="00054894" w:rsidRDefault="00C05DD8" w:rsidP="00C85D0F">
            <w:pPr>
              <w:pStyle w:val="EPLogo"/>
            </w:pPr>
            <w:r w:rsidRPr="00054894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054894" w:rsidRDefault="009612AA" w:rsidP="009612AA">
      <w:pPr>
        <w:pStyle w:val="LineTop"/>
      </w:pPr>
    </w:p>
    <w:p w:rsidR="009612AA" w:rsidRPr="00054894" w:rsidRDefault="009612AA" w:rsidP="009612AA">
      <w:pPr>
        <w:pStyle w:val="EPBody"/>
      </w:pPr>
      <w:r w:rsidRPr="00054894">
        <w:rPr>
          <w:rStyle w:val="HideTWBExt"/>
          <w:noProof w:val="0"/>
        </w:rPr>
        <w:t>&lt;</w:t>
      </w:r>
      <w:r w:rsidRPr="00054894">
        <w:rPr>
          <w:rStyle w:val="HideTWBExt"/>
          <w:i w:val="0"/>
          <w:noProof w:val="0"/>
        </w:rPr>
        <w:t>Commission</w:t>
      </w:r>
      <w:r w:rsidRPr="00054894">
        <w:rPr>
          <w:rStyle w:val="HideTWBExt"/>
          <w:noProof w:val="0"/>
        </w:rPr>
        <w:t>&gt;</w:t>
      </w:r>
      <w:r w:rsidRPr="00054894">
        <w:rPr>
          <w:rStyle w:val="HideTWBInt"/>
        </w:rPr>
        <w:t>{PECH}</w:t>
      </w:r>
      <w:r w:rsidRPr="00054894">
        <w:t>Výbor pro rybolov</w:t>
      </w:r>
      <w:r w:rsidRPr="00054894">
        <w:rPr>
          <w:rStyle w:val="HideTWBExt"/>
          <w:noProof w:val="0"/>
        </w:rPr>
        <w:t>&lt;/</w:t>
      </w:r>
      <w:r w:rsidRPr="00054894">
        <w:rPr>
          <w:rStyle w:val="HideTWBExt"/>
          <w:i w:val="0"/>
          <w:noProof w:val="0"/>
        </w:rPr>
        <w:t>Commission</w:t>
      </w:r>
      <w:r w:rsidRPr="00054894">
        <w:rPr>
          <w:rStyle w:val="HideTWBExt"/>
          <w:noProof w:val="0"/>
        </w:rPr>
        <w:t>&gt;</w:t>
      </w:r>
    </w:p>
    <w:p w:rsidR="009612AA" w:rsidRPr="00054894" w:rsidRDefault="009612AA" w:rsidP="009612AA">
      <w:pPr>
        <w:pStyle w:val="LineBottom"/>
      </w:pPr>
    </w:p>
    <w:p w:rsidR="00363B94" w:rsidRPr="00054894" w:rsidRDefault="00363B94">
      <w:pPr>
        <w:pStyle w:val="CoverReference"/>
      </w:pPr>
      <w:r w:rsidRPr="00054894">
        <w:rPr>
          <w:rStyle w:val="HideTWBExt"/>
          <w:b w:val="0"/>
          <w:noProof w:val="0"/>
        </w:rPr>
        <w:t>&lt;RefProc&gt;</w:t>
      </w:r>
      <w:r w:rsidRPr="00054894">
        <w:t>2024/0263</w:t>
      </w:r>
      <w:r w:rsidRPr="00054894">
        <w:rPr>
          <w:rStyle w:val="HideTWBExt"/>
          <w:b w:val="0"/>
          <w:noProof w:val="0"/>
        </w:rPr>
        <w:t>&lt;/RefProc&gt;&lt;RefTypeProc&gt;</w:t>
      </w:r>
      <w:r w:rsidRPr="00054894">
        <w:t>(NLE)</w:t>
      </w:r>
      <w:r w:rsidRPr="00054894">
        <w:rPr>
          <w:rStyle w:val="HideTWBExt"/>
          <w:b w:val="0"/>
          <w:noProof w:val="0"/>
        </w:rPr>
        <w:t>&lt;/RefTypeProc&gt;</w:t>
      </w:r>
    </w:p>
    <w:p w:rsidR="00363B94" w:rsidRPr="00054894" w:rsidRDefault="00363B94">
      <w:pPr>
        <w:pStyle w:val="CoverDate"/>
      </w:pPr>
      <w:r w:rsidRPr="00054894">
        <w:rPr>
          <w:rStyle w:val="HideTWBExt"/>
          <w:noProof w:val="0"/>
        </w:rPr>
        <w:t>&lt;Date&gt;</w:t>
      </w:r>
      <w:r w:rsidRPr="00054894">
        <w:rPr>
          <w:rStyle w:val="HideTWBInt"/>
        </w:rPr>
        <w:t>{24/02/2025}</w:t>
      </w:r>
      <w:r w:rsidRPr="00054894">
        <w:t>24.2.2025</w:t>
      </w:r>
      <w:r w:rsidRPr="00054894">
        <w:rPr>
          <w:rStyle w:val="HideTWBExt"/>
          <w:noProof w:val="0"/>
        </w:rPr>
        <w:t>&lt;/Date&gt;</w:t>
      </w:r>
    </w:p>
    <w:p w:rsidR="00363B94" w:rsidRPr="00054894" w:rsidRDefault="00363B94">
      <w:pPr>
        <w:pStyle w:val="CoverDocType"/>
      </w:pPr>
      <w:r w:rsidRPr="00054894">
        <w:rPr>
          <w:rStyle w:val="HideTWBExt"/>
          <w:b w:val="0"/>
          <w:noProof w:val="0"/>
        </w:rPr>
        <w:t>&lt;RefProcLect&gt;</w:t>
      </w:r>
      <w:r w:rsidRPr="00054894">
        <w:t>***</w:t>
      </w:r>
      <w:r w:rsidRPr="00054894">
        <w:rPr>
          <w:rStyle w:val="HideTWBExt"/>
          <w:b w:val="0"/>
          <w:noProof w:val="0"/>
        </w:rPr>
        <w:t>&lt;/RefProcLect&gt;</w:t>
      </w:r>
    </w:p>
    <w:p w:rsidR="00363B94" w:rsidRPr="00054894" w:rsidRDefault="00363B94">
      <w:pPr>
        <w:pStyle w:val="CoverDocType24a"/>
      </w:pPr>
      <w:r w:rsidRPr="00054894">
        <w:rPr>
          <w:rStyle w:val="HideTWBExt"/>
          <w:b w:val="0"/>
          <w:noProof w:val="0"/>
        </w:rPr>
        <w:t>&lt;TitreType&gt;</w:t>
      </w:r>
      <w:r w:rsidRPr="00054894">
        <w:t>NÁVRH DOPORUČENÍ</w:t>
      </w:r>
      <w:r w:rsidRPr="00054894">
        <w:rPr>
          <w:rStyle w:val="HideTWBExt"/>
          <w:b w:val="0"/>
          <w:noProof w:val="0"/>
        </w:rPr>
        <w:t>&lt;/TitreType&gt;</w:t>
      </w:r>
    </w:p>
    <w:p w:rsidR="00363B94" w:rsidRPr="00054894" w:rsidRDefault="00363B94">
      <w:pPr>
        <w:pStyle w:val="CoverNormal"/>
      </w:pPr>
      <w:r w:rsidRPr="00054894">
        <w:rPr>
          <w:rStyle w:val="HideTWBExt"/>
          <w:noProof w:val="0"/>
        </w:rPr>
        <w:t>&lt;Titre&gt;</w:t>
      </w:r>
      <w:r w:rsidRPr="00054894">
        <w:t>k návrhu rozhodnutí Rady</w:t>
      </w:r>
      <w:r w:rsidR="00054894">
        <w:t xml:space="preserve"> o </w:t>
      </w:r>
      <w:r w:rsidRPr="00054894">
        <w:t>uzavření prováděcího protokolu (na období 2025–2030)</w:t>
      </w:r>
      <w:r w:rsidR="00054894">
        <w:t xml:space="preserve"> k </w:t>
      </w:r>
      <w:r w:rsidRPr="00054894">
        <w:t>Protokolu, kterým se provádí Dohoda mezi Evropskou unií na jedné straně</w:t>
      </w:r>
      <w:r w:rsidR="00054894">
        <w:t xml:space="preserve"> a </w:t>
      </w:r>
      <w:r w:rsidRPr="00054894">
        <w:t>vládou Grónska</w:t>
      </w:r>
      <w:r w:rsidR="00054894">
        <w:t xml:space="preserve"> a </w:t>
      </w:r>
      <w:r w:rsidRPr="00054894">
        <w:t>vládou Dánska na straně druhé</w:t>
      </w:r>
      <w:r w:rsidR="00054894">
        <w:t xml:space="preserve"> o </w:t>
      </w:r>
      <w:r w:rsidRPr="00054894">
        <w:t>partnerství</w:t>
      </w:r>
      <w:r w:rsidR="00054894">
        <w:t xml:space="preserve"> v </w:t>
      </w:r>
      <w:r w:rsidRPr="00054894">
        <w:t>oblasti udržitelného rybolovu, jménem Evropské unie</w:t>
      </w:r>
      <w:r w:rsidRPr="00054894">
        <w:rPr>
          <w:rStyle w:val="HideTWBExt"/>
          <w:noProof w:val="0"/>
        </w:rPr>
        <w:t>&lt;/Titre&gt;</w:t>
      </w:r>
    </w:p>
    <w:p w:rsidR="00323EB4" w:rsidRPr="00054894" w:rsidRDefault="00323EB4" w:rsidP="00323EB4">
      <w:pPr>
        <w:pStyle w:val="CoverNormal24a"/>
      </w:pPr>
      <w:r w:rsidRPr="00054894">
        <w:rPr>
          <w:rStyle w:val="HideTWBExt"/>
          <w:noProof w:val="0"/>
        </w:rPr>
        <w:t>&lt;DocRef&gt;</w:t>
      </w:r>
      <w:r w:rsidRPr="00054894">
        <w:t>(COM(2024)0479 – C10</w:t>
      </w:r>
      <w:r w:rsidRPr="00054894">
        <w:noBreakHyphen/>
        <w:t>0227/2024 – 2024/0263(NLE))</w:t>
      </w:r>
      <w:r w:rsidRPr="00054894">
        <w:rPr>
          <w:rStyle w:val="HideTWBExt"/>
          <w:noProof w:val="0"/>
        </w:rPr>
        <w:t>&lt;/DocRef&gt;</w:t>
      </w:r>
    </w:p>
    <w:p w:rsidR="00363B94" w:rsidRPr="00054894" w:rsidRDefault="00363B94">
      <w:pPr>
        <w:pStyle w:val="CoverNormal24a"/>
      </w:pPr>
      <w:r w:rsidRPr="00054894">
        <w:rPr>
          <w:rStyle w:val="HideTWBExt"/>
          <w:noProof w:val="0"/>
        </w:rPr>
        <w:t>&lt;Commission&gt;</w:t>
      </w:r>
      <w:r w:rsidRPr="00054894">
        <w:rPr>
          <w:rStyle w:val="HideTWBInt"/>
        </w:rPr>
        <w:t>{PECH}</w:t>
      </w:r>
      <w:r w:rsidRPr="00054894">
        <w:t>Výbor pro rybolov</w:t>
      </w:r>
      <w:r w:rsidRPr="00054894">
        <w:rPr>
          <w:rStyle w:val="HideTWBExt"/>
          <w:noProof w:val="0"/>
        </w:rPr>
        <w:t>&lt;/Commission&gt;</w:t>
      </w:r>
    </w:p>
    <w:p w:rsidR="00363B94" w:rsidRPr="00054894" w:rsidRDefault="00323EB4">
      <w:pPr>
        <w:pStyle w:val="CoverNormal24a"/>
      </w:pPr>
      <w:r w:rsidRPr="00054894">
        <w:t xml:space="preserve">Zpravodajka: </w:t>
      </w:r>
      <w:r w:rsidRPr="00054894">
        <w:rPr>
          <w:rStyle w:val="HideTWBExt"/>
          <w:noProof w:val="0"/>
        </w:rPr>
        <w:t>&lt;Depute&gt;</w:t>
      </w:r>
      <w:r w:rsidRPr="00054894">
        <w:t>Emma Fourreau</w:t>
      </w:r>
      <w:r w:rsidRPr="00054894">
        <w:rPr>
          <w:rStyle w:val="HideTWBExt"/>
          <w:noProof w:val="0"/>
        </w:rPr>
        <w:t>&lt;/Depute&gt;</w:t>
      </w:r>
    </w:p>
    <w:p w:rsidR="00B42885" w:rsidRPr="00054894" w:rsidRDefault="00B42885" w:rsidP="00B42885">
      <w:pPr>
        <w:pStyle w:val="CoverNormal"/>
      </w:pPr>
    </w:p>
    <w:p w:rsidR="00323EB4" w:rsidRPr="00054894" w:rsidRDefault="00363B94" w:rsidP="00016E55">
      <w:r w:rsidRPr="00054894">
        <w:br w:type="page"/>
      </w:r>
      <w:r w:rsidR="00D7204D">
        <w:lastRenderedPageBreak/>
        <w:fldChar w:fldCharType="begin"/>
      </w:r>
      <w:r w:rsidR="00D7204D">
        <w:instrText xml:space="preserve"> TITLE  \* MERGEFORMAT </w:instrText>
      </w:r>
      <w:r w:rsidR="00D7204D">
        <w:fldChar w:fldCharType="separate"/>
      </w:r>
      <w:r w:rsidR="00D7204D">
        <w:t>PR_NLE-AP_Agreement</w:t>
      </w:r>
      <w:r w:rsidR="00D7204D">
        <w:fldChar w:fldCharType="end"/>
      </w:r>
    </w:p>
    <w:p w:rsidR="00323EB4" w:rsidRPr="00054894" w:rsidRDefault="00323EB4" w:rsidP="00016E55"/>
    <w:p w:rsidR="00323EB4" w:rsidRPr="00054894" w:rsidRDefault="00323EB4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23EB4" w:rsidRPr="00054894">
        <w:tc>
          <w:tcPr>
            <w:tcW w:w="5811" w:type="dxa"/>
          </w:tcPr>
          <w:p w:rsidR="00323EB4" w:rsidRPr="00054894" w:rsidRDefault="00323EB4" w:rsidP="00016E55">
            <w:pPr>
              <w:pStyle w:val="Lgendetitre"/>
            </w:pPr>
            <w:r w:rsidRPr="00054894">
              <w:t>Vysvětlivky</w:t>
            </w:r>
          </w:p>
        </w:tc>
      </w:tr>
      <w:tr w:rsidR="00323EB4" w:rsidRPr="00054894" w:rsidTr="00114A3C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323EB4" w:rsidRPr="00054894" w:rsidRDefault="00323EB4" w:rsidP="00343C61">
            <w:pPr>
              <w:pStyle w:val="Lgendesigne"/>
            </w:pPr>
            <w:r w:rsidRPr="00054894">
              <w:tab/>
              <w:t>*</w:t>
            </w:r>
            <w:r w:rsidRPr="00054894">
              <w:tab/>
              <w:t>Postup konzultace</w:t>
            </w:r>
            <w:r w:rsidRPr="00054894">
              <w:tab/>
            </w:r>
          </w:p>
          <w:p w:rsidR="00323EB4" w:rsidRPr="00054894" w:rsidRDefault="00323EB4" w:rsidP="00343C61">
            <w:pPr>
              <w:pStyle w:val="Lgendesigne"/>
            </w:pPr>
            <w:r w:rsidRPr="00054894">
              <w:tab/>
              <w:t>***</w:t>
            </w:r>
            <w:r w:rsidRPr="00054894">
              <w:tab/>
              <w:t>Postup souhlasu</w:t>
            </w:r>
          </w:p>
          <w:p w:rsidR="00323EB4" w:rsidRPr="00054894" w:rsidRDefault="00323EB4" w:rsidP="00343C61">
            <w:pPr>
              <w:pStyle w:val="Lgendesigne"/>
            </w:pPr>
            <w:r w:rsidRPr="00054894">
              <w:tab/>
              <w:t>***I</w:t>
            </w:r>
            <w:r w:rsidRPr="00054894">
              <w:tab/>
              <w:t>Řádný legislativní postup (první čtení)</w:t>
            </w:r>
          </w:p>
          <w:p w:rsidR="00323EB4" w:rsidRPr="00054894" w:rsidRDefault="00323EB4" w:rsidP="00343C61">
            <w:pPr>
              <w:pStyle w:val="Lgendesigne"/>
            </w:pPr>
            <w:r w:rsidRPr="00054894">
              <w:tab/>
              <w:t>***II</w:t>
            </w:r>
            <w:r w:rsidRPr="00054894">
              <w:tab/>
              <w:t>Řádný legislativní postup (druhé čtení)</w:t>
            </w:r>
          </w:p>
          <w:p w:rsidR="00323EB4" w:rsidRPr="00054894" w:rsidRDefault="00323EB4" w:rsidP="00343C61">
            <w:pPr>
              <w:pStyle w:val="Lgendesigne"/>
            </w:pPr>
            <w:r w:rsidRPr="00054894">
              <w:tab/>
              <w:t>***III</w:t>
            </w:r>
            <w:r w:rsidRPr="00054894">
              <w:tab/>
              <w:t>Řádný legislativní postup (třetí čtení)</w:t>
            </w:r>
          </w:p>
          <w:p w:rsidR="00323EB4" w:rsidRPr="00054894" w:rsidRDefault="00323EB4" w:rsidP="00016E55">
            <w:pPr>
              <w:pStyle w:val="Lgendestandard"/>
            </w:pPr>
          </w:p>
          <w:p w:rsidR="00323EB4" w:rsidRPr="00054894" w:rsidRDefault="00323EB4" w:rsidP="00016E55">
            <w:pPr>
              <w:pStyle w:val="Lgendestandard"/>
            </w:pPr>
            <w:r w:rsidRPr="00054894">
              <w:t>(Druh postupu závisí na právním základu navrženém</w:t>
            </w:r>
            <w:r w:rsidR="00054894">
              <w:t xml:space="preserve"> v </w:t>
            </w:r>
            <w:r w:rsidRPr="00054894">
              <w:t>návrhu aktu.)</w:t>
            </w:r>
          </w:p>
          <w:p w:rsidR="00323EB4" w:rsidRPr="00054894" w:rsidRDefault="00323EB4" w:rsidP="002B1E3A">
            <w:pPr>
              <w:pStyle w:val="Lgendestandard"/>
            </w:pPr>
          </w:p>
        </w:tc>
      </w:tr>
    </w:tbl>
    <w:p w:rsidR="00323EB4" w:rsidRPr="00054894" w:rsidRDefault="00323EB4" w:rsidP="00016E55"/>
    <w:p w:rsidR="00363B94" w:rsidRPr="00054894" w:rsidRDefault="00363B94" w:rsidP="00613F2E">
      <w:pPr>
        <w:widowControl/>
        <w:tabs>
          <w:tab w:val="center" w:pos="4677"/>
        </w:tabs>
      </w:pPr>
    </w:p>
    <w:p w:rsidR="00363B94" w:rsidRPr="00054894" w:rsidRDefault="00363B94">
      <w:pPr>
        <w:pStyle w:val="TOCHeading"/>
      </w:pPr>
      <w:r w:rsidRPr="00054894">
        <w:br w:type="page"/>
      </w:r>
      <w:r w:rsidRPr="00054894">
        <w:lastRenderedPageBreak/>
        <w:t>OBSAH</w:t>
      </w:r>
    </w:p>
    <w:p w:rsidR="00363B94" w:rsidRPr="00054894" w:rsidRDefault="0073688C">
      <w:pPr>
        <w:pStyle w:val="TOCPage"/>
      </w:pPr>
      <w:r w:rsidRPr="00054894">
        <w:t>Strana</w:t>
      </w:r>
    </w:p>
    <w:p w:rsidR="00D7204D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054894">
        <w:fldChar w:fldCharType="begin"/>
      </w:r>
      <w:r w:rsidRPr="00054894">
        <w:instrText xml:space="preserve"> TOC \t "PageHeading</w:instrText>
      </w:r>
      <w:r w:rsidR="00D7204D">
        <w:instrText>;</w:instrText>
      </w:r>
      <w:r w:rsidRPr="00054894">
        <w:instrText xml:space="preserve">1" </w:instrText>
      </w:r>
      <w:r w:rsidRPr="00054894">
        <w:fldChar w:fldCharType="separate"/>
      </w:r>
      <w:r w:rsidR="00D7204D">
        <w:rPr>
          <w:noProof/>
        </w:rPr>
        <w:t>NÁVRH LEGISLATIVNÍHO USNESENÍ EVROPSKÉHO PARLAMENTU</w:t>
      </w:r>
      <w:r w:rsidR="00D7204D">
        <w:rPr>
          <w:noProof/>
        </w:rPr>
        <w:tab/>
      </w:r>
      <w:r w:rsidR="00D7204D">
        <w:rPr>
          <w:noProof/>
        </w:rPr>
        <w:fldChar w:fldCharType="begin"/>
      </w:r>
      <w:r w:rsidR="00D7204D">
        <w:rPr>
          <w:noProof/>
        </w:rPr>
        <w:instrText xml:space="preserve"> PAGEREF _Toc192515001 \h </w:instrText>
      </w:r>
      <w:r w:rsidR="00D7204D">
        <w:rPr>
          <w:noProof/>
        </w:rPr>
      </w:r>
      <w:r w:rsidR="00D7204D">
        <w:rPr>
          <w:noProof/>
        </w:rPr>
        <w:fldChar w:fldCharType="separate"/>
      </w:r>
      <w:r w:rsidR="00D7204D">
        <w:rPr>
          <w:noProof/>
        </w:rPr>
        <w:t>4</w:t>
      </w:r>
      <w:r w:rsidR="00D7204D">
        <w:rPr>
          <w:noProof/>
        </w:rPr>
        <w:fldChar w:fldCharType="end"/>
      </w:r>
    </w:p>
    <w:p w:rsidR="00D7204D" w:rsidRDefault="00D7204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_Toc192515002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204D" w:rsidRDefault="00D7204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PŘÍLOHA: SUBJEKTY NEBO OSOBY, OD NICHŽ ZPRAVODAJ OBDRŽEL PODNĚTY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_Toc192515003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1650" w:rsidRPr="00054894" w:rsidRDefault="00EF48F2" w:rsidP="00F04010">
      <w:r w:rsidRPr="00054894">
        <w:fldChar w:fldCharType="end"/>
      </w:r>
    </w:p>
    <w:p w:rsidR="00363B94" w:rsidRPr="00054894" w:rsidRDefault="00363B94" w:rsidP="0006167F">
      <w:pPr>
        <w:pStyle w:val="PageHeading"/>
      </w:pPr>
      <w:r w:rsidRPr="00054894">
        <w:br w:type="page"/>
      </w:r>
      <w:bookmarkStart w:id="1" w:name="_Toc192515001"/>
      <w:r w:rsidRPr="00054894">
        <w:lastRenderedPageBreak/>
        <w:t>NÁVRH LEGISLATIVNÍHO USNESENÍ EVROPSKÉHO PARLAMENTU</w:t>
      </w:r>
      <w:bookmarkEnd w:id="1"/>
    </w:p>
    <w:p w:rsidR="00363B94" w:rsidRPr="00054894" w:rsidRDefault="0073688C">
      <w:pPr>
        <w:pStyle w:val="NormalBold"/>
      </w:pPr>
      <w:r w:rsidRPr="00054894">
        <w:t>o návrhu rozhodnutí Rady</w:t>
      </w:r>
      <w:r w:rsidR="00054894">
        <w:t xml:space="preserve"> o </w:t>
      </w:r>
      <w:r w:rsidRPr="00054894">
        <w:t>uzavření prováděcího protokolu (na období 2025–2030)</w:t>
      </w:r>
      <w:r w:rsidR="00054894">
        <w:t xml:space="preserve"> k </w:t>
      </w:r>
      <w:r w:rsidRPr="00054894">
        <w:t>Protokolu, kterým se provádí Dohoda mezi Evropskou unií na jedné straně</w:t>
      </w:r>
      <w:r w:rsidR="00054894">
        <w:t xml:space="preserve"> a </w:t>
      </w:r>
      <w:r w:rsidRPr="00054894">
        <w:t>vládou Grónska</w:t>
      </w:r>
      <w:r w:rsidR="00054894">
        <w:t xml:space="preserve"> a </w:t>
      </w:r>
      <w:r w:rsidRPr="00054894">
        <w:t>vládou Dánska na straně druhé</w:t>
      </w:r>
      <w:r w:rsidR="00054894">
        <w:t xml:space="preserve"> o </w:t>
      </w:r>
      <w:r w:rsidRPr="00054894">
        <w:t>partnerství</w:t>
      </w:r>
      <w:r w:rsidR="00054894">
        <w:t xml:space="preserve"> v </w:t>
      </w:r>
      <w:r w:rsidRPr="00054894">
        <w:t>oblasti udržitelného rybolovu, jménem Evropské unie</w:t>
      </w:r>
    </w:p>
    <w:p w:rsidR="00323EB4" w:rsidRPr="00054894" w:rsidRDefault="00323EB4" w:rsidP="00323EB4">
      <w:pPr>
        <w:pStyle w:val="NormalBold12a"/>
      </w:pPr>
      <w:r w:rsidRPr="00054894">
        <w:t>(COM(2024)0479 – C10 0227/2024 – 2024/0263(NLE))</w:t>
      </w:r>
    </w:p>
    <w:p w:rsidR="00363B94" w:rsidRPr="00054894" w:rsidRDefault="0073688C" w:rsidP="00893FBD">
      <w:pPr>
        <w:pStyle w:val="NormalBold"/>
      </w:pPr>
      <w:r w:rsidRPr="00054894">
        <w:t>(Souhlas)</w:t>
      </w:r>
    </w:p>
    <w:p w:rsidR="00363B94" w:rsidRPr="00054894" w:rsidRDefault="0073688C">
      <w:pPr>
        <w:pStyle w:val="EPComma"/>
      </w:pPr>
      <w:r w:rsidRPr="00054894">
        <w:rPr>
          <w:i/>
        </w:rPr>
        <w:t>Evropský parlament</w:t>
      </w:r>
      <w:r w:rsidRPr="00054894">
        <w:t>,</w:t>
      </w:r>
    </w:p>
    <w:p w:rsidR="00BF7F55" w:rsidRPr="00054894" w:rsidRDefault="00BF7F55" w:rsidP="00BF7F55">
      <w:pPr>
        <w:pStyle w:val="NormalHanging12a"/>
      </w:pPr>
      <w:r w:rsidRPr="00054894">
        <w:t>–</w:t>
      </w:r>
      <w:r w:rsidRPr="00054894">
        <w:tab/>
        <w:t>s ohledem na návrh rozhodnutí Rady (14652/2024),</w:t>
      </w:r>
    </w:p>
    <w:p w:rsidR="00323EB4" w:rsidRPr="00054894" w:rsidRDefault="00323EB4" w:rsidP="00323EB4">
      <w:pPr>
        <w:widowControl/>
        <w:spacing w:after="120"/>
        <w:ind w:left="567" w:hanging="567"/>
        <w:rPr>
          <w:szCs w:val="24"/>
        </w:rPr>
      </w:pPr>
      <w:r w:rsidRPr="00054894">
        <w:t>–</w:t>
      </w:r>
      <w:r w:rsidRPr="00054894">
        <w:tab/>
        <w:t>s ohledem na Protokol</w:t>
      </w:r>
      <w:r w:rsidR="00054894">
        <w:t xml:space="preserve"> o </w:t>
      </w:r>
      <w:r w:rsidRPr="00054894">
        <w:t>provádění Dohody mezi Evropskou unií na jedné straně</w:t>
      </w:r>
      <w:r w:rsidR="00054894">
        <w:t xml:space="preserve"> a </w:t>
      </w:r>
      <w:r w:rsidRPr="00054894">
        <w:t>vládou Grónska</w:t>
      </w:r>
      <w:r w:rsidR="00054894">
        <w:t xml:space="preserve"> a </w:t>
      </w:r>
      <w:r w:rsidRPr="00054894">
        <w:t>vládou Dánska na straně druhé</w:t>
      </w:r>
      <w:r w:rsidR="00054894">
        <w:t xml:space="preserve"> o </w:t>
      </w:r>
      <w:r w:rsidRPr="00054894">
        <w:t>partnerství</w:t>
      </w:r>
      <w:r w:rsidR="00054894">
        <w:t xml:space="preserve"> v </w:t>
      </w:r>
      <w:r w:rsidRPr="00054894">
        <w:t xml:space="preserve">oblasti udržitelného rybolovu (2025–2030) (14781/24), </w:t>
      </w:r>
    </w:p>
    <w:p w:rsidR="00363B94" w:rsidRPr="00054894" w:rsidRDefault="005F5D6C">
      <w:pPr>
        <w:pStyle w:val="NormalHanging12a"/>
      </w:pPr>
      <w:r w:rsidRPr="00054894">
        <w:t>–</w:t>
      </w:r>
      <w:r w:rsidRPr="00054894">
        <w:tab/>
        <w:t>s ohledem na žádost</w:t>
      </w:r>
      <w:r w:rsidR="00054894">
        <w:t xml:space="preserve"> o </w:t>
      </w:r>
      <w:r w:rsidRPr="00054894">
        <w:t>udělení souhlasu, kterou předložila Rada</w:t>
      </w:r>
      <w:r w:rsidR="00054894">
        <w:t xml:space="preserve"> v </w:t>
      </w:r>
      <w:r w:rsidRPr="00054894">
        <w:t>souladu</w:t>
      </w:r>
      <w:r w:rsidR="00054894">
        <w:t xml:space="preserve"> s </w:t>
      </w:r>
      <w:r w:rsidRPr="00054894">
        <w:t>čl. 43 odst. 2</w:t>
      </w:r>
      <w:r w:rsidR="00054894">
        <w:t xml:space="preserve"> a </w:t>
      </w:r>
      <w:r w:rsidRPr="00054894">
        <w:t>čl. 218 odst. 6 druhým pododstavcem písm. a) bodem v) Smlouvy</w:t>
      </w:r>
      <w:r w:rsidR="00054894">
        <w:t xml:space="preserve"> o </w:t>
      </w:r>
      <w:r w:rsidRPr="00054894">
        <w:t>fungování Evropské unie (C10</w:t>
      </w:r>
      <w:r w:rsidRPr="00054894">
        <w:noBreakHyphen/>
        <w:t>0227/20024),</w:t>
      </w:r>
    </w:p>
    <w:p w:rsidR="00323EB4" w:rsidRPr="00054894" w:rsidRDefault="00323EB4" w:rsidP="00323EB4">
      <w:pPr>
        <w:widowControl/>
        <w:spacing w:after="120"/>
        <w:ind w:left="567" w:hanging="567"/>
        <w:rPr>
          <w:szCs w:val="24"/>
        </w:rPr>
      </w:pPr>
      <w:r w:rsidRPr="00054894">
        <w:t>–</w:t>
      </w:r>
      <w:r w:rsidRPr="00054894">
        <w:tab/>
        <w:t>s ohledem na rozpočtové posouzení Rozpočtového výboru,</w:t>
      </w:r>
    </w:p>
    <w:p w:rsidR="00323EB4" w:rsidRPr="00054894" w:rsidRDefault="00323EB4" w:rsidP="00323EB4">
      <w:pPr>
        <w:widowControl/>
        <w:spacing w:after="120"/>
        <w:ind w:left="567" w:hanging="567"/>
        <w:rPr>
          <w:szCs w:val="24"/>
        </w:rPr>
      </w:pPr>
      <w:r w:rsidRPr="00054894">
        <w:t>–</w:t>
      </w:r>
      <w:r w:rsidRPr="00054894">
        <w:tab/>
        <w:t>s ohledem na své nelegislativní usnesení ze dne …</w:t>
      </w:r>
      <w:r w:rsidRPr="00054894">
        <w:rPr>
          <w:rStyle w:val="FootnoteReference"/>
        </w:rPr>
        <w:footnoteReference w:id="1"/>
      </w:r>
      <w:r w:rsidR="00054894">
        <w:t xml:space="preserve"> o </w:t>
      </w:r>
      <w:r w:rsidRPr="00054894">
        <w:t xml:space="preserve">návrhu rozhodnutí, </w:t>
      </w:r>
    </w:p>
    <w:p w:rsidR="00363B94" w:rsidRPr="00054894" w:rsidRDefault="00363B94">
      <w:pPr>
        <w:pStyle w:val="NormalHanging12a"/>
      </w:pPr>
      <w:r w:rsidRPr="00054894">
        <w:t>–</w:t>
      </w:r>
      <w:r w:rsidRPr="00054894">
        <w:tab/>
        <w:t>s ohledem na čl. 107 odst. 1</w:t>
      </w:r>
      <w:r w:rsidR="00054894">
        <w:t xml:space="preserve"> a </w:t>
      </w:r>
      <w:r w:rsidRPr="00054894">
        <w:t>4</w:t>
      </w:r>
      <w:r w:rsidR="00054894">
        <w:t xml:space="preserve"> a </w:t>
      </w:r>
      <w:r w:rsidRPr="00054894">
        <w:t>čl. 117 odst. 7 jednacího řádu,</w:t>
      </w:r>
    </w:p>
    <w:p w:rsidR="00363B94" w:rsidRPr="00054894" w:rsidRDefault="00363B94">
      <w:pPr>
        <w:pStyle w:val="NormalHanging12a"/>
      </w:pPr>
      <w:r w:rsidRPr="00054894">
        <w:t>–</w:t>
      </w:r>
      <w:r w:rsidRPr="00054894">
        <w:tab/>
        <w:t>s ohledem na doporučení Výboru pro rybolov (A10</w:t>
      </w:r>
      <w:r w:rsidRPr="00054894">
        <w:noBreakHyphen/>
        <w:t>0000/2025),</w:t>
      </w:r>
    </w:p>
    <w:p w:rsidR="00363B94" w:rsidRPr="00054894" w:rsidRDefault="00363B94">
      <w:pPr>
        <w:pStyle w:val="NormalHanging12a"/>
      </w:pPr>
      <w:r w:rsidRPr="00054894">
        <w:t>1.</w:t>
      </w:r>
      <w:r w:rsidRPr="00054894">
        <w:tab/>
        <w:t>uděluje souhlas</w:t>
      </w:r>
      <w:r w:rsidR="00054894">
        <w:t xml:space="preserve"> s </w:t>
      </w:r>
      <w:r w:rsidRPr="00054894">
        <w:t>uzavřením dohody;</w:t>
      </w:r>
    </w:p>
    <w:p w:rsidR="00323EB4" w:rsidRPr="00054894" w:rsidRDefault="00323EB4" w:rsidP="00323EB4">
      <w:pPr>
        <w:pStyle w:val="NormalHanging12a"/>
        <w:spacing w:after="120"/>
      </w:pPr>
      <w:r w:rsidRPr="00054894">
        <w:t>2.</w:t>
      </w:r>
      <w:r w:rsidRPr="00054894">
        <w:tab/>
        <w:t>pověřuje svou předsedkyni, aby předala postoj Parlamentu Radě, Komisi</w:t>
      </w:r>
      <w:r w:rsidR="00054894">
        <w:t xml:space="preserve"> a </w:t>
      </w:r>
      <w:r w:rsidRPr="00054894">
        <w:t>vládám</w:t>
      </w:r>
      <w:r w:rsidR="00054894">
        <w:t xml:space="preserve"> a </w:t>
      </w:r>
      <w:r w:rsidRPr="00054894">
        <w:t>parlamentům členských států na jedné straně</w:t>
      </w:r>
      <w:r w:rsidR="00054894">
        <w:t xml:space="preserve"> a </w:t>
      </w:r>
      <w:r w:rsidRPr="00054894">
        <w:t>vládám</w:t>
      </w:r>
      <w:r w:rsidR="00054894">
        <w:t xml:space="preserve"> a </w:t>
      </w:r>
      <w:r w:rsidRPr="00054894">
        <w:t>parlamentům Grónska</w:t>
      </w:r>
      <w:r w:rsidR="00054894">
        <w:t xml:space="preserve"> a </w:t>
      </w:r>
      <w:r w:rsidRPr="00054894">
        <w:t>Dánska na straně druhé.</w:t>
      </w:r>
    </w:p>
    <w:p w:rsidR="00323EB4" w:rsidRPr="00054894" w:rsidRDefault="00323EB4" w:rsidP="00323EB4">
      <w:pPr>
        <w:pStyle w:val="NormalHanging12a"/>
        <w:sectPr w:rsidR="00323EB4" w:rsidRPr="00054894" w:rsidSect="00323EB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23EB4" w:rsidRPr="00054894" w:rsidRDefault="00323EB4" w:rsidP="00323EB4">
      <w:pPr>
        <w:pStyle w:val="PageHeading"/>
      </w:pPr>
      <w:bookmarkStart w:id="2" w:name="_Toc191313027"/>
      <w:bookmarkStart w:id="3" w:name="_Toc192515002"/>
      <w:r w:rsidRPr="00054894">
        <w:lastRenderedPageBreak/>
        <w:t>VYSVĚTLUJÍCÍ PROHLÁŠENÍ</w:t>
      </w:r>
      <w:bookmarkEnd w:id="2"/>
      <w:bookmarkEnd w:id="3"/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Na konci roku 2024 podepsaly Grónsko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Evropská unie nový prováděcí protokol</w:t>
      </w:r>
      <w:r w:rsidR="00054894">
        <w:rPr>
          <w:color w:val="000000"/>
        </w:rPr>
        <w:t xml:space="preserve"> k </w:t>
      </w:r>
      <w:r w:rsidRPr="00054894">
        <w:rPr>
          <w:color w:val="000000"/>
        </w:rPr>
        <w:t>dohodě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partnerství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oblasti udržitelného rybolovu (2025–2030). Jedná se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smíšenou dohodu, která umožňuje plavidlům Unie lovit druhy, jako je treska obecná, platýs černý, okouník rodu Sebastes nebo kreveta severní. Výměnou za to platí Unie ročn</w:t>
      </w:r>
      <w:r w:rsidR="00054894">
        <w:rPr>
          <w:color w:val="000000"/>
        </w:rPr>
        <w:t>í finanční příspěvek ve výši 17 </w:t>
      </w:r>
      <w:r w:rsidRPr="00054894">
        <w:rPr>
          <w:color w:val="000000"/>
        </w:rPr>
        <w:t>296 857 EUR,</w:t>
      </w:r>
      <w:r w:rsidR="00054894">
        <w:rPr>
          <w:color w:val="000000"/>
        </w:rPr>
        <w:t xml:space="preserve"> z </w:t>
      </w:r>
      <w:r w:rsidRPr="00054894">
        <w:rPr>
          <w:color w:val="000000"/>
        </w:rPr>
        <w:t>čehož 14 096 857 EUR je za přístupová práva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3 200 000 EUR je určeno na podporu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provádění rybářské politiky Grónska,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to nad rámec nákladů placených majiteli plavidel. Dohoda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rybolovu umožnila, aby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posledních letech působilo ve vodách autonomního území přibližně deset plavidel EU. Nový protokol podrobně popisuje pravidla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ustanovení, jimiž se tento přístup řídí.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b/>
          <w:color w:val="000000"/>
        </w:rPr>
        <w:t>Rybolov</w:t>
      </w:r>
      <w:r w:rsidR="00054894">
        <w:rPr>
          <w:b/>
          <w:color w:val="000000"/>
        </w:rPr>
        <w:t xml:space="preserve"> v </w:t>
      </w:r>
      <w:r w:rsidRPr="00054894">
        <w:rPr>
          <w:b/>
          <w:color w:val="000000"/>
        </w:rPr>
        <w:t>Grónsku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Rybolov je pro Grónsko ze socioekonomického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kulturního hlediska klíčovým odvětvím. Představuje 15 % pracovních míst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více než 90 % vývozu území. Pobřežní rybolov se provádí převážně</w:t>
      </w:r>
      <w:r w:rsidR="00054894">
        <w:rPr>
          <w:color w:val="000000"/>
        </w:rPr>
        <w:t xml:space="preserve"> z </w:t>
      </w:r>
      <w:r w:rsidRPr="00054894">
        <w:rPr>
          <w:color w:val="000000"/>
        </w:rPr>
        <w:t>malých plavidel (člunů). Zajišťuje místní ekonomiku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pracovní místa. Na rybolovu závisí obživa mnoha odlehlých inuitských komunit. Území má rovněž rozvinuté rybářské loďstvo pro rybolov na volném moři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má uzavřeny platné dohody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rybolovu, které umožňují lov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příslušných mořských oblastech zahraničním plavidlům. Rybolov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Grónsku nese následky, jimiž na zranitelné arktické mořské prostředí působí změna klimatu, zejména dopady na lovené druhy. Grónsko zavedlo</w:t>
      </w:r>
      <w:r w:rsidR="00054894">
        <w:rPr>
          <w:color w:val="000000"/>
        </w:rPr>
        <w:t xml:space="preserve"> k </w:t>
      </w:r>
      <w:r w:rsidRPr="00054894">
        <w:rPr>
          <w:color w:val="000000"/>
        </w:rPr>
        <w:t>omezení dopadu rybolovu na mořské prostředí opatření: zákaz výmětů, plán řízení vedlejších úlovků apod.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b/>
          <w:color w:val="000000"/>
        </w:rPr>
        <w:t>Nový prováděcí protokol</w:t>
      </w:r>
      <w:r w:rsidR="00054894">
        <w:rPr>
          <w:b/>
          <w:color w:val="000000"/>
        </w:rPr>
        <w:t xml:space="preserve"> k </w:t>
      </w:r>
      <w:r w:rsidRPr="00054894">
        <w:rPr>
          <w:b/>
          <w:color w:val="000000"/>
        </w:rPr>
        <w:t>dohodě</w:t>
      </w:r>
      <w:r w:rsidR="00054894">
        <w:rPr>
          <w:b/>
          <w:color w:val="000000"/>
        </w:rPr>
        <w:t xml:space="preserve"> o </w:t>
      </w:r>
      <w:r w:rsidRPr="00054894">
        <w:rPr>
          <w:b/>
          <w:color w:val="000000"/>
        </w:rPr>
        <w:t>partnerství</w:t>
      </w:r>
      <w:r w:rsidR="00054894">
        <w:rPr>
          <w:b/>
          <w:color w:val="000000"/>
        </w:rPr>
        <w:t xml:space="preserve"> v </w:t>
      </w:r>
      <w:r w:rsidRPr="00054894">
        <w:rPr>
          <w:b/>
          <w:color w:val="000000"/>
        </w:rPr>
        <w:t>oblasti udržitelného rybolovu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Nově podepsaný protokol platí po dobu šesti let, což zúčastněným stranám poskytuje stabilitu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viditelnost. Obsahuje ustanovení, jež upravují přístup evropských plavidel do vod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spolupráci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Grónskem: rybolovná práva, náhodné úlovky, vědeckou spolupráci, sledování, kontrolu, dohled, rybolovné oblasti, pozorovatele atd.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Specifickým rysem dohody je, že úlovky jsou regulovány prostřednictvím každoročně stanovených rybolovných práv. Zpravodajku znepokojuje, že podle hodnocení ex post překračují celkové přípustné odlovy</w:t>
      </w:r>
      <w:r w:rsidR="00054894">
        <w:rPr>
          <w:color w:val="000000"/>
        </w:rPr>
        <w:t xml:space="preserve"> u </w:t>
      </w:r>
      <w:r w:rsidRPr="00054894">
        <w:rPr>
          <w:color w:val="000000"/>
        </w:rPr>
        <w:t>několika cílových druhů limity stanovené ve vědeckém doporučení. Tyto prokázané situace nadměrného rybolovu nebo nejistoty spojené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nedostatkem údajů ohrožují rybí populace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udržitelnost rybolovu, jako je tomu ve východní části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případě krevety severní. Takto bylo sníženo několik orientačních rybolovných práv. Druhý bod pozornosti souvisí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tím, že je zapotřebí mít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cílových druzích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mořských ekosystémech další údaje.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Plánování odvětvové podpory bude přijato do tří měsíců od provedení protokolu. Odvětvová podpora, která byla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posledních letech přidělena, podpořila vědecký výzkum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hodnocení, správu rybolovu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Grónsku, kontrolu</w:t>
      </w:r>
      <w:r w:rsidR="00054894">
        <w:rPr>
          <w:color w:val="000000"/>
        </w:rPr>
        <w:t xml:space="preserve"> a v </w:t>
      </w:r>
      <w:r w:rsidRPr="00054894">
        <w:rPr>
          <w:color w:val="000000"/>
        </w:rPr>
        <w:t>neposlední řadě</w:t>
      </w:r>
      <w:r w:rsidR="00054894">
        <w:rPr>
          <w:color w:val="000000"/>
        </w:rPr>
        <w:t xml:space="preserve"> i </w:t>
      </w:r>
      <w:r w:rsidRPr="00054894">
        <w:rPr>
          <w:color w:val="000000"/>
        </w:rPr>
        <w:t>drobný pobřežní rybolov. Hodnocení posledního protokolu ukazuje pozitivní výsledky.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b/>
          <w:color w:val="000000"/>
        </w:rPr>
        <w:t>Zjištění</w:t>
      </w:r>
      <w:r w:rsidR="00054894">
        <w:rPr>
          <w:b/>
          <w:color w:val="000000"/>
        </w:rPr>
        <w:t xml:space="preserve"> a </w:t>
      </w:r>
      <w:r w:rsidRPr="00054894">
        <w:rPr>
          <w:b/>
          <w:color w:val="000000"/>
        </w:rPr>
        <w:t>doporučení 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lastRenderedPageBreak/>
        <w:t>Zpravodajka připomíná, jaký význam má dohoda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partnerství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oblasti udržitelného rybolovu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vztahy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oblasti rybolovu mezi Grónskem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EU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souvislosti se současným diplomatickým napětím se Spojenými státy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klimatickou krizí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Arktidě. Dohoda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rybolovu nabízí prostřednictvím odvětvové podpory podporu, kterou uvítaly orgány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řada aktérů občanské společnosti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Grónsku. Zvýšení finančního příspěvku Unie, částky odvětvové podpory</w:t>
      </w:r>
      <w:r w:rsidR="00054894">
        <w:rPr>
          <w:color w:val="000000"/>
        </w:rPr>
        <w:t xml:space="preserve"> i </w:t>
      </w:r>
      <w:r w:rsidRPr="00054894">
        <w:rPr>
          <w:color w:val="000000"/>
        </w:rPr>
        <w:t>nákladů placených majiteli plavidel je pozitivní.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Zpravodajka vyzývá EU, aby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souladu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právy původních obyvatel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pokyny FAO pro drobný rybolov poskytovala větší podporu pobřežním rybářským komunitám. Tyto komunity by měly být do dohody také zapojeny, stejně jako nevládní organizace. Pozitivní je</w:t>
      </w:r>
      <w:r w:rsidR="00054894">
        <w:rPr>
          <w:color w:val="000000"/>
        </w:rPr>
        <w:t xml:space="preserve"> i </w:t>
      </w:r>
      <w:r w:rsidRPr="00054894">
        <w:rPr>
          <w:color w:val="000000"/>
        </w:rPr>
        <w:t>podpora Unie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oblasti kontroly, boje proti nezákonnému, nehlášenému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neregulovanému rybolovu, shromažďování údajů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vědeckého výzkumu.</w:t>
      </w: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br/>
        <w:t>Zpravodajka upozorňuje na environmentální výzvy dohody. Jak již Parlament požadoval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roce 2021, je nezbytné pokračovat ve shromažďování údajů</w:t>
      </w:r>
      <w:r w:rsidR="00054894">
        <w:rPr>
          <w:color w:val="000000"/>
        </w:rPr>
        <w:t xml:space="preserve"> a v </w:t>
      </w:r>
      <w:r w:rsidRPr="00054894">
        <w:rPr>
          <w:color w:val="000000"/>
        </w:rPr>
        <w:t>boji proti nadměrnému rybolovu,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to na základě vědeckého poradenství pro stanovení celkových přípustných odlovů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Grónsku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přidělování ročních rybolovných práv Unie. Unie se musí řídit zásadou předběžné opatrnosti,</w:t>
      </w:r>
      <w:r w:rsidR="00054894">
        <w:rPr>
          <w:color w:val="000000"/>
        </w:rPr>
        <w:t xml:space="preserve"> i </w:t>
      </w:r>
      <w:r w:rsidRPr="00054894">
        <w:rPr>
          <w:color w:val="000000"/>
        </w:rPr>
        <w:t>když provádí rybolov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menším množství. Definice přebytku je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některých případech sporná. Rybolov prováděný plavidly EU má dopad</w:t>
      </w:r>
      <w:r w:rsidR="00054894">
        <w:rPr>
          <w:color w:val="000000"/>
        </w:rPr>
        <w:t xml:space="preserve"> i </w:t>
      </w:r>
      <w:r w:rsidRPr="00054894">
        <w:rPr>
          <w:color w:val="000000"/>
        </w:rPr>
        <w:t>na ekosystémy mořského dna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je třeba se zaměřit na identifikaci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ochranu citlivých mořských ekosystémů,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to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pomocí odvětví rybolovu.</w:t>
      </w:r>
    </w:p>
    <w:p w:rsidR="00323EB4" w:rsidRPr="00054894" w:rsidRDefault="00323EB4" w:rsidP="00054894">
      <w:pPr>
        <w:rPr>
          <w:szCs w:val="24"/>
        </w:rPr>
      </w:pPr>
    </w:p>
    <w:p w:rsidR="00323EB4" w:rsidRPr="00054894" w:rsidRDefault="00323EB4" w:rsidP="00054894">
      <w:pPr>
        <w:rPr>
          <w:szCs w:val="24"/>
        </w:rPr>
      </w:pPr>
      <w:r w:rsidRPr="00054894">
        <w:rPr>
          <w:color w:val="000000"/>
        </w:rPr>
        <w:t>V neposlední řadě zpravodajka požaduje, aby byla tato dohoda</w:t>
      </w:r>
      <w:r w:rsidR="00054894">
        <w:rPr>
          <w:color w:val="000000"/>
        </w:rPr>
        <w:t xml:space="preserve"> o </w:t>
      </w:r>
      <w:r w:rsidRPr="00054894">
        <w:rPr>
          <w:color w:val="000000"/>
        </w:rPr>
        <w:t>rybolovu zasazena do kontextu regionální správy rybolovu.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důsledku výměny kvót jsou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dohodou úzce spjaty pobrexitové vztahy</w:t>
      </w:r>
      <w:r w:rsidR="00054894">
        <w:rPr>
          <w:color w:val="000000"/>
        </w:rPr>
        <w:t xml:space="preserve"> s </w:t>
      </w:r>
      <w:r w:rsidRPr="00054894">
        <w:rPr>
          <w:color w:val="000000"/>
        </w:rPr>
        <w:t>pobřežními zeměmi, včetně Norska. EU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Grónsko musí posílit spolupráci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transparentnost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rámci regionálních organizací pro řízení rybolovu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dohod mezi pobřežními státy. EU pak obecněji musí lépe chránit druhy</w:t>
      </w:r>
      <w:r w:rsidR="00054894">
        <w:rPr>
          <w:color w:val="000000"/>
        </w:rPr>
        <w:t xml:space="preserve"> a </w:t>
      </w:r>
      <w:r w:rsidRPr="00054894">
        <w:rPr>
          <w:color w:val="000000"/>
        </w:rPr>
        <w:t>mořské prostředí</w:t>
      </w:r>
      <w:r w:rsidR="00054894">
        <w:rPr>
          <w:color w:val="000000"/>
        </w:rPr>
        <w:t xml:space="preserve"> v </w:t>
      </w:r>
      <w:r w:rsidRPr="00054894">
        <w:rPr>
          <w:color w:val="000000"/>
        </w:rPr>
        <w:t>Arktidě.</w:t>
      </w:r>
    </w:p>
    <w:p w:rsidR="00323EB4" w:rsidRPr="00054894" w:rsidRDefault="00323EB4">
      <w:pPr>
        <w:widowControl/>
        <w:sectPr w:rsidR="00323EB4" w:rsidRPr="00054894" w:rsidSect="00323EB4">
          <w:headerReference w:type="even" r:id="rId15"/>
          <w:headerReference w:type="default" r:id="rId16"/>
          <w:headerReference w:type="first" r:id="rId17"/>
          <w:footerReference w:type="firs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23EB4" w:rsidRPr="00054894" w:rsidRDefault="00323EB4">
      <w:pPr>
        <w:widowControl/>
      </w:pPr>
    </w:p>
    <w:p w:rsidR="00323EB4" w:rsidRPr="00054894" w:rsidRDefault="00323EB4" w:rsidP="007041CC">
      <w:pPr>
        <w:pStyle w:val="PageHeading"/>
      </w:pPr>
      <w:bookmarkStart w:id="4" w:name="FootprintPageRR"/>
      <w:bookmarkStart w:id="5" w:name="_Toc192515003"/>
      <w:r w:rsidRPr="00054894">
        <w:t>PŘÍLOHA: SUBJEKTY NEBO OSOBY,</w:t>
      </w:r>
      <w:r w:rsidRPr="00054894">
        <w:br/>
        <w:t>OD NICHŽ ZPRAVODAJ OBDRŽEL PODNĚTY</w:t>
      </w:r>
      <w:bookmarkEnd w:id="5"/>
    </w:p>
    <w:p w:rsidR="00323EB4" w:rsidRPr="00054894" w:rsidRDefault="00323EB4" w:rsidP="00B31C6A">
      <w:pPr>
        <w:pStyle w:val="Normal24a"/>
        <w:spacing w:after="240"/>
      </w:pPr>
      <w:r w:rsidRPr="00054894">
        <w:rPr>
          <w:rStyle w:val="HideTWBExt"/>
          <w:noProof w:val="0"/>
        </w:rPr>
        <w:t>&lt;FootprintIntro&gt;</w:t>
      </w:r>
      <w:r w:rsidRPr="00054894">
        <w:t>Zpravodajka</w:t>
      </w:r>
      <w:r w:rsidR="00054894">
        <w:t xml:space="preserve"> v </w:t>
      </w:r>
      <w:r w:rsidRPr="00054894">
        <w:t>souladu</w:t>
      </w:r>
      <w:r w:rsidR="00054894">
        <w:t xml:space="preserve"> s </w:t>
      </w:r>
      <w:r w:rsidRPr="00054894">
        <w:t>článkem 8 přílohy</w:t>
      </w:r>
      <w:r w:rsidR="00054894">
        <w:t xml:space="preserve"> I </w:t>
      </w:r>
      <w:r w:rsidRPr="00054894">
        <w:t>jednacího řádu prohlašuje, že při vypracovávání návrhu zprávy obdržela podněty od těchto subjektů nebo osob:</w:t>
      </w:r>
      <w:r w:rsidRPr="00054894">
        <w:rPr>
          <w:rStyle w:val="HideTWBExt"/>
          <w:noProof w:val="0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BoldCenter"/>
            </w:pPr>
            <w:r w:rsidRPr="00054894">
              <w:t>Subjekt nebo osoba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Délégation de la France auprès de l’Union européenne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Délégation de l’Allemagne auprès de l’Union européenne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Délégation du Danemark auprès de l’Union européenne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Ministère des pêches groenlandais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Oceana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Europêche</w:t>
            </w:r>
          </w:p>
        </w:tc>
      </w:tr>
      <w:tr w:rsidR="00323EB4" w:rsidRPr="00054894" w:rsidTr="00A81CDF">
        <w:tc>
          <w:tcPr>
            <w:tcW w:w="9060" w:type="dxa"/>
            <w:shd w:val="clear" w:color="auto" w:fill="auto"/>
          </w:tcPr>
          <w:p w:rsidR="00323EB4" w:rsidRPr="00054894" w:rsidRDefault="00323EB4" w:rsidP="00323EB4">
            <w:pPr>
              <w:pStyle w:val="NormalSingle"/>
              <w:rPr>
                <w:noProof/>
              </w:rPr>
            </w:pPr>
            <w:r w:rsidRPr="00054894">
              <w:rPr>
                <w:noProof/>
              </w:rPr>
              <w:t>DG MARE (Commission)</w:t>
            </w:r>
          </w:p>
        </w:tc>
      </w:tr>
    </w:tbl>
    <w:p w:rsidR="00323EB4" w:rsidRPr="00054894" w:rsidRDefault="00323EB4" w:rsidP="00086351">
      <w:pPr>
        <w:pStyle w:val="Footprint12b"/>
      </w:pPr>
      <w:r w:rsidRPr="00054894">
        <w:t>Výše uvedený seznam je sestaven na výhradní odpovědnost zpravodajky.</w:t>
      </w:r>
    </w:p>
    <w:p w:rsidR="00323EB4" w:rsidRPr="00054894" w:rsidRDefault="00323EB4" w:rsidP="00B7198C">
      <w:pPr>
        <w:pStyle w:val="Footprint12b"/>
      </w:pPr>
      <w:r w:rsidRPr="00054894">
        <w:t>Pokud jsou na seznamu uvedena jména, funkce, případně jména</w:t>
      </w:r>
      <w:r w:rsidR="00054894">
        <w:t xml:space="preserve"> i </w:t>
      </w:r>
      <w:r w:rsidRPr="00054894">
        <w:t>funkce fyzických osob, zpravodajka prohlašuje, že příslušné fyzické osoby byly seznámeny</w:t>
      </w:r>
      <w:r w:rsidR="00054894">
        <w:t xml:space="preserve"> s </w:t>
      </w:r>
      <w:r w:rsidRPr="00054894">
        <w:t>prohlášením Evropského parlamentu</w:t>
      </w:r>
      <w:r w:rsidR="00054894">
        <w:t xml:space="preserve"> o </w:t>
      </w:r>
      <w:r w:rsidRPr="00054894">
        <w:t>ochraně osobních údajů č. 484 (</w:t>
      </w:r>
      <w:hyperlink r:id="rId19" w:history="1">
        <w:r w:rsidRPr="00054894">
          <w:rPr>
            <w:rStyle w:val="Hyperlink"/>
          </w:rPr>
          <w:t>https://www.europarl.europa.eu/data-protect/index.do</w:t>
        </w:r>
      </w:hyperlink>
      <w:r w:rsidRPr="00054894">
        <w:t>), které stanoví podmínky platné pro zpracování jejich osobních údajů</w:t>
      </w:r>
      <w:r w:rsidR="00054894">
        <w:t xml:space="preserve"> a </w:t>
      </w:r>
      <w:r w:rsidRPr="00054894">
        <w:t>práva související</w:t>
      </w:r>
      <w:r w:rsidR="00054894">
        <w:t xml:space="preserve"> s </w:t>
      </w:r>
      <w:r w:rsidRPr="00054894">
        <w:t>tímto zpracováním.</w:t>
      </w:r>
    </w:p>
    <w:p w:rsidR="00323EB4" w:rsidRPr="00054894" w:rsidRDefault="00323EB4" w:rsidP="00646AD2">
      <w:pPr>
        <w:pStyle w:val="Footprint12b"/>
      </w:pPr>
    </w:p>
    <w:p w:rsidR="00323EB4" w:rsidRPr="00054894" w:rsidRDefault="00323EB4" w:rsidP="00323EB4"/>
    <w:bookmarkEnd w:id="4"/>
    <w:p w:rsidR="00363B94" w:rsidRPr="00054894" w:rsidRDefault="00363B94" w:rsidP="00822206"/>
    <w:sectPr w:rsidR="00363B94" w:rsidRPr="00054894" w:rsidSect="00323EB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88C" w:rsidRPr="0073688C" w:rsidRDefault="0073688C">
      <w:r w:rsidRPr="0073688C">
        <w:separator/>
      </w:r>
    </w:p>
  </w:endnote>
  <w:endnote w:type="continuationSeparator" w:id="0">
    <w:p w:rsidR="0073688C" w:rsidRPr="0073688C" w:rsidRDefault="0073688C">
      <w:r w:rsidRPr="007368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 w:rsidP="00323EB4">
    <w:pPr>
      <w:pStyle w:val="EPFooter"/>
    </w:pPr>
    <w:r>
      <w:t>PE</w:t>
    </w:r>
    <w:r w:rsidRPr="00323EB4">
      <w:rPr>
        <w:rStyle w:val="HideTWBExt"/>
      </w:rPr>
      <w:t>&lt;NoPE&gt;</w:t>
    </w:r>
    <w:r>
      <w:t>770.025</w:t>
    </w:r>
    <w:r w:rsidRPr="00323EB4">
      <w:rPr>
        <w:rStyle w:val="HideTWBExt"/>
      </w:rPr>
      <w:t>&lt;/NoPE&gt;&lt;Version&gt;</w:t>
    </w:r>
    <w:r>
      <w:t>v01-00</w:t>
    </w:r>
    <w:r w:rsidRPr="00323EB4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D7204D">
      <w:rPr>
        <w:noProof/>
      </w:rPr>
      <w:t>2</w:t>
    </w:r>
    <w:r>
      <w:fldChar w:fldCharType="end"/>
    </w:r>
    <w:r>
      <w:t>/</w:t>
    </w:r>
    <w:fldSimple w:instr=" NUMPAGES  \* MERGEFORMAT ">
      <w:r w:rsidR="00D7204D">
        <w:rPr>
          <w:noProof/>
        </w:rPr>
        <w:t>7</w:t>
      </w:r>
    </w:fldSimple>
    <w:r>
      <w:tab/>
    </w:r>
    <w:r w:rsidRPr="00323EB4">
      <w:rPr>
        <w:rStyle w:val="HideTWBExt"/>
      </w:rPr>
      <w:t>&lt;PathFdR&gt;</w:t>
    </w:r>
    <w:r>
      <w:t>PR\1315879CS.docx</w:t>
    </w:r>
    <w:r w:rsidRPr="00323EB4">
      <w:rPr>
        <w:rStyle w:val="HideTWBExt"/>
      </w:rPr>
      <w:t>&lt;/PathFdR&gt;</w:t>
    </w:r>
  </w:p>
  <w:p w:rsidR="00323EB4" w:rsidRPr="00467DEC" w:rsidRDefault="00323EB4" w:rsidP="00323EB4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 w:rsidP="00323EB4">
    <w:pPr>
      <w:pStyle w:val="EPFooter"/>
    </w:pPr>
    <w:r w:rsidRPr="00323EB4">
      <w:rPr>
        <w:rStyle w:val="HideTWBExt"/>
      </w:rPr>
      <w:t>&lt;PathFdR&gt;</w:t>
    </w:r>
    <w:r>
      <w:t>PR\1315879CS.docx</w:t>
    </w:r>
    <w:r w:rsidRPr="00323EB4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D7204D">
      <w:rPr>
        <w:noProof/>
      </w:rPr>
      <w:t>3</w:t>
    </w:r>
    <w:r>
      <w:fldChar w:fldCharType="end"/>
    </w:r>
    <w:r>
      <w:t>/</w:t>
    </w:r>
    <w:fldSimple w:instr=" NUMPAGES  \* MERGEFORMAT ">
      <w:r w:rsidR="00D7204D">
        <w:rPr>
          <w:noProof/>
        </w:rPr>
        <w:t>7</w:t>
      </w:r>
    </w:fldSimple>
    <w:r>
      <w:tab/>
      <w:t>PE</w:t>
    </w:r>
    <w:r w:rsidRPr="00323EB4">
      <w:rPr>
        <w:rStyle w:val="HideTWBExt"/>
      </w:rPr>
      <w:t>&lt;NoPE&gt;</w:t>
    </w:r>
    <w:r>
      <w:t>770.025</w:t>
    </w:r>
    <w:r w:rsidRPr="00323EB4">
      <w:rPr>
        <w:rStyle w:val="HideTWBExt"/>
      </w:rPr>
      <w:t>&lt;/NoPE&gt;&lt;Version&gt;</w:t>
    </w:r>
    <w:r>
      <w:t>v01-00</w:t>
    </w:r>
    <w:r w:rsidRPr="00323EB4">
      <w:rPr>
        <w:rStyle w:val="HideTWBExt"/>
      </w:rPr>
      <w:t>&lt;/Version&gt;</w:t>
    </w:r>
  </w:p>
  <w:p w:rsidR="00323EB4" w:rsidRPr="00467DEC" w:rsidRDefault="00323EB4" w:rsidP="00323EB4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 w:rsidP="00323EB4">
    <w:pPr>
      <w:pStyle w:val="EPFooter"/>
    </w:pPr>
    <w:r w:rsidRPr="00323EB4">
      <w:rPr>
        <w:rStyle w:val="HideTWBExt"/>
      </w:rPr>
      <w:t>&lt;PathFdR&gt;</w:t>
    </w:r>
    <w:r>
      <w:t>PR\1315879CS.docx</w:t>
    </w:r>
    <w:r w:rsidRPr="00323EB4">
      <w:rPr>
        <w:rStyle w:val="HideTWBExt"/>
      </w:rPr>
      <w:t>&lt;/PathFdR&gt;</w:t>
    </w:r>
    <w:r>
      <w:tab/>
    </w:r>
    <w:r>
      <w:tab/>
      <w:t>PE</w:t>
    </w:r>
    <w:r w:rsidRPr="00323EB4">
      <w:rPr>
        <w:rStyle w:val="HideTWBExt"/>
      </w:rPr>
      <w:t>&lt;NoPE&gt;</w:t>
    </w:r>
    <w:r>
      <w:t>770.025</w:t>
    </w:r>
    <w:r w:rsidRPr="00323EB4">
      <w:rPr>
        <w:rStyle w:val="HideTWBExt"/>
      </w:rPr>
      <w:t>&lt;/NoPE&gt;&lt;Version&gt;</w:t>
    </w:r>
    <w:r>
      <w:t>v01-00</w:t>
    </w:r>
    <w:r w:rsidRPr="00323EB4">
      <w:rPr>
        <w:rStyle w:val="HideTWBExt"/>
      </w:rPr>
      <w:t>&lt;/Version&gt;</w:t>
    </w:r>
  </w:p>
  <w:p w:rsidR="00323EB4" w:rsidRPr="00467DEC" w:rsidRDefault="00323EB4" w:rsidP="00323EB4">
    <w:pPr>
      <w:pStyle w:val="EPFooter2"/>
    </w:pPr>
    <w:r>
      <w:t>CS</w:t>
    </w:r>
    <w:r>
      <w:tab/>
    </w:r>
    <w:r w:rsidRPr="00323EB4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73688C" w:rsidRDefault="0085501C" w:rsidP="00B6769C">
    <w:pPr>
      <w:pStyle w:val="EPFooter"/>
    </w:pPr>
    <w:r w:rsidRPr="0073688C">
      <w:rPr>
        <w:rStyle w:val="HideTWBExt"/>
      </w:rPr>
      <w:t>&lt;PathFdR&gt;</w:t>
    </w:r>
    <w:r w:rsidR="00323EB4" w:rsidRPr="00323EB4">
      <w:rPr>
        <w:color w:val="auto"/>
      </w:rPr>
      <w:t>PR\1315879CS.docx</w:t>
    </w:r>
    <w:r w:rsidRPr="0073688C">
      <w:rPr>
        <w:rStyle w:val="HideTWBExt"/>
      </w:rPr>
      <w:t>&lt;/PathFdR&gt;</w:t>
    </w:r>
    <w:r w:rsidRPr="0073688C">
      <w:tab/>
    </w:r>
    <w:r w:rsidRPr="0073688C">
      <w:tab/>
      <w:t>PE</w:t>
    </w:r>
    <w:r w:rsidRPr="0073688C">
      <w:rPr>
        <w:rStyle w:val="HideTWBExt"/>
      </w:rPr>
      <w:t>&lt;NoPE&gt;</w:t>
    </w:r>
    <w:r w:rsidR="00323EB4" w:rsidRPr="00323EB4">
      <w:rPr>
        <w:color w:val="auto"/>
      </w:rPr>
      <w:t>770.025</w:t>
    </w:r>
    <w:r w:rsidRPr="0073688C">
      <w:rPr>
        <w:rStyle w:val="HideTWBExt"/>
      </w:rPr>
      <w:t>&lt;/NoPE&gt;&lt;Version&gt;</w:t>
    </w:r>
    <w:r w:rsidR="0073688C" w:rsidRPr="0073688C">
      <w:t>v</w:t>
    </w:r>
    <w:r w:rsidR="00323EB4" w:rsidRPr="00323EB4">
      <w:rPr>
        <w:color w:val="auto"/>
      </w:rPr>
      <w:t>01-00</w:t>
    </w:r>
    <w:r w:rsidRPr="0073688C">
      <w:rPr>
        <w:rStyle w:val="HideTWBExt"/>
      </w:rPr>
      <w:t>&lt;/Version&gt;</w:t>
    </w:r>
  </w:p>
  <w:p w:rsidR="0085501C" w:rsidRPr="0073688C" w:rsidRDefault="00D7204D" w:rsidP="009612AA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  <w:r w:rsidR="0085501C" w:rsidRPr="0073688C">
      <w:tab/>
    </w:r>
    <w:r w:rsidR="00323EB4">
      <w:rPr>
        <w:b w:val="0"/>
        <w:i/>
        <w:color w:val="C0C0C0"/>
        <w:sz w:val="22"/>
        <w:szCs w:val="22"/>
      </w:rPr>
      <w:t>Jednotná v rozmanitosti</w:t>
    </w:r>
    <w:r w:rsidR="0085501C" w:rsidRPr="0073688C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88C" w:rsidRPr="0073688C" w:rsidRDefault="0073688C">
      <w:r w:rsidRPr="0073688C">
        <w:separator/>
      </w:r>
    </w:p>
  </w:footnote>
  <w:footnote w:type="continuationSeparator" w:id="0">
    <w:p w:rsidR="0073688C" w:rsidRPr="0073688C" w:rsidRDefault="0073688C">
      <w:r w:rsidRPr="0073688C">
        <w:continuationSeparator/>
      </w:r>
    </w:p>
  </w:footnote>
  <w:footnote w:id="1">
    <w:p w:rsidR="00323EB4" w:rsidRPr="00467DEC" w:rsidRDefault="00323EB4" w:rsidP="00323EB4">
      <w:pPr>
        <w:pStyle w:val="FootnoteText"/>
      </w:pPr>
      <w:r>
        <w:rPr>
          <w:rStyle w:val="FootnoteReference"/>
        </w:rPr>
        <w:footnoteRef/>
      </w:r>
      <w:r>
        <w:t xml:space="preserve"> Texty přijaté k tomuto dni, P10_TA(0000)0000.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EB4" w:rsidRDefault="00323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FPMNU" w:val=" 1"/>
    <w:docVar w:name="AUTHORMNU" w:val=" 2"/>
    <w:docVar w:name="CIT1MNU" w:val=" 4"/>
    <w:docVar w:name="CIT2MNU" w:val=" 4"/>
    <w:docVar w:name="CIT3MNU" w:val=" 4"/>
    <w:docVar w:name="COMKEY" w:val="PECH"/>
    <w:docVar w:name="CONSENTMNU" w:val=" 1"/>
    <w:docVar w:name="CONTRIBUTIONMNU" w:val=" 1"/>
    <w:docVar w:name="DOCDT" w:val="24/02/2025"/>
    <w:docVar w:name="LastEditedSection" w:val=" 1"/>
    <w:docVar w:name="NVAR1" w:val="0"/>
    <w:docVar w:name="strDocTypeID" w:val="PR_NLE-AP_Agreement"/>
    <w:docVar w:name="strSubDir" w:val="1315"/>
    <w:docVar w:name="TITLEMNU" w:val=" 1"/>
    <w:docVar w:name="TXTAUTHOR" w:val="Emma Fourreau"/>
    <w:docVar w:name="TXTLANGUE" w:val="CS"/>
    <w:docVar w:name="TXTLANGUEMIN" w:val="cs"/>
    <w:docVar w:name="TXTNRC" w:val="0227/20024"/>
    <w:docVar w:name="TXTNRNLE" w:val="2024/0263"/>
    <w:docVar w:name="TXTNRPE" w:val="770.025"/>
    <w:docVar w:name="TXTPEorAP" w:val="PE"/>
    <w:docVar w:name="TXTROUTE" w:val="PR\1315879CS.docx"/>
    <w:docVar w:name="TXTTITLE" w:val="o uzavření prováděcího protokolu (na období 2025–2030) k Protokolu, kterým se provádí Dohoda mezi Evropskou unií na jedné straně a vládou Grónska a vládou Dánska na straně druhé o partnerství v oblasti udržitelného rybolovu, jménem Evropské unie"/>
    <w:docVar w:name="TXTVERSION" w:val="01-00"/>
  </w:docVars>
  <w:rsids>
    <w:rsidRoot w:val="0073688C"/>
    <w:rsid w:val="00001D52"/>
    <w:rsid w:val="0000443F"/>
    <w:rsid w:val="000053E3"/>
    <w:rsid w:val="00054894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23EB4"/>
    <w:rsid w:val="00337C92"/>
    <w:rsid w:val="00363B94"/>
    <w:rsid w:val="003B598C"/>
    <w:rsid w:val="004174FC"/>
    <w:rsid w:val="00460BD6"/>
    <w:rsid w:val="004705A9"/>
    <w:rsid w:val="004859B3"/>
    <w:rsid w:val="004C083C"/>
    <w:rsid w:val="004E1650"/>
    <w:rsid w:val="004F2D83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3688C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0E41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7204D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75009"/>
  <w15:chartTrackingRefBased/>
  <w15:docId w15:val="{57C1DAE0-CD04-455D-82A0-5BE09884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323E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23E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23EB4"/>
    <w:rPr>
      <w:sz w:val="18"/>
    </w:rPr>
  </w:style>
  <w:style w:type="paragraph" w:styleId="FootnoteText">
    <w:name w:val="footnote text"/>
    <w:basedOn w:val="Normal"/>
    <w:link w:val="FootnoteTextChar"/>
    <w:rsid w:val="00323EB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23EB4"/>
    <w:rPr>
      <w:lang w:val="cs-CZ"/>
    </w:rPr>
  </w:style>
  <w:style w:type="character" w:styleId="FootnoteReference">
    <w:name w:val="footnote reference"/>
    <w:basedOn w:val="DefaultParagraphFont"/>
    <w:rsid w:val="00323EB4"/>
    <w:rPr>
      <w:vertAlign w:val="superscript"/>
    </w:rPr>
  </w:style>
  <w:style w:type="paragraph" w:customStyle="1" w:styleId="Normal24a">
    <w:name w:val="Normal24a"/>
    <w:basedOn w:val="Normal"/>
    <w:rsid w:val="00323EB4"/>
    <w:pPr>
      <w:spacing w:after="480"/>
    </w:pPr>
  </w:style>
  <w:style w:type="paragraph" w:customStyle="1" w:styleId="NormalBoldCenter">
    <w:name w:val="NormalBoldCenter"/>
    <w:basedOn w:val="Normal"/>
    <w:rsid w:val="00323EB4"/>
    <w:pPr>
      <w:jc w:val="center"/>
    </w:pPr>
    <w:rPr>
      <w:b/>
    </w:rPr>
  </w:style>
  <w:style w:type="paragraph" w:customStyle="1" w:styleId="Footprint12b">
    <w:name w:val="Footprint12b"/>
    <w:basedOn w:val="Normal"/>
    <w:rsid w:val="00323EB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23EB4"/>
    <w:rPr>
      <w:szCs w:val="24"/>
    </w:rPr>
  </w:style>
  <w:style w:type="paragraph" w:styleId="Footer">
    <w:name w:val="footer"/>
    <w:basedOn w:val="Normal"/>
    <w:link w:val="FooterChar"/>
    <w:semiHidden/>
    <w:rsid w:val="00323E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23EB4"/>
    <w:rPr>
      <w:sz w:val="24"/>
      <w:lang w:val="cs-CZ"/>
    </w:rPr>
  </w:style>
  <w:style w:type="character" w:styleId="Hyperlink">
    <w:name w:val="Hyperlink"/>
    <w:basedOn w:val="DefaultParagraphFont"/>
    <w:rsid w:val="00323E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https://www.europarl.europa.eu/data-protect/index.d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420F8-EEF6-458F-AE2F-5C5743C62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1220</Words>
  <Characters>7326</Characters>
  <Application>Microsoft Office Word</Application>
  <DocSecurity>0</DocSecurity>
  <Lines>174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SODOMKOVA Renata</dc:creator>
  <cp:keywords/>
  <cp:lastModifiedBy>VYROUBALOVA Jana</cp:lastModifiedBy>
  <cp:revision>2</cp:revision>
  <cp:lastPrinted>2002-12-11T09:25:00Z</cp:lastPrinted>
  <dcterms:created xsi:type="dcterms:W3CDTF">2025-03-10T15:03:00Z</dcterms:created>
  <dcterms:modified xsi:type="dcterms:W3CDTF">2025-03-10T15:03:00Z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10.0.1 Build [20250114]</vt:lpwstr>
  </property>
  <property fmtid="{D5CDD505-2E9C-101B-9397-08002B2CF9AE}" pid="4" name="LastEdited with">
    <vt:lpwstr>10.0.1 Build [20250114]</vt:lpwstr>
  </property>
  <property fmtid="{D5CDD505-2E9C-101B-9397-08002B2CF9AE}" pid="5" name="&lt;FdR&gt;">
    <vt:lpwstr>1315879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\\eiciLUXpr1\pdocep$\DocEP\DOCS\General\PR\PR_Leg\NLE\PR_NLE-AP_Agreement.dotx(12/08/2024 16:05:00)</vt:lpwstr>
  </property>
  <property fmtid="{D5CDD505-2E9C-101B-9397-08002B2CF9AE}" pid="8" name="&lt;ModelTra&gt;">
    <vt:lpwstr>\\eiciLUXpr1\pdocep$\DocEP\TRANSFIL\CS\PR_NLE-AP_Agreement.CS(07/10/2024 15:33:02)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PR\1315879CS.docx</vt:lpwstr>
  </property>
  <property fmtid="{D5CDD505-2E9C-101B-9397-08002B2CF9AE}" pid="11" name="PE number">
    <vt:lpwstr>770.025</vt:lpwstr>
  </property>
  <property fmtid="{D5CDD505-2E9C-101B-9397-08002B2CF9AE}" pid="12" name="Bookout">
    <vt:lpwstr>OK - 2025/03/10 16:03</vt:lpwstr>
  </property>
  <property fmtid="{D5CDD505-2E9C-101B-9397-08002B2CF9AE}" pid="13" name="SDLStudio">
    <vt:lpwstr/>
  </property>
</Properties>
</file>