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335392" w:rsidTr="00C85D0F">
        <w:trPr>
          <w:trHeight w:hRule="exact" w:val="1418"/>
        </w:trPr>
        <w:tc>
          <w:tcPr>
            <w:tcW w:w="6804" w:type="dxa"/>
            <w:shd w:val="clear" w:color="auto" w:fill="auto"/>
            <w:vAlign w:val="center"/>
          </w:tcPr>
          <w:p w:rsidR="00172C59" w:rsidRPr="00335392" w:rsidRDefault="0083580B" w:rsidP="00C85D0F">
            <w:pPr>
              <w:pStyle w:val="EPName"/>
            </w:pPr>
            <w:bookmarkStart w:id="0" w:name="iStart"/>
            <w:bookmarkStart w:id="1" w:name="_GoBack"/>
            <w:bookmarkEnd w:id="0"/>
            <w:bookmarkEnd w:id="1"/>
            <w:r w:rsidRPr="00335392">
              <w:t>European Parliament</w:t>
            </w:r>
          </w:p>
          <w:p w:rsidR="00172C59" w:rsidRPr="00335392" w:rsidRDefault="002C4A0D" w:rsidP="002C4A0D">
            <w:pPr>
              <w:pStyle w:val="EPTerm"/>
            </w:pPr>
            <w:r w:rsidRPr="00335392">
              <w:t>2024-2029</w:t>
            </w:r>
          </w:p>
        </w:tc>
        <w:tc>
          <w:tcPr>
            <w:tcW w:w="2268" w:type="dxa"/>
            <w:shd w:val="clear" w:color="auto" w:fill="auto"/>
          </w:tcPr>
          <w:p w:rsidR="00172C59" w:rsidRPr="00335392" w:rsidRDefault="00172C59" w:rsidP="00C85D0F">
            <w:pPr>
              <w:pStyle w:val="EPLogo"/>
            </w:pPr>
            <w:r w:rsidRPr="00335392">
              <w:rPr>
                <w:noProof/>
                <w:lang w:eastAsia="zh-CN"/>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A26973" w:rsidRPr="00335392" w:rsidRDefault="00A26973" w:rsidP="00A26973">
      <w:pPr>
        <w:pStyle w:val="LineTop"/>
      </w:pPr>
    </w:p>
    <w:p w:rsidR="00A26973" w:rsidRPr="00335392" w:rsidRDefault="00A26973" w:rsidP="00A26973">
      <w:pPr>
        <w:pStyle w:val="EPBody"/>
      </w:pPr>
      <w:r w:rsidRPr="00335392">
        <w:rPr>
          <w:rStyle w:val="HideTWBExt"/>
        </w:rPr>
        <w:t>&lt;</w:t>
      </w:r>
      <w:r w:rsidRPr="00335392">
        <w:rPr>
          <w:rStyle w:val="HideTWBExt"/>
          <w:i w:val="0"/>
        </w:rPr>
        <w:t>Commission</w:t>
      </w:r>
      <w:r w:rsidRPr="00335392">
        <w:rPr>
          <w:rStyle w:val="HideTWBExt"/>
        </w:rPr>
        <w:t>&gt;</w:t>
      </w:r>
      <w:r w:rsidRPr="00335392">
        <w:rPr>
          <w:rStyle w:val="HideTWBInt"/>
        </w:rPr>
        <w:t>{PECH}</w:t>
      </w:r>
      <w:r w:rsidRPr="00335392">
        <w:t>Committee on Fisheries</w:t>
      </w:r>
      <w:r w:rsidRPr="00335392">
        <w:rPr>
          <w:rStyle w:val="HideTWBExt"/>
        </w:rPr>
        <w:t>&lt;/</w:t>
      </w:r>
      <w:r w:rsidRPr="00335392">
        <w:rPr>
          <w:rStyle w:val="HideTWBExt"/>
          <w:i w:val="0"/>
        </w:rPr>
        <w:t>Commission</w:t>
      </w:r>
      <w:r w:rsidRPr="00335392">
        <w:rPr>
          <w:rStyle w:val="HideTWBExt"/>
        </w:rPr>
        <w:t>&gt;</w:t>
      </w:r>
    </w:p>
    <w:p w:rsidR="00A26973" w:rsidRPr="00335392" w:rsidRDefault="00A26973" w:rsidP="00A26973">
      <w:pPr>
        <w:pStyle w:val="LineBottom"/>
      </w:pPr>
    </w:p>
    <w:p w:rsidR="00A26973" w:rsidRPr="00335392" w:rsidRDefault="00A26973" w:rsidP="00A26973">
      <w:pPr>
        <w:pStyle w:val="CoverReference"/>
      </w:pPr>
      <w:r w:rsidRPr="00335392">
        <w:rPr>
          <w:rStyle w:val="HideTWBExt"/>
          <w:b w:val="0"/>
        </w:rPr>
        <w:t>&lt;RefProc&gt;</w:t>
      </w:r>
      <w:r w:rsidRPr="00335392">
        <w:t>2024/0263</w:t>
      </w:r>
      <w:r w:rsidRPr="00335392">
        <w:rPr>
          <w:rStyle w:val="HideTWBExt"/>
          <w:b w:val="0"/>
        </w:rPr>
        <w:t>&lt;/RefProc&gt;&lt;RefTypeProc&gt;</w:t>
      </w:r>
      <w:r w:rsidRPr="00335392">
        <w:t>(NLE)</w:t>
      </w:r>
      <w:r w:rsidRPr="00335392">
        <w:rPr>
          <w:rStyle w:val="HideTWBExt"/>
          <w:b w:val="0"/>
        </w:rPr>
        <w:t>&lt;/RefTypeProc&gt;</w:t>
      </w:r>
    </w:p>
    <w:p w:rsidR="00A26973" w:rsidRPr="00B14867" w:rsidRDefault="00A26973" w:rsidP="00A26973">
      <w:pPr>
        <w:pStyle w:val="CoverDate"/>
      </w:pPr>
      <w:r w:rsidRPr="00B14867">
        <w:rPr>
          <w:rStyle w:val="HideTWBExt"/>
        </w:rPr>
        <w:t>&lt;Date&gt;</w:t>
      </w:r>
      <w:r w:rsidRPr="00B14867">
        <w:rPr>
          <w:rStyle w:val="HideTWBInt"/>
        </w:rPr>
        <w:t>{24/02/2025}</w:t>
      </w:r>
      <w:r w:rsidRPr="00B14867">
        <w:t>24.2.2025</w:t>
      </w:r>
      <w:r w:rsidRPr="00B14867">
        <w:rPr>
          <w:rStyle w:val="HideTWBExt"/>
        </w:rPr>
        <w:t>&lt;/Date&gt;</w:t>
      </w:r>
    </w:p>
    <w:p w:rsidR="00A26973" w:rsidRPr="00B14867" w:rsidRDefault="00A26973" w:rsidP="00A26973">
      <w:pPr>
        <w:pStyle w:val="CoverDocType24a"/>
      </w:pPr>
      <w:r w:rsidRPr="00B14867">
        <w:rPr>
          <w:rStyle w:val="HideTWBExt"/>
          <w:b w:val="0"/>
        </w:rPr>
        <w:t>&lt;TitreType&gt;</w:t>
      </w:r>
      <w:r w:rsidRPr="00B14867">
        <w:t>DRAFT REPORT</w:t>
      </w:r>
      <w:r w:rsidRPr="00B14867">
        <w:rPr>
          <w:rStyle w:val="HideTWBExt"/>
          <w:b w:val="0"/>
        </w:rPr>
        <w:t>&lt;/TitreType&gt;</w:t>
      </w:r>
    </w:p>
    <w:p w:rsidR="00A26973" w:rsidRPr="00335392" w:rsidRDefault="00A26973" w:rsidP="00A26973">
      <w:pPr>
        <w:pStyle w:val="CoverNormal"/>
      </w:pPr>
      <w:r w:rsidRPr="00335392">
        <w:rPr>
          <w:rStyle w:val="HideTWBExt"/>
        </w:rPr>
        <w:t>&lt;Titre&gt;</w:t>
      </w:r>
      <w:r w:rsidRPr="00335392">
        <w:t>containing a motion for a non-legislative resolution on the proposal for a Council decision on the conclusion, on behalf of the European Union, of the Implementing Protocol (2025-2030) to the Sustainable Fisheries Partnership Agreement between the European Union on the one hand, and the Government of Greenland and the Government of Denmark, on the other hand</w:t>
      </w:r>
      <w:r w:rsidRPr="00335392">
        <w:rPr>
          <w:rStyle w:val="HideTWBExt"/>
        </w:rPr>
        <w:t>&lt;/Titre&gt;</w:t>
      </w:r>
    </w:p>
    <w:p w:rsidR="00A26973" w:rsidRPr="00B14867" w:rsidRDefault="00A26973" w:rsidP="00A26973">
      <w:pPr>
        <w:pStyle w:val="CoverNormal24a"/>
      </w:pPr>
      <w:r w:rsidRPr="00B14867">
        <w:rPr>
          <w:rStyle w:val="HideTWBExt"/>
        </w:rPr>
        <w:t>&lt;DocRef&gt;</w:t>
      </w:r>
      <w:r w:rsidRPr="00B14867">
        <w:t>(COM(2024)0479 – C10</w:t>
      </w:r>
      <w:r w:rsidRPr="00B14867">
        <w:noBreakHyphen/>
        <w:t>0227/2024 – 2024/0263(NLE))</w:t>
      </w:r>
      <w:r w:rsidRPr="00B14867">
        <w:rPr>
          <w:rStyle w:val="HideTWBExt"/>
        </w:rPr>
        <w:t>&lt;/DocRef&gt;</w:t>
      </w:r>
    </w:p>
    <w:p w:rsidR="00A26973" w:rsidRPr="00335392" w:rsidRDefault="00A26973" w:rsidP="00A26973">
      <w:pPr>
        <w:pStyle w:val="CoverNormal24a"/>
      </w:pPr>
      <w:r w:rsidRPr="00335392">
        <w:rPr>
          <w:rStyle w:val="HideTWBExt"/>
        </w:rPr>
        <w:t>&lt;Commission&gt;</w:t>
      </w:r>
      <w:r w:rsidRPr="00335392">
        <w:rPr>
          <w:rStyle w:val="HideTWBInt"/>
        </w:rPr>
        <w:t>{PECH}</w:t>
      </w:r>
      <w:r w:rsidRPr="00335392">
        <w:t>Committee on Fisheries</w:t>
      </w:r>
      <w:r w:rsidRPr="00335392">
        <w:rPr>
          <w:rStyle w:val="HideTWBExt"/>
        </w:rPr>
        <w:t>&lt;/Commission&gt;</w:t>
      </w:r>
    </w:p>
    <w:p w:rsidR="00A26973" w:rsidRPr="00373472" w:rsidRDefault="002C4A0D" w:rsidP="00A26973">
      <w:pPr>
        <w:pStyle w:val="CoverNormal24a"/>
        <w:rPr>
          <w:lang w:val="fr-FR"/>
        </w:rPr>
      </w:pPr>
      <w:r w:rsidRPr="00373472">
        <w:rPr>
          <w:lang w:val="fr-FR"/>
        </w:rPr>
        <w:t xml:space="preserve">Rapporteur: </w:t>
      </w:r>
      <w:r w:rsidRPr="00373472">
        <w:rPr>
          <w:rStyle w:val="HideTWBExt"/>
          <w:lang w:val="fr-FR"/>
        </w:rPr>
        <w:t>&lt;Depute&gt;</w:t>
      </w:r>
      <w:r w:rsidRPr="00373472">
        <w:rPr>
          <w:lang w:val="fr-FR"/>
        </w:rPr>
        <w:t>Emma Fourreau</w:t>
      </w:r>
      <w:r w:rsidRPr="00373472">
        <w:rPr>
          <w:rStyle w:val="HideTWBExt"/>
          <w:lang w:val="fr-FR"/>
        </w:rPr>
        <w:t>&lt;/Depute&gt;</w:t>
      </w:r>
    </w:p>
    <w:p w:rsidR="00B42885" w:rsidRPr="00373472" w:rsidRDefault="00B42885" w:rsidP="00B42885">
      <w:pPr>
        <w:pStyle w:val="CoverNormal"/>
        <w:rPr>
          <w:lang w:val="fr-FR"/>
        </w:rPr>
      </w:pPr>
    </w:p>
    <w:p w:rsidR="00197326" w:rsidRPr="00373472" w:rsidRDefault="00363B94" w:rsidP="00925477">
      <w:pPr>
        <w:widowControl/>
        <w:tabs>
          <w:tab w:val="center" w:pos="4677"/>
        </w:tabs>
        <w:rPr>
          <w:lang w:val="fr-FR"/>
        </w:rPr>
      </w:pPr>
      <w:r w:rsidRPr="00373472">
        <w:rPr>
          <w:lang w:val="fr-FR"/>
        </w:rPr>
        <w:br w:type="page"/>
      </w:r>
      <w:r w:rsidRPr="00373472">
        <w:rPr>
          <w:lang w:val="fr-FR"/>
        </w:rPr>
        <w:lastRenderedPageBreak/>
        <w:t>PR_Consent_Motion</w:t>
      </w:r>
    </w:p>
    <w:p w:rsidR="00197326" w:rsidRPr="00B14867" w:rsidRDefault="0083580B" w:rsidP="00197326">
      <w:pPr>
        <w:pStyle w:val="TOCHeading"/>
      </w:pPr>
      <w:r w:rsidRPr="00B14867">
        <w:t>CONTENTS</w:t>
      </w:r>
    </w:p>
    <w:p w:rsidR="00197326" w:rsidRPr="00B14867" w:rsidRDefault="0083580B" w:rsidP="00925477">
      <w:pPr>
        <w:pStyle w:val="TOCPage"/>
      </w:pPr>
      <w:r w:rsidRPr="00B14867">
        <w:t>Page</w:t>
      </w:r>
    </w:p>
    <w:p w:rsidR="00B14867" w:rsidRDefault="00925477">
      <w:pPr>
        <w:pStyle w:val="TOC1"/>
        <w:tabs>
          <w:tab w:val="right" w:leader="dot" w:pos="9060"/>
        </w:tabs>
        <w:rPr>
          <w:rFonts w:asciiTheme="minorHAnsi" w:eastAsiaTheme="minorEastAsia" w:hAnsiTheme="minorHAnsi" w:cstheme="minorBidi"/>
          <w:noProof/>
          <w:sz w:val="22"/>
          <w:szCs w:val="22"/>
          <w:lang w:eastAsia="zh-CN"/>
        </w:rPr>
      </w:pPr>
      <w:r w:rsidRPr="00335392">
        <w:rPr>
          <w:b/>
        </w:rPr>
        <w:fldChar w:fldCharType="begin"/>
      </w:r>
      <w:r w:rsidRPr="00373472">
        <w:rPr>
          <w:b/>
        </w:rPr>
        <w:instrText xml:space="preserve"> TOC \t "PageHeading</w:instrText>
      </w:r>
      <w:r w:rsidR="00B14867">
        <w:rPr>
          <w:b/>
        </w:rPr>
        <w:instrText>;</w:instrText>
      </w:r>
      <w:r w:rsidRPr="00373472">
        <w:rPr>
          <w:b/>
        </w:rPr>
        <w:instrText xml:space="preserve">1" </w:instrText>
      </w:r>
      <w:r w:rsidRPr="00335392">
        <w:rPr>
          <w:b/>
        </w:rPr>
        <w:fldChar w:fldCharType="separate"/>
      </w:r>
      <w:r w:rsidR="00B14867">
        <w:rPr>
          <w:noProof/>
        </w:rPr>
        <w:t>MOTION FOR A EUROPEAN PARLIAMENT NON-LEGISLATIVE RESOLUTION</w:t>
      </w:r>
      <w:r w:rsidR="00B14867">
        <w:rPr>
          <w:noProof/>
        </w:rPr>
        <w:tab/>
      </w:r>
      <w:r w:rsidR="00B14867">
        <w:rPr>
          <w:noProof/>
        </w:rPr>
        <w:fldChar w:fldCharType="begin"/>
      </w:r>
      <w:r w:rsidR="00B14867">
        <w:rPr>
          <w:noProof/>
        </w:rPr>
        <w:instrText xml:space="preserve"> PAGEREF _Toc192172941 \h </w:instrText>
      </w:r>
      <w:r w:rsidR="00B14867">
        <w:rPr>
          <w:noProof/>
        </w:rPr>
      </w:r>
      <w:r w:rsidR="00B14867">
        <w:rPr>
          <w:noProof/>
        </w:rPr>
        <w:fldChar w:fldCharType="separate"/>
      </w:r>
      <w:r w:rsidR="00B14867">
        <w:rPr>
          <w:noProof/>
        </w:rPr>
        <w:t>3</w:t>
      </w:r>
      <w:r w:rsidR="00B14867">
        <w:rPr>
          <w:noProof/>
        </w:rPr>
        <w:fldChar w:fldCharType="end"/>
      </w:r>
    </w:p>
    <w:p w:rsidR="00B14867" w:rsidRDefault="00B14867">
      <w:pPr>
        <w:pStyle w:val="TOC1"/>
        <w:tabs>
          <w:tab w:val="right" w:leader="dot" w:pos="9060"/>
        </w:tabs>
        <w:rPr>
          <w:rFonts w:asciiTheme="minorHAnsi" w:eastAsiaTheme="minorEastAsia" w:hAnsiTheme="minorHAnsi" w:cstheme="minorBidi"/>
          <w:noProof/>
          <w:sz w:val="22"/>
          <w:szCs w:val="22"/>
          <w:lang w:eastAsia="zh-CN"/>
        </w:rPr>
      </w:pPr>
      <w:r>
        <w:rPr>
          <w:noProof/>
        </w:rPr>
        <w:t>EXPLANATORY STATEMENT</w:t>
      </w:r>
      <w:r>
        <w:rPr>
          <w:noProof/>
        </w:rPr>
        <w:tab/>
      </w:r>
      <w:r>
        <w:rPr>
          <w:noProof/>
        </w:rPr>
        <w:fldChar w:fldCharType="begin"/>
      </w:r>
      <w:r>
        <w:rPr>
          <w:noProof/>
        </w:rPr>
        <w:instrText xml:space="preserve"> PAGEREF _Toc192172942 \h </w:instrText>
      </w:r>
      <w:r>
        <w:rPr>
          <w:noProof/>
        </w:rPr>
      </w:r>
      <w:r>
        <w:rPr>
          <w:noProof/>
        </w:rPr>
        <w:fldChar w:fldCharType="separate"/>
      </w:r>
      <w:r>
        <w:rPr>
          <w:noProof/>
        </w:rPr>
        <w:t>8</w:t>
      </w:r>
      <w:r>
        <w:rPr>
          <w:noProof/>
        </w:rPr>
        <w:fldChar w:fldCharType="end"/>
      </w:r>
    </w:p>
    <w:p w:rsidR="00B14867" w:rsidRDefault="00B14867">
      <w:pPr>
        <w:pStyle w:val="TOC1"/>
        <w:tabs>
          <w:tab w:val="right" w:leader="dot" w:pos="9060"/>
        </w:tabs>
        <w:rPr>
          <w:rFonts w:asciiTheme="minorHAnsi" w:eastAsiaTheme="minorEastAsia" w:hAnsiTheme="minorHAnsi" w:cstheme="minorBidi"/>
          <w:noProof/>
          <w:sz w:val="22"/>
          <w:szCs w:val="22"/>
          <w:lang w:eastAsia="zh-CN"/>
        </w:rPr>
      </w:pPr>
      <w:r>
        <w:rPr>
          <w:noProof/>
        </w:rPr>
        <w:t>ANNEX: ENTITIES OR PERSONS FROM WHOM THE RAPPORTEUR HAS RECEIVED INPUT</w:t>
      </w:r>
      <w:r>
        <w:rPr>
          <w:noProof/>
        </w:rPr>
        <w:tab/>
      </w:r>
      <w:r>
        <w:rPr>
          <w:noProof/>
        </w:rPr>
        <w:fldChar w:fldCharType="begin"/>
      </w:r>
      <w:r>
        <w:rPr>
          <w:noProof/>
        </w:rPr>
        <w:instrText xml:space="preserve"> PAGEREF _Toc192172943 \h </w:instrText>
      </w:r>
      <w:r>
        <w:rPr>
          <w:noProof/>
        </w:rPr>
      </w:r>
      <w:r>
        <w:rPr>
          <w:noProof/>
        </w:rPr>
        <w:fldChar w:fldCharType="separate"/>
      </w:r>
      <w:r>
        <w:rPr>
          <w:noProof/>
        </w:rPr>
        <w:t>10</w:t>
      </w:r>
      <w:r>
        <w:rPr>
          <w:noProof/>
        </w:rPr>
        <w:fldChar w:fldCharType="end"/>
      </w:r>
    </w:p>
    <w:p w:rsidR="00197326" w:rsidRPr="00335392" w:rsidRDefault="00925477" w:rsidP="00197326">
      <w:r w:rsidRPr="00335392">
        <w:rPr>
          <w:b/>
        </w:rPr>
        <w:fldChar w:fldCharType="end"/>
      </w:r>
    </w:p>
    <w:p w:rsidR="00363B94" w:rsidRPr="00335392" w:rsidRDefault="00363B94">
      <w:pPr>
        <w:pStyle w:val="PageHeading"/>
      </w:pPr>
      <w:r w:rsidRPr="00335392">
        <w:br w:type="page"/>
      </w:r>
      <w:bookmarkStart w:id="2" w:name="_Toc192172941"/>
      <w:r w:rsidRPr="00335392">
        <w:lastRenderedPageBreak/>
        <w:t>MOTION FOR A EUROPEAN PARLIAMENT NON-LEGISLATIVE RESOLUTION</w:t>
      </w:r>
      <w:bookmarkEnd w:id="2"/>
    </w:p>
    <w:p w:rsidR="00363B94" w:rsidRPr="00335392" w:rsidRDefault="0083580B" w:rsidP="00A07A05">
      <w:pPr>
        <w:pStyle w:val="NormalBold"/>
      </w:pPr>
      <w:r w:rsidRPr="00335392">
        <w:t>on the proposal for a Council decision on the conclusion, on behalf of the European Union, of the Implementing Protocol (2025-2030) to the Sustainable Fisheries Partnership Agreement between the European Union on the one hand, and the Government of Greenland and the Government of Denmark, on the other hand (COM(2024)0479 – C10</w:t>
      </w:r>
      <w:r w:rsidRPr="00335392">
        <w:noBreakHyphen/>
        <w:t>0227/2024 – 2024/0263(NLE))</w:t>
      </w:r>
    </w:p>
    <w:p w:rsidR="00363B94" w:rsidRPr="00335392" w:rsidRDefault="0083580B">
      <w:pPr>
        <w:pStyle w:val="EPComma"/>
      </w:pPr>
      <w:r w:rsidRPr="00335392">
        <w:rPr>
          <w:i/>
        </w:rPr>
        <w:t>The European Parliament</w:t>
      </w:r>
      <w:r w:rsidRPr="00335392">
        <w:t>,</w:t>
      </w:r>
    </w:p>
    <w:p w:rsidR="00836E37" w:rsidRPr="00335392" w:rsidRDefault="00F96418" w:rsidP="00836E37">
      <w:pPr>
        <w:pStyle w:val="NormalHanging12a"/>
      </w:pPr>
      <w:r w:rsidRPr="00335392">
        <w:t>–</w:t>
      </w:r>
      <w:r w:rsidRPr="00335392">
        <w:tab/>
        <w:t>having regard to the Sustainable Fisheries Partnership Agreement (SFPA) between the European Union on the one hand, and the Government of Greenland and the Government of Denmark on the other hand, and the Implementing Protocol thereto,</w:t>
      </w:r>
    </w:p>
    <w:p w:rsidR="00836E37" w:rsidRPr="00335392" w:rsidRDefault="00F96418" w:rsidP="00836E37">
      <w:pPr>
        <w:pStyle w:val="NormalHanging12a"/>
      </w:pPr>
      <w:r w:rsidRPr="00335392">
        <w:t>–</w:t>
      </w:r>
      <w:r w:rsidRPr="00335392">
        <w:tab/>
        <w:t>having regard to Article 62 of the United Nations Convention on the Law of the Sea,</w:t>
      </w:r>
    </w:p>
    <w:p w:rsidR="00836E37" w:rsidRPr="00335392" w:rsidRDefault="00F96418" w:rsidP="00836E37">
      <w:pPr>
        <w:pStyle w:val="NormalHanging12a"/>
      </w:pPr>
      <w:r w:rsidRPr="00335392">
        <w:t>–</w:t>
      </w:r>
      <w:r w:rsidRPr="00335392">
        <w:tab/>
        <w:t>having regard to the Convention of the North-East Atlantic Fisheries Commission (NEAFC),</w:t>
      </w:r>
    </w:p>
    <w:p w:rsidR="00836E37" w:rsidRPr="00335392" w:rsidRDefault="00DF0B73" w:rsidP="00836E37">
      <w:pPr>
        <w:pStyle w:val="NormalHanging12a"/>
      </w:pPr>
      <w:r w:rsidRPr="00335392">
        <w:t>–</w:t>
      </w:r>
      <w:r w:rsidRPr="00335392">
        <w:tab/>
        <w:t>having regard to the Convention of the North-West Atlantic Fisheries Organisation (NAFO),</w:t>
      </w:r>
    </w:p>
    <w:p w:rsidR="00836E37" w:rsidRPr="00335392" w:rsidRDefault="00DF0B73" w:rsidP="00836E37">
      <w:pPr>
        <w:pStyle w:val="NormalHanging12a"/>
      </w:pPr>
      <w:r w:rsidRPr="00335392">
        <w:t>–</w:t>
      </w:r>
      <w:r w:rsidRPr="00335392">
        <w:tab/>
        <w:t>having regard to the Convention for the Protection of the Marine Environment of the North-East Atlantic (OSPAR),</w:t>
      </w:r>
    </w:p>
    <w:p w:rsidR="00836E37" w:rsidRPr="00335392" w:rsidRDefault="00DF0B73" w:rsidP="00836E37">
      <w:pPr>
        <w:pStyle w:val="NormalHanging12a"/>
      </w:pPr>
      <w:r w:rsidRPr="00335392">
        <w:t>–</w:t>
      </w:r>
      <w:r w:rsidRPr="00335392">
        <w:tab/>
        <w:t>having regard to the Kunming-Montreal Global Biodiversity Framework,</w:t>
      </w:r>
    </w:p>
    <w:p w:rsidR="00836E37" w:rsidRPr="00335392" w:rsidRDefault="00DF0B73" w:rsidP="00836E37">
      <w:pPr>
        <w:pStyle w:val="NormalHanging12a"/>
      </w:pPr>
      <w:r w:rsidRPr="00335392">
        <w:t>–</w:t>
      </w:r>
      <w:r w:rsidRPr="00335392">
        <w:tab/>
        <w:t>having regard to the Voluntary Guidelines for Securing Sustainable Small-Scale Fisheries of the Food and Agriculture Organization (FAO) of the United Nations,</w:t>
      </w:r>
    </w:p>
    <w:p w:rsidR="00836E37" w:rsidRPr="00335392" w:rsidRDefault="00DF0B73" w:rsidP="00836E37">
      <w:pPr>
        <w:pStyle w:val="NormalHanging12a"/>
      </w:pPr>
      <w:r w:rsidRPr="00335392">
        <w:t>–</w:t>
      </w:r>
      <w:r w:rsidRPr="00335392">
        <w:tab/>
        <w:t>having regard to Regulation (EU) No 1380/2013 of the European Parliament and of the Council of 11 December 2013 on the Common Fisheries Policy, and in particular Articles 29 and 31 thereof,</w:t>
      </w:r>
    </w:p>
    <w:p w:rsidR="00836E37" w:rsidRPr="00335392" w:rsidRDefault="00DF0B73" w:rsidP="00836E37">
      <w:pPr>
        <w:pStyle w:val="NormalHanging12a"/>
      </w:pPr>
      <w:r w:rsidRPr="00335392">
        <w:t>–</w:t>
      </w:r>
      <w:r w:rsidRPr="00335392">
        <w:tab/>
        <w:t>having regard to Council Decision (EU) No 2021/1764 of 5 October 2021 on the association of the Overseas Countries and Territories with the European Union including relations between the European Union on the one hand, and Greenland and the Kingdom of Denmark on the other,</w:t>
      </w:r>
    </w:p>
    <w:p w:rsidR="00836E37" w:rsidRPr="00335392" w:rsidRDefault="00DF0B73" w:rsidP="00836E37">
      <w:pPr>
        <w:pStyle w:val="NormalHanging12a"/>
      </w:pPr>
      <w:r w:rsidRPr="00335392">
        <w:t>–</w:t>
      </w:r>
      <w:r w:rsidRPr="00335392">
        <w:tab/>
        <w:t>having regard to the Joint Communication to the European Parliament, the Council, the European Economic and Social Committee and the Committee of the Regions of 13 October 2021 entitled ‘A stronger EU engagement for a peaceful, sustainable and prosperous Arctic’ by the High Representative of the Union for Foreign Affairs and Security Policy and the European Commission,</w:t>
      </w:r>
    </w:p>
    <w:p w:rsidR="00836E37" w:rsidRPr="00335392" w:rsidRDefault="00DF0B73" w:rsidP="00836E37">
      <w:pPr>
        <w:pStyle w:val="NormalHanging12a"/>
      </w:pPr>
      <w:r w:rsidRPr="00335392">
        <w:t>–</w:t>
      </w:r>
      <w:r w:rsidRPr="00335392">
        <w:tab/>
        <w:t>having regard to the ex-ante and ex-post evaluation studies of the 2021-2024 Protocol and of a possible new implementing protocol to the SFPA between the European Union and Greenland,</w:t>
      </w:r>
    </w:p>
    <w:p w:rsidR="00836E37" w:rsidRPr="00335392" w:rsidRDefault="00DF0B73" w:rsidP="00836E37">
      <w:pPr>
        <w:pStyle w:val="NormalHanging12a"/>
      </w:pPr>
      <w:r w:rsidRPr="00335392">
        <w:lastRenderedPageBreak/>
        <w:t>–</w:t>
      </w:r>
      <w:r w:rsidRPr="00335392">
        <w:tab/>
        <w:t>having regard to EU’s biodiversity strategy for 2030,</w:t>
      </w:r>
    </w:p>
    <w:p w:rsidR="00836E37" w:rsidRPr="00335392" w:rsidRDefault="00DF0B73" w:rsidP="00836E37">
      <w:pPr>
        <w:pStyle w:val="NormalHanging12a"/>
      </w:pPr>
      <w:r w:rsidRPr="00335392">
        <w:t>–</w:t>
      </w:r>
      <w:r w:rsidRPr="00335392">
        <w:tab/>
        <w:t>having regard to the Joint Communication to the European Parliament, the Council, the European Economic and Social Committee and the Committee of the Regions entitled ‘Setting the course for a sustainable blue planet – Joint Communication on the EU’s International Ocean Governance agenda’,</w:t>
      </w:r>
    </w:p>
    <w:p w:rsidR="00836E37" w:rsidRPr="00335392" w:rsidRDefault="00DF0B73" w:rsidP="00836E37">
      <w:pPr>
        <w:pStyle w:val="NormalHanging12a"/>
      </w:pPr>
      <w:r w:rsidRPr="00335392">
        <w:t>–</w:t>
      </w:r>
      <w:r w:rsidRPr="00335392">
        <w:tab/>
        <w:t>having regard to the non-legislative resolution of the European Parliament of 5 October 2021 on the draft Council decision on the conclusion, on behalf of the European Union, of a Sustainable Fisheries Partnership Agreement between the European Union on the one hand, and the Government of Greenland and the Government of Denmark on the other hand, and the Implementing Protocol thereto,</w:t>
      </w:r>
    </w:p>
    <w:p w:rsidR="00836E37" w:rsidRPr="00335392" w:rsidRDefault="00DF0B73" w:rsidP="00836E37">
      <w:pPr>
        <w:pStyle w:val="NormalHanging12a"/>
      </w:pPr>
      <w:r w:rsidRPr="00335392">
        <w:t>–</w:t>
      </w:r>
      <w:r w:rsidRPr="00335392">
        <w:tab/>
        <w:t>having regard to the reports of the International Council for the Exploration of the Sea (ICES) entitled ‘Greenland Sea Ecosystem Overview’ of 2023, and ‘Greenland Sea Ecoregion – Fisheries Overview’ of 2024,</w:t>
      </w:r>
    </w:p>
    <w:p w:rsidR="00836E37" w:rsidRPr="00335392" w:rsidRDefault="00DF0B73" w:rsidP="007D41AE">
      <w:pPr>
        <w:pStyle w:val="NormalHanging12a"/>
      </w:pPr>
      <w:r w:rsidRPr="00335392">
        <w:t>–</w:t>
      </w:r>
      <w:r w:rsidRPr="00335392">
        <w:tab/>
        <w:t>having regard to the Council Decision on the conclusion, on behalf of the Union, of the Protocol on the implementation of the Sustainable Fisheries Partnership Agreement between the European Union, on the one hand, and the Government of Greenland and the Government of Denmark, on the other (2025-2030) (14652/2024),</w:t>
      </w:r>
    </w:p>
    <w:p w:rsidR="00836E37" w:rsidRPr="00335392" w:rsidRDefault="00C328C8" w:rsidP="00836E37">
      <w:pPr>
        <w:pStyle w:val="NormalHanging12a"/>
        <w:rPr>
          <w:szCs w:val="24"/>
        </w:rPr>
      </w:pPr>
      <w:r w:rsidRPr="00335392">
        <w:t>–</w:t>
      </w:r>
      <w:r w:rsidRPr="00335392">
        <w:tab/>
        <w:t>having regard to the Protocol on the implementation of the Sustainable Fisheries Partnership Agreement between the European Union, on the one hand, and the Government of Greenland and the Government of Denmark, on the other (2025-2030) (14781/2024),</w:t>
      </w:r>
    </w:p>
    <w:p w:rsidR="00836E37" w:rsidRPr="00335392" w:rsidRDefault="00C328C8" w:rsidP="00836E37">
      <w:pPr>
        <w:pStyle w:val="NormalHanging12a"/>
        <w:rPr>
          <w:szCs w:val="24"/>
        </w:rPr>
      </w:pPr>
      <w:r w:rsidRPr="00335392">
        <w:t>–</w:t>
      </w:r>
      <w:r w:rsidRPr="00335392">
        <w:tab/>
        <w:t>having regard to the request for consent submitted by the Council in accordance with Article 43(2) and Article 218(6), second subparagraph, point (a)(v) of the Treaty on the Functioning of the European Union (C10</w:t>
      </w:r>
      <w:r w:rsidRPr="00335392">
        <w:noBreakHyphen/>
        <w:t>0227/2024),</w:t>
      </w:r>
    </w:p>
    <w:p w:rsidR="00836E37" w:rsidRPr="00335392" w:rsidRDefault="00C328C8" w:rsidP="00836E37">
      <w:pPr>
        <w:pStyle w:val="NormalHanging12a"/>
        <w:rPr>
          <w:szCs w:val="24"/>
        </w:rPr>
      </w:pPr>
      <w:r w:rsidRPr="00335392">
        <w:t>–</w:t>
      </w:r>
      <w:r w:rsidRPr="00335392">
        <w:tab/>
        <w:t>having regard to the budgetary assessment by the Committee on Budgets,</w:t>
      </w:r>
    </w:p>
    <w:p w:rsidR="00836E37" w:rsidRPr="00335392" w:rsidRDefault="00C328C8" w:rsidP="00836E37">
      <w:pPr>
        <w:pStyle w:val="NormalHanging12a"/>
        <w:rPr>
          <w:szCs w:val="24"/>
        </w:rPr>
      </w:pPr>
      <w:r w:rsidRPr="00335392">
        <w:t>–</w:t>
      </w:r>
      <w:r w:rsidRPr="00335392">
        <w:tab/>
        <w:t>having regard to its non-legislative resolution of ...</w:t>
      </w:r>
      <w:r w:rsidR="00DF0B73" w:rsidRPr="00335392">
        <w:rPr>
          <w:rStyle w:val="FootnoteReference"/>
          <w:color w:val="000000"/>
        </w:rPr>
        <w:footnoteReference w:id="1"/>
      </w:r>
      <w:r w:rsidRPr="00335392">
        <w:t xml:space="preserve"> on the draft decision,</w:t>
      </w:r>
    </w:p>
    <w:p w:rsidR="00836E37" w:rsidRPr="00335392" w:rsidRDefault="00C328C8" w:rsidP="00836E37">
      <w:pPr>
        <w:pStyle w:val="NormalHanging12a"/>
        <w:rPr>
          <w:szCs w:val="24"/>
        </w:rPr>
      </w:pPr>
      <w:r w:rsidRPr="00335392">
        <w:t>–</w:t>
      </w:r>
      <w:r w:rsidRPr="00335392">
        <w:tab/>
        <w:t>having regard to Rule 107(1) and (4), and Rule 117(7) of its Rules of Procedure,</w:t>
      </w:r>
    </w:p>
    <w:p w:rsidR="00836E37" w:rsidRPr="00335392" w:rsidRDefault="00C328C8" w:rsidP="00836E37">
      <w:pPr>
        <w:pStyle w:val="NormalHanging12a"/>
        <w:rPr>
          <w:szCs w:val="24"/>
        </w:rPr>
      </w:pPr>
      <w:r w:rsidRPr="00335392">
        <w:t>–</w:t>
      </w:r>
      <w:r w:rsidRPr="00335392">
        <w:tab/>
        <w:t>having regard to the recommendation of the Committee on Fisheries (A10</w:t>
      </w:r>
      <w:r w:rsidRPr="00335392">
        <w:noBreakHyphen/>
        <w:t>0000/2025),</w:t>
      </w:r>
    </w:p>
    <w:p w:rsidR="00836E37" w:rsidRPr="00335392" w:rsidRDefault="00C328C8" w:rsidP="00836E37">
      <w:pPr>
        <w:pStyle w:val="NormalHanging12a"/>
        <w:rPr>
          <w:szCs w:val="24"/>
        </w:rPr>
      </w:pPr>
      <w:r w:rsidRPr="00335392">
        <w:t>A.</w:t>
      </w:r>
      <w:r w:rsidRPr="00335392">
        <w:tab/>
        <w:t>whereas Greenland, as an autonomous territory, is responsible for managing its fisheries resources and regulating commercial fishing in Greenland;</w:t>
      </w:r>
    </w:p>
    <w:p w:rsidR="00836E37" w:rsidRPr="00335392" w:rsidRDefault="00C328C8" w:rsidP="00836E37">
      <w:pPr>
        <w:pStyle w:val="NormalHanging12a"/>
        <w:rPr>
          <w:szCs w:val="24"/>
        </w:rPr>
      </w:pPr>
      <w:r w:rsidRPr="00335392">
        <w:t>B.</w:t>
      </w:r>
      <w:r w:rsidRPr="00335392">
        <w:tab/>
        <w:t>whereas Greenland’s fisheries comprise coastal fisheries and deep-sea fisheries;</w:t>
      </w:r>
    </w:p>
    <w:p w:rsidR="00836E37" w:rsidRPr="00335392" w:rsidRDefault="00C328C8" w:rsidP="00836E37">
      <w:pPr>
        <w:pStyle w:val="NormalHanging12a"/>
        <w:rPr>
          <w:szCs w:val="24"/>
        </w:rPr>
      </w:pPr>
      <w:r w:rsidRPr="00335392">
        <w:t>C.</w:t>
      </w:r>
      <w:r w:rsidRPr="00335392">
        <w:tab/>
        <w:t>whereas 88% of Greenland’s population identifies as Greenlandic Inuit;</w:t>
      </w:r>
    </w:p>
    <w:p w:rsidR="00836E37" w:rsidRPr="00335392" w:rsidRDefault="00C328C8" w:rsidP="00836E37">
      <w:pPr>
        <w:pStyle w:val="NormalHanging12a"/>
        <w:rPr>
          <w:szCs w:val="24"/>
        </w:rPr>
      </w:pPr>
      <w:r w:rsidRPr="00335392">
        <w:t>D.</w:t>
      </w:r>
      <w:r w:rsidRPr="00335392">
        <w:tab/>
        <w:t xml:space="preserve">whereas small-scale coastal fisheries and subsistence fisheries form an integral part of </w:t>
      </w:r>
      <w:r w:rsidRPr="00335392">
        <w:lastRenderedPageBreak/>
        <w:t>the culture and economy of Greenland’s coastal communities;</w:t>
      </w:r>
    </w:p>
    <w:p w:rsidR="00836E37" w:rsidRPr="00335392" w:rsidRDefault="00C328C8" w:rsidP="00836E37">
      <w:pPr>
        <w:pStyle w:val="NormalHanging12a"/>
        <w:rPr>
          <w:szCs w:val="24"/>
        </w:rPr>
      </w:pPr>
      <w:r w:rsidRPr="00335392">
        <w:t>E.</w:t>
      </w:r>
      <w:r w:rsidRPr="00335392">
        <w:tab/>
        <w:t>whereas in recent years, following the exchange of quotas with Norway, fishing opportunities have been granted to around 10 Community vessels under the Protocol;</w:t>
      </w:r>
    </w:p>
    <w:p w:rsidR="00836E37" w:rsidRPr="00335392" w:rsidRDefault="00C328C8" w:rsidP="00836E37">
      <w:pPr>
        <w:pStyle w:val="NormalHanging12a"/>
        <w:rPr>
          <w:szCs w:val="24"/>
        </w:rPr>
      </w:pPr>
      <w:r w:rsidRPr="00335392">
        <w:t>F.</w:t>
      </w:r>
      <w:r w:rsidRPr="00335392">
        <w:tab/>
        <w:t>whereas according to scientists, the Arctic region is warming up almost four times faster than the rest of the world, with implications for fish populations and marine ecosystems;</w:t>
      </w:r>
    </w:p>
    <w:p w:rsidR="00836E37" w:rsidRPr="00335392" w:rsidRDefault="00C328C8" w:rsidP="00836E37">
      <w:pPr>
        <w:pStyle w:val="NormalHanging12a"/>
        <w:rPr>
          <w:szCs w:val="24"/>
        </w:rPr>
      </w:pPr>
      <w:r w:rsidRPr="00335392">
        <w:t>G.</w:t>
      </w:r>
      <w:r w:rsidRPr="00335392">
        <w:tab/>
        <w:t>whereas evaluation of the preceding Protocol reveals that overfishing can be ruled out with certainty for only five of the fifteen stocks exploited under the Protocol, there is a lack of scientific data for some of the stocks, and four of them are regarded as still overexploited;</w:t>
      </w:r>
    </w:p>
    <w:p w:rsidR="00836E37" w:rsidRPr="00335392" w:rsidRDefault="00C328C8" w:rsidP="00836E37">
      <w:pPr>
        <w:pStyle w:val="NormalHanging12a"/>
        <w:rPr>
          <w:szCs w:val="24"/>
        </w:rPr>
      </w:pPr>
      <w:r w:rsidRPr="00335392">
        <w:t>H.</w:t>
      </w:r>
      <w:r w:rsidRPr="00335392">
        <w:tab/>
        <w:t>whereas according to ICES, mobile bottom fishing gear is the most important vector for benthic habitat disruption in the Greenland Sea ecoregion; whereas the trawlable fishing areas largely coincide with the areas where there have been changes in the observed distribution of corals, sponges and sea pens;</w:t>
      </w:r>
    </w:p>
    <w:p w:rsidR="00836E37" w:rsidRPr="00335392" w:rsidRDefault="00C328C8" w:rsidP="00836E37">
      <w:pPr>
        <w:pStyle w:val="NormalHanging12a"/>
        <w:rPr>
          <w:bCs/>
          <w:i/>
          <w:iCs/>
          <w:szCs w:val="24"/>
        </w:rPr>
      </w:pPr>
      <w:r w:rsidRPr="00335392">
        <w:t>I.</w:t>
      </w:r>
      <w:r w:rsidRPr="00335392">
        <w:tab/>
        <w:t>whereas the European Union and Greenland, on behalf of Denmark, hold seats on the NEAFC and NAFO;</w:t>
      </w:r>
    </w:p>
    <w:p w:rsidR="00836E37" w:rsidRPr="00335392" w:rsidRDefault="00FE73A9" w:rsidP="00836E37">
      <w:pPr>
        <w:pStyle w:val="NormalHanging12a"/>
        <w:rPr>
          <w:b/>
          <w:i/>
          <w:szCs w:val="24"/>
        </w:rPr>
      </w:pPr>
      <w:r w:rsidRPr="00335392">
        <w:rPr>
          <w:b/>
          <w:i/>
        </w:rPr>
        <w:t>Context and general principles of the SFPA</w:t>
      </w:r>
    </w:p>
    <w:p w:rsidR="00836E37" w:rsidRPr="00335392" w:rsidRDefault="00FE73A9" w:rsidP="00836E37">
      <w:pPr>
        <w:pStyle w:val="NormalHanging12a"/>
        <w:rPr>
          <w:szCs w:val="24"/>
        </w:rPr>
      </w:pPr>
      <w:r w:rsidRPr="00335392">
        <w:t>1.</w:t>
      </w:r>
      <w:r w:rsidRPr="00335392">
        <w:tab/>
        <w:t>Notes the importance of the fisheries sector for Greenland, given that seafood exports account for over 90% of the autonomous territory’s total exports, and that fishing and the fishing industry together account for 15% of all jobs;</w:t>
      </w:r>
    </w:p>
    <w:p w:rsidR="00836E37" w:rsidRPr="00335392" w:rsidRDefault="00C328C8" w:rsidP="00836E37">
      <w:pPr>
        <w:pStyle w:val="NormalHanging12a"/>
        <w:rPr>
          <w:szCs w:val="24"/>
        </w:rPr>
      </w:pPr>
      <w:r w:rsidRPr="00335392">
        <w:t>2.</w:t>
      </w:r>
      <w:r w:rsidRPr="00335392">
        <w:tab/>
        <w:t>Recalls Greenland’s geostrategic position within the Arctic region; underlines the importance of the SFPA for relations between the European Union and Greenland in the current geopolitical context, having regard to the climate crisis in the region;</w:t>
      </w:r>
    </w:p>
    <w:p w:rsidR="00836E37" w:rsidRPr="00335392" w:rsidRDefault="00C328C8" w:rsidP="00836E37">
      <w:pPr>
        <w:pStyle w:val="NormalHanging12a"/>
        <w:rPr>
          <w:szCs w:val="24"/>
        </w:rPr>
      </w:pPr>
      <w:r w:rsidRPr="00335392">
        <w:t>3.</w:t>
      </w:r>
      <w:r w:rsidRPr="00335392">
        <w:tab/>
        <w:t>Underlines that, while guaranteeing fishing opportunities for the European fleet, the SFPA should lead to the exploitation of fisheries resources within sustainable limits and the preservation of marine biodiversity, in line with the standards laid down by the European Union; recalls that Community vessels are supposed to fish only the available surplus;</w:t>
      </w:r>
    </w:p>
    <w:p w:rsidR="00836E37" w:rsidRPr="00335392" w:rsidRDefault="00C328C8" w:rsidP="00836E37">
      <w:pPr>
        <w:pStyle w:val="NormalHanging12a"/>
        <w:rPr>
          <w:szCs w:val="24"/>
        </w:rPr>
      </w:pPr>
      <w:r w:rsidRPr="00335392">
        <w:t>4.</w:t>
      </w:r>
      <w:r w:rsidRPr="00335392">
        <w:tab/>
        <w:t>Notes that the new Protocol has been concluded for a term of six years, which means improved visibility for stakeholders, in particular the fisheries sector;</w:t>
      </w:r>
    </w:p>
    <w:p w:rsidR="00836E37" w:rsidRPr="00335392" w:rsidRDefault="00C328C8" w:rsidP="00836E37">
      <w:pPr>
        <w:pStyle w:val="NormalHanging12a"/>
        <w:rPr>
          <w:szCs w:val="24"/>
        </w:rPr>
      </w:pPr>
      <w:r w:rsidRPr="00335392">
        <w:t>5.</w:t>
      </w:r>
      <w:r w:rsidRPr="00335392">
        <w:tab/>
        <w:t>Welcomes the increase in the total financial contribution paid by the European Union and the fees paid by fisheries operators;</w:t>
      </w:r>
    </w:p>
    <w:p w:rsidR="00836E37" w:rsidRPr="00335392" w:rsidRDefault="00FE73A9" w:rsidP="00836E37">
      <w:pPr>
        <w:pStyle w:val="NormalHanging12a"/>
        <w:rPr>
          <w:b/>
          <w:i/>
          <w:szCs w:val="24"/>
        </w:rPr>
      </w:pPr>
      <w:r w:rsidRPr="00335392">
        <w:rPr>
          <w:b/>
          <w:i/>
        </w:rPr>
        <w:t>Sustainability of fisheries under the SFPA</w:t>
      </w:r>
    </w:p>
    <w:p w:rsidR="00836E37" w:rsidRPr="00335392" w:rsidRDefault="00C328C8" w:rsidP="00836E37">
      <w:pPr>
        <w:pStyle w:val="NormalHanging12a"/>
        <w:rPr>
          <w:szCs w:val="24"/>
        </w:rPr>
      </w:pPr>
      <w:r w:rsidRPr="00335392">
        <w:t>6.</w:t>
      </w:r>
      <w:r w:rsidRPr="00335392">
        <w:tab/>
        <w:t>Welcomes the robust monitoring system, the framework for the management of bycatch and the ban on discards that apply in Greenland waters, as well as the presence of observers;</w:t>
      </w:r>
    </w:p>
    <w:p w:rsidR="00836E37" w:rsidRPr="00335392" w:rsidRDefault="00C328C8" w:rsidP="00836E37">
      <w:pPr>
        <w:pStyle w:val="NormalHanging12a"/>
        <w:rPr>
          <w:szCs w:val="24"/>
        </w:rPr>
      </w:pPr>
      <w:r w:rsidRPr="00335392">
        <w:t>7.</w:t>
      </w:r>
      <w:r w:rsidRPr="00335392">
        <w:tab/>
        <w:t xml:space="preserve">Reaffirms its concerns regarding the overexploitation of several target fish populations </w:t>
      </w:r>
      <w:r w:rsidRPr="00335392">
        <w:lastRenderedPageBreak/>
        <w:t>under the Protocol for which the TACs set by Greenland are higher than scientific advice, in particular for the Northern prawn, targeted by both Greenland vessels and Community vessels (which account for a more marginal share); in this respect, notes the reduction in indicative annual fishing opportunities for several fish populations;</w:t>
      </w:r>
    </w:p>
    <w:p w:rsidR="00836E37" w:rsidRPr="00335392" w:rsidRDefault="00C328C8" w:rsidP="00836E37">
      <w:pPr>
        <w:pStyle w:val="NormalHanging12a"/>
        <w:rPr>
          <w:szCs w:val="24"/>
        </w:rPr>
      </w:pPr>
      <w:r w:rsidRPr="00335392">
        <w:t>8.</w:t>
      </w:r>
      <w:r w:rsidRPr="00335392">
        <w:tab/>
        <w:t>Calls once again for the Commission and Greenland to use the precautionary principle and the best available scientific advice as a basis for setting annual fishing opportunities;</w:t>
      </w:r>
    </w:p>
    <w:p w:rsidR="00836E37" w:rsidRPr="00335392" w:rsidRDefault="00C328C8" w:rsidP="00836E37">
      <w:pPr>
        <w:pStyle w:val="NormalHanging12a"/>
        <w:rPr>
          <w:szCs w:val="24"/>
        </w:rPr>
      </w:pPr>
      <w:r w:rsidRPr="00335392">
        <w:t>9.</w:t>
      </w:r>
      <w:r w:rsidRPr="00335392">
        <w:tab/>
        <w:t>Notes that a significant share of the fishing opportunities granted to the European Union by Greenland go to Norwegian vessels in connection with the exchange of quotas; recalls that the same sustainability standards must apply to both European and Norwegian vessels in order to ensure that they are treated equally;</w:t>
      </w:r>
    </w:p>
    <w:p w:rsidR="00836E37" w:rsidRPr="00335392" w:rsidRDefault="00FE73A9" w:rsidP="00836E37">
      <w:pPr>
        <w:pStyle w:val="NormalHanging12a"/>
        <w:rPr>
          <w:b/>
          <w:i/>
          <w:szCs w:val="24"/>
        </w:rPr>
      </w:pPr>
      <w:r w:rsidRPr="00335392">
        <w:rPr>
          <w:b/>
          <w:i/>
        </w:rPr>
        <w:t>Improvement of scientific advice and data collection</w:t>
      </w:r>
    </w:p>
    <w:p w:rsidR="00836E37" w:rsidRPr="00335392" w:rsidRDefault="00C328C8" w:rsidP="00836E37">
      <w:pPr>
        <w:pStyle w:val="NormalHanging12a"/>
        <w:rPr>
          <w:szCs w:val="24"/>
        </w:rPr>
      </w:pPr>
      <w:r w:rsidRPr="00335392">
        <w:t>10.</w:t>
      </w:r>
      <w:r w:rsidRPr="00335392">
        <w:tab/>
        <w:t>Recalls that reliable and robust data are required to calculate the available surplus; reiterates its concerns regarding the existing gaps; welcomes the efforts of the fisheries sector to cooperate with scientific monitoring and data collection;</w:t>
      </w:r>
    </w:p>
    <w:p w:rsidR="00836E37" w:rsidRPr="00335392" w:rsidRDefault="00C328C8" w:rsidP="00836E37">
      <w:pPr>
        <w:pStyle w:val="NormalHanging12a"/>
        <w:rPr>
          <w:szCs w:val="24"/>
        </w:rPr>
      </w:pPr>
      <w:r w:rsidRPr="00335392">
        <w:t>11.</w:t>
      </w:r>
      <w:r w:rsidRPr="00335392">
        <w:tab/>
        <w:t>Underlines that the data on benthic habitats in the Greenland Sea ecoregion are limited, but point to the potential presence of vulnerable marine ecosystems; insists on the need for more scientific data in order to map these habitats and the need to adopt technical and spatial measures aimed at mitigating the impact of bottom fisheries on these ecosystems;</w:t>
      </w:r>
    </w:p>
    <w:p w:rsidR="00836E37" w:rsidRPr="00335392" w:rsidRDefault="00FE73A9" w:rsidP="00836E37">
      <w:pPr>
        <w:pStyle w:val="NormalHanging12a"/>
        <w:rPr>
          <w:b/>
          <w:i/>
          <w:szCs w:val="24"/>
        </w:rPr>
      </w:pPr>
      <w:r w:rsidRPr="00335392">
        <w:rPr>
          <w:b/>
          <w:i/>
        </w:rPr>
        <w:t>Support for fisheries policy in Greenland</w:t>
      </w:r>
    </w:p>
    <w:p w:rsidR="00836E37" w:rsidRPr="00335392" w:rsidRDefault="00C328C8" w:rsidP="00836E37">
      <w:pPr>
        <w:pStyle w:val="NormalHanging12a"/>
        <w:rPr>
          <w:szCs w:val="24"/>
        </w:rPr>
      </w:pPr>
      <w:r w:rsidRPr="00335392">
        <w:t>12.</w:t>
      </w:r>
      <w:r w:rsidRPr="00335392">
        <w:tab/>
        <w:t>Underlines the small share of landings carried out by the European fleet in Greenland and the small number of seafarers from Greenland signed on with European vessels; considers that the Protocol should deliver more indirect added value for the Greenland economy;</w:t>
      </w:r>
    </w:p>
    <w:p w:rsidR="00836E37" w:rsidRPr="00335392" w:rsidRDefault="00C328C8" w:rsidP="00836E37">
      <w:pPr>
        <w:pStyle w:val="NormalHanging12a"/>
        <w:rPr>
          <w:szCs w:val="24"/>
        </w:rPr>
      </w:pPr>
      <w:r w:rsidRPr="00335392">
        <w:t>13.</w:t>
      </w:r>
      <w:r w:rsidRPr="00335392">
        <w:tab/>
        <w:t>Welcomes the fact that the Protocol refers to the United Nations Declaration on the Rights of Indigenous Peoples;</w:t>
      </w:r>
    </w:p>
    <w:p w:rsidR="00836E37" w:rsidRPr="00335392" w:rsidRDefault="00C328C8" w:rsidP="00836E37">
      <w:pPr>
        <w:pStyle w:val="NormalHanging12a"/>
        <w:rPr>
          <w:szCs w:val="24"/>
        </w:rPr>
      </w:pPr>
      <w:r w:rsidRPr="00335392">
        <w:t>14.</w:t>
      </w:r>
      <w:r w:rsidRPr="00335392">
        <w:tab/>
        <w:t>Welcomes, too, the fact that a significant share of the sectoral support paid under the preceding Protocol was used to step up the monitoring of fisheries, scientific research and data collection, administration and support for small-scale coastal fisheries;</w:t>
      </w:r>
    </w:p>
    <w:p w:rsidR="00836E37" w:rsidRPr="00335392" w:rsidRDefault="00C328C8" w:rsidP="00836E37">
      <w:pPr>
        <w:pStyle w:val="NormalHanging12a"/>
        <w:rPr>
          <w:szCs w:val="24"/>
        </w:rPr>
      </w:pPr>
      <w:r w:rsidRPr="00335392">
        <w:t>15.</w:t>
      </w:r>
      <w:r w:rsidRPr="00335392">
        <w:tab/>
        <w:t>Invites the Commission and Greenland, within the framework of sectoral support and the SFPA, to step up their efforts to support Greenland’s small-scale coastal fisheries, to help guarantee access by the latter to fisheries resources and to ensure the participation of Greenland’s fishing communities and civil society in the implementation of the SFPA;</w:t>
      </w:r>
    </w:p>
    <w:p w:rsidR="00836E37" w:rsidRPr="00335392" w:rsidRDefault="00C328C8" w:rsidP="00836E37">
      <w:pPr>
        <w:pStyle w:val="NormalHanging12a"/>
        <w:rPr>
          <w:szCs w:val="24"/>
        </w:rPr>
      </w:pPr>
      <w:r w:rsidRPr="00335392">
        <w:t>16.</w:t>
      </w:r>
      <w:r w:rsidRPr="00335392">
        <w:tab/>
        <w:t>Notes Greenland’s willingness to develop its fisheries sector further; takes note of the recent reform of its fisheries legislation;</w:t>
      </w:r>
    </w:p>
    <w:p w:rsidR="00836E37" w:rsidRPr="00335392" w:rsidRDefault="00FE73A9" w:rsidP="00836E37">
      <w:pPr>
        <w:pStyle w:val="NormalHanging12a"/>
        <w:rPr>
          <w:b/>
          <w:bCs/>
          <w:i/>
          <w:szCs w:val="24"/>
        </w:rPr>
      </w:pPr>
      <w:r w:rsidRPr="00335392">
        <w:rPr>
          <w:b/>
          <w:i/>
        </w:rPr>
        <w:t>Regional governance of fisheries and challenges for the Arctic</w:t>
      </w:r>
    </w:p>
    <w:p w:rsidR="00836E37" w:rsidRPr="00335392" w:rsidRDefault="00C328C8" w:rsidP="00836E37">
      <w:pPr>
        <w:pStyle w:val="NormalHanging12a"/>
        <w:rPr>
          <w:szCs w:val="24"/>
        </w:rPr>
      </w:pPr>
      <w:r w:rsidRPr="00335392">
        <w:t>17.</w:t>
      </w:r>
      <w:r w:rsidRPr="00335392">
        <w:tab/>
        <w:t>Underscores the importance of repositioning the fisheries agreement in the broader context of post-Brexit fisheries governance, relations between the European Union and Norway in the area of fisheries and the European Union’s policy on the Arctic;</w:t>
      </w:r>
    </w:p>
    <w:p w:rsidR="00836E37" w:rsidRPr="00335392" w:rsidRDefault="00C328C8" w:rsidP="00836E37">
      <w:pPr>
        <w:pStyle w:val="NormalHanging12a"/>
        <w:rPr>
          <w:szCs w:val="24"/>
        </w:rPr>
      </w:pPr>
      <w:r w:rsidRPr="00335392">
        <w:t>18.</w:t>
      </w:r>
      <w:r w:rsidRPr="00335392">
        <w:tab/>
        <w:t>Invites the European Union and Greenland to improve transparency and cooperation within the framework of regional fisheries management organisations (RFMOs) and agreements between coastal states for the management of certain stocks;</w:t>
      </w:r>
    </w:p>
    <w:p w:rsidR="00836E37" w:rsidRPr="00335392" w:rsidRDefault="00C328C8" w:rsidP="00836E37">
      <w:pPr>
        <w:pStyle w:val="NormalHanging12a"/>
        <w:rPr>
          <w:szCs w:val="24"/>
        </w:rPr>
      </w:pPr>
      <w:r w:rsidRPr="00335392">
        <w:t>19.</w:t>
      </w:r>
      <w:r w:rsidRPr="00335392">
        <w:tab/>
        <w:t>Invites the European Union to pursue detailed objectives within the framework of the Joint Communication of 13 October 2021 entitled ‘A stronger EU engagement for a peaceful, sustainable and prosperous Arctic’ as regards the sustainable management of living marine resources, climate and the protection of the marine environment upon which fisheries depend; asks the European Union to strengthen its efforts to this end;</w:t>
      </w:r>
    </w:p>
    <w:p w:rsidR="00836E37" w:rsidRPr="00335392" w:rsidRDefault="00C328C8" w:rsidP="00836E37">
      <w:pPr>
        <w:pStyle w:val="NormalHanging12a"/>
        <w:rPr>
          <w:szCs w:val="24"/>
        </w:rPr>
      </w:pPr>
      <w:r w:rsidRPr="00335392">
        <w:t>20.</w:t>
      </w:r>
      <w:r w:rsidRPr="00335392">
        <w:tab/>
        <w:t>Instructs its President to forward this resolution to the Council, the Commission and the governments and parliaments of the Member States and of Greenland.</w:t>
      </w:r>
    </w:p>
    <w:p w:rsidR="00D32578" w:rsidRPr="00335392" w:rsidRDefault="00D32578" w:rsidP="008544DE">
      <w:pPr>
        <w:sectPr w:rsidR="00D32578" w:rsidRPr="00335392" w:rsidSect="003353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32578" w:rsidRPr="00335392" w:rsidRDefault="0083580B" w:rsidP="00D32578">
      <w:pPr>
        <w:pStyle w:val="PageHeading"/>
      </w:pPr>
      <w:bookmarkStart w:id="3" w:name="_Toc192172942"/>
      <w:r w:rsidRPr="00335392">
        <w:t>EXPLANATORY STATEMENT</w:t>
      </w:r>
      <w:bookmarkEnd w:id="3"/>
    </w:p>
    <w:p w:rsidR="00CA78C5" w:rsidRPr="00335392" w:rsidRDefault="00CA78C5" w:rsidP="00CA78C5">
      <w:pPr>
        <w:spacing w:line="276" w:lineRule="auto"/>
        <w:jc w:val="both"/>
        <w:rPr>
          <w:szCs w:val="24"/>
        </w:rPr>
      </w:pPr>
      <w:r w:rsidRPr="00335392">
        <w:rPr>
          <w:color w:val="000000"/>
        </w:rPr>
        <w:t>At the end of 2024, Greenland and the European Union signed a new Protocol implementing the Sustainable Fisheries Partnership Agreement (SFPA) (2025-2030). This is a mixed agreement that allows the European Union’s vessels to fish species such as cod, Greenland halibut, redfish and Northern prawn. In return, the European Union pays a financial contribution of EUR 17,296,857 per annum, comprising EUR 14,096,857 for access rights and EUR 3,200,000 for support and implementation of Greenland’s fisheries policy, plus the fees paid by vessel owners. In recent years, the fisheries agreement has allowed around 10 of the European Union’s vessels to operate in the autonomous territory’s waters. The new Protocol provides details of the rules and provisions governing this access.</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b/>
          <w:color w:val="000000"/>
        </w:rPr>
        <w:t>Fisheries in Greenland</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color w:val="000000"/>
        </w:rPr>
        <w:t xml:space="preserve">The fisheries sector is of central importance for Greenland in socio-economic and cultural terms. It accounts for 15% of the territory’s jobs and over 90% of its exports. Coastal fisheries mainly involve small vessels (dinghies), and sustain an economy and local jobs. Many remote Inuit communities rely on subsistence fishing. </w:t>
      </w:r>
      <w:r w:rsidRPr="00335392">
        <w:t>The territory also has a highly developed deep-sea fishing fleet, and has concluded fisheries agreements that allow foreign vessels to fish in the deep-sea fishing area</w:t>
      </w:r>
      <w:r w:rsidRPr="00335392">
        <w:rPr>
          <w:color w:val="000000"/>
        </w:rPr>
        <w:t>. Greenland’s fisheries are suffering the effects of climate change on a vulnerable Arctic marine environment, with particular impacts on the species caught. Greenland has put measures in place to limit the impact of fisheries on the marine environment; these include a ban on discards, a plan for the management of bycatch etc.</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b/>
          <w:color w:val="000000"/>
        </w:rPr>
        <w:t>New Protocol implementing the SFPA</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color w:val="000000"/>
        </w:rPr>
        <w:t>The new Protocol that has been signed has a term of six years, providing stability and visibility for stakeholders. It contains provisions aimed at providing a framework for access to waters by European vessels and cooperation with Greenland: fishing opportunities, bycatch, scientific cooperation, monitoring, controls, surveillance, fishing areas, observers etc.</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color w:val="000000"/>
        </w:rPr>
        <w:t>A specific characteristic of the agreement is that catches are regulated on the basis of fishing opportunities that are set annually. Your rapporteur is concerned about the fact that, according to the ex-post evaluation, the TACs for several of the targeted species exceed the limits set on the basis of scientific advice. These proven cases of overfishing, or of uncertainty owing to a lack of data, pose a threat to fish populations and the sustainability of fisheries, as in the case of the Northern prawn. Several indicative fishing opportunities have been reduced. The second noteworthy point is linked to the need for additional data regarding the targeted species and marine ecosystems.</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color w:val="000000"/>
        </w:rPr>
        <w:t>The programming of sectoral support will be adopted in the three months following the application of the Protocol. The sectoral support allocated in recent years has made it possible to support research and scientific assessments, the administration of Greenland’s fisheries, controls and also small-scale coastal fisheries. This is assessed positively in the evaluation of the last Protocol.</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b/>
          <w:color w:val="000000"/>
        </w:rPr>
        <w:t>Findings and recommendations </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color w:val="000000"/>
        </w:rPr>
        <w:t>In the context of current diplomatic tensions with the United States and the climate crisis in the Arctic, your rapporteur recalls the importance of the SFPA and relations between Greenland and the European Union in the area of fisheries. Through its sectoral support, the fisheries agreement offers assistance that is welcomed by the authorities and a number of civil society actors in Greenland. Positive developments include the increase in the financial contribution paid by the European Union, in the amount of sectoral support and in the fees paid by vessel owners.</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color w:val="000000"/>
        </w:rPr>
        <w:t>Your rapporteur invites the European Union to provide increased support to coastal fishing communities, with respect for the rights of the indigenous peoples and the FAO’s Guidelines for Securing Sustainable Small-Scale Fisheries. It is advisable to ensure that these peoples, as well as NGOs, are involved in the agreement. Another positive development is the European Union’s support in areas such as controls, the fight against IUU fishing, the collection of data and scientific research.</w:t>
      </w:r>
    </w:p>
    <w:p w:rsidR="00CA78C5" w:rsidRPr="00335392" w:rsidRDefault="00CA78C5" w:rsidP="00CA78C5">
      <w:pPr>
        <w:spacing w:line="276" w:lineRule="auto"/>
        <w:jc w:val="both"/>
        <w:rPr>
          <w:szCs w:val="24"/>
        </w:rPr>
      </w:pPr>
      <w:r w:rsidRPr="00335392">
        <w:rPr>
          <w:color w:val="000000"/>
        </w:rPr>
        <w:br/>
        <w:t>Your rapporteur underlines the environmental challenges associated with the agreement. As already requested by Parliament in 2021, it is essential to continue efforts in relation to data collection and the fight against overfishing, by following the scientific advice for setting TACs in Greenland and allocating annual fishing opportunities to the European Union. Even though it fishes smaller quantities, the European Union must follow the precautionary principle. The definition of the surplus is controversial in certain cases. The fishing carried out by the European Union’s vessels furthermore has an impact on seabed ecosystems and the emphasis must be on identifying and protecting vulnerable marine ecosystems, with the sector’s help.</w:t>
      </w:r>
    </w:p>
    <w:p w:rsidR="00CA78C5" w:rsidRPr="00335392" w:rsidRDefault="00CA78C5" w:rsidP="00CA78C5">
      <w:pPr>
        <w:spacing w:line="276" w:lineRule="auto"/>
        <w:rPr>
          <w:szCs w:val="24"/>
        </w:rPr>
      </w:pPr>
    </w:p>
    <w:p w:rsidR="00CA78C5" w:rsidRPr="00335392" w:rsidRDefault="00CA78C5" w:rsidP="00CA78C5">
      <w:pPr>
        <w:spacing w:line="276" w:lineRule="auto"/>
        <w:jc w:val="both"/>
        <w:rPr>
          <w:szCs w:val="24"/>
        </w:rPr>
      </w:pPr>
      <w:r w:rsidRPr="00335392">
        <w:rPr>
          <w:color w:val="000000"/>
        </w:rPr>
        <w:t>Finally, your rapporteur asks for this fisheries agreement to be repositioned in the context of regional fisheries governance. Quota exchanges mean that post-Brexit relations with coastal countries, including Norway, are closely linked to the agreement. The European Union and Greenland must strengthen cooperation and transparency within the RFMOs and the agreements between coastal states. More broadly, the European Union must do more to protect species and the marine environment in the Arctic.</w:t>
      </w:r>
    </w:p>
    <w:p w:rsidR="00D32578" w:rsidRPr="00335392" w:rsidRDefault="00D32578" w:rsidP="00D32578">
      <w:pPr>
        <w:pStyle w:val="Normal12a"/>
      </w:pPr>
    </w:p>
    <w:p w:rsidR="002C630D" w:rsidRPr="00335392" w:rsidRDefault="002C630D" w:rsidP="00D32578">
      <w:pPr>
        <w:pStyle w:val="Normal12a"/>
      </w:pPr>
    </w:p>
    <w:p w:rsidR="002C630D" w:rsidRPr="00335392" w:rsidRDefault="002C630D" w:rsidP="00D32578">
      <w:pPr>
        <w:pStyle w:val="Normal12a"/>
      </w:pPr>
    </w:p>
    <w:p w:rsidR="002C630D" w:rsidRPr="00335392" w:rsidRDefault="002C630D" w:rsidP="00D32578">
      <w:pPr>
        <w:pStyle w:val="Normal12a"/>
      </w:pPr>
    </w:p>
    <w:p w:rsidR="002C630D" w:rsidRPr="00335392" w:rsidRDefault="002C630D" w:rsidP="00D32578">
      <w:pPr>
        <w:pStyle w:val="Normal12a"/>
        <w:sectPr w:rsidR="002C630D" w:rsidRPr="00335392" w:rsidSect="002C630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C630D" w:rsidRPr="00335392" w:rsidRDefault="002C630D" w:rsidP="002C630D">
      <w:pPr>
        <w:pStyle w:val="PageHeading"/>
      </w:pPr>
      <w:bookmarkStart w:id="4" w:name="_Toc192172943"/>
      <w:r w:rsidRPr="00335392">
        <w:t>ANNEX: ENTITIES OR PERSONS FROM WHOM THE RAPPORTEUR HAS RECEIVED INPUT</w:t>
      </w:r>
      <w:bookmarkStart w:id="5" w:name="iEnd"/>
      <w:bookmarkEnd w:id="5"/>
      <w:bookmarkEnd w:id="4"/>
    </w:p>
    <w:p w:rsidR="002C630D" w:rsidRPr="00335392" w:rsidRDefault="002C630D" w:rsidP="002C630D">
      <w:pPr>
        <w:pStyle w:val="Normal24a"/>
        <w:spacing w:after="240"/>
      </w:pPr>
      <w:r w:rsidRPr="00335392">
        <w:rPr>
          <w:rStyle w:val="HideTWBExt"/>
        </w:rPr>
        <w:t>&lt;FootprintIntro&gt;</w:t>
      </w:r>
      <w:r w:rsidRPr="00335392">
        <w:t>Pursuant to Article 8 of Annex I to the Rules of Procedure, the rapporteur declares that she received input from the following entities or persons in the preparation of the draft report:</w:t>
      </w:r>
      <w:r w:rsidRPr="0033539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335392" w:rsidRDefault="002C630D">
            <w:pPr>
              <w:pStyle w:val="NormalBoldCenter"/>
            </w:pPr>
            <w:r w:rsidRPr="00335392">
              <w:t>Entity and/or person</w:t>
            </w:r>
          </w:p>
        </w:tc>
      </w:tr>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335392" w:rsidRDefault="002C630D">
            <w:pPr>
              <w:pStyle w:val="NormalSingle"/>
            </w:pPr>
            <w:r w:rsidRPr="00335392">
              <w:t>Delegation of France to the European Union</w:t>
            </w:r>
          </w:p>
        </w:tc>
      </w:tr>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335392" w:rsidRDefault="002C630D">
            <w:pPr>
              <w:pStyle w:val="NormalSingle"/>
            </w:pPr>
            <w:r w:rsidRPr="00335392">
              <w:t>Delegation of Germany to the European Union</w:t>
            </w:r>
          </w:p>
        </w:tc>
      </w:tr>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335392" w:rsidRDefault="002C630D">
            <w:pPr>
              <w:pStyle w:val="NormalSingle"/>
            </w:pPr>
            <w:r w:rsidRPr="00335392">
              <w:t>Delegation of Denmark to the European Union</w:t>
            </w:r>
          </w:p>
        </w:tc>
      </w:tr>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335392" w:rsidRDefault="002C630D">
            <w:pPr>
              <w:pStyle w:val="NormalSingle"/>
            </w:pPr>
            <w:r w:rsidRPr="00335392">
              <w:t>Greenland Ministry of Fisheries</w:t>
            </w:r>
          </w:p>
        </w:tc>
      </w:tr>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335392" w:rsidRDefault="002C630D">
            <w:pPr>
              <w:pStyle w:val="NormalSingle"/>
            </w:pPr>
            <w:r w:rsidRPr="00335392">
              <w:t>Oceana</w:t>
            </w:r>
          </w:p>
        </w:tc>
      </w:tr>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B14867" w:rsidRDefault="00B14867">
            <w:pPr>
              <w:pStyle w:val="NormalSingle"/>
            </w:pPr>
            <w:r w:rsidRPr="00B14867">
              <w:rPr>
                <w:bCs/>
              </w:rPr>
              <w:t>Europêche</w:t>
            </w:r>
          </w:p>
        </w:tc>
      </w:tr>
      <w:tr w:rsidR="002C630D" w:rsidRPr="00335392" w:rsidTr="002C630D">
        <w:tc>
          <w:tcPr>
            <w:tcW w:w="9060" w:type="dxa"/>
            <w:tcBorders>
              <w:top w:val="single" w:sz="4" w:space="0" w:color="auto"/>
              <w:left w:val="single" w:sz="4" w:space="0" w:color="auto"/>
              <w:bottom w:val="single" w:sz="4" w:space="0" w:color="auto"/>
              <w:right w:val="single" w:sz="4" w:space="0" w:color="auto"/>
            </w:tcBorders>
            <w:hideMark/>
          </w:tcPr>
          <w:p w:rsidR="002C630D" w:rsidRPr="00335392" w:rsidRDefault="002C630D">
            <w:pPr>
              <w:pStyle w:val="NormalSingle"/>
            </w:pPr>
            <w:r w:rsidRPr="00335392">
              <w:t>DG MARE (Commission)</w:t>
            </w:r>
          </w:p>
        </w:tc>
      </w:tr>
    </w:tbl>
    <w:p w:rsidR="002C630D" w:rsidRPr="00335392" w:rsidRDefault="002C630D" w:rsidP="002C630D">
      <w:pPr>
        <w:pStyle w:val="Footprint12b"/>
      </w:pPr>
      <w:r w:rsidRPr="00335392">
        <w:t>The list above is drawn up under the exclusive responsibility of the rapporteur.</w:t>
      </w:r>
    </w:p>
    <w:p w:rsidR="002C630D" w:rsidRPr="00335392" w:rsidRDefault="002C630D" w:rsidP="002C630D">
      <w:pPr>
        <w:pStyle w:val="Footprint12b"/>
      </w:pPr>
      <w:r w:rsidRPr="00335392">
        <w:t>Where natural persons are identified in the list by their name, by their function or by both, the rapporteur declares that she has submitted to the natural persons concerned the European Parliament’s Data Protection Notice No 484 (https://www.europarl.europa.eu/data-protect/index.do), which sets out the conditions applicable to the processing of their personal data and the rights linked to that processing.</w:t>
      </w:r>
    </w:p>
    <w:p w:rsidR="002C630D" w:rsidRPr="00335392" w:rsidRDefault="002C630D" w:rsidP="002C630D"/>
    <w:p w:rsidR="002C630D" w:rsidRPr="00335392" w:rsidRDefault="002C630D" w:rsidP="00D32578">
      <w:pPr>
        <w:pStyle w:val="Normal12a"/>
      </w:pPr>
    </w:p>
    <w:p w:rsidR="008544DE" w:rsidRPr="00335392" w:rsidRDefault="008544DE" w:rsidP="008544DE"/>
    <w:sectPr w:rsidR="008544DE" w:rsidRPr="00335392" w:rsidSect="002C630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80B" w:rsidRPr="00335392" w:rsidRDefault="0083580B">
      <w:r w:rsidRPr="00335392">
        <w:separator/>
      </w:r>
    </w:p>
  </w:endnote>
  <w:endnote w:type="continuationSeparator" w:id="0">
    <w:p w:rsidR="0083580B" w:rsidRPr="00335392" w:rsidRDefault="0083580B">
      <w:r w:rsidRPr="003353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392" w:rsidRPr="00B14867" w:rsidRDefault="00335392" w:rsidP="00335392">
    <w:pPr>
      <w:pStyle w:val="EPFooter"/>
      <w:rPr>
        <w:lang w:val="fr-FR"/>
      </w:rPr>
    </w:pPr>
    <w:r w:rsidRPr="00B14867">
      <w:rPr>
        <w:lang w:val="fr-FR"/>
      </w:rPr>
      <w:t>PE</w:t>
    </w:r>
    <w:r w:rsidRPr="00B14867">
      <w:rPr>
        <w:rStyle w:val="HideTWBExt"/>
        <w:lang w:val="fr-FR"/>
      </w:rPr>
      <w:t>&lt;NoPE&gt;</w:t>
    </w:r>
    <w:r w:rsidRPr="00B14867">
      <w:rPr>
        <w:lang w:val="fr-FR"/>
      </w:rPr>
      <w:t>770.034</w:t>
    </w:r>
    <w:r w:rsidRPr="00B14867">
      <w:rPr>
        <w:rStyle w:val="HideTWBExt"/>
        <w:lang w:val="fr-FR"/>
      </w:rPr>
      <w:t>&lt;/NoPE&gt;&lt;Version&gt;</w:t>
    </w:r>
    <w:r w:rsidRPr="00B14867">
      <w:rPr>
        <w:lang w:val="fr-FR"/>
      </w:rPr>
      <w:t>v01-00</w:t>
    </w:r>
    <w:r w:rsidRPr="00B14867">
      <w:rPr>
        <w:rStyle w:val="HideTWBExt"/>
        <w:lang w:val="fr-FR"/>
      </w:rPr>
      <w:t>&lt;/Version&gt;</w:t>
    </w:r>
    <w:r w:rsidRPr="00B14867">
      <w:rPr>
        <w:lang w:val="fr-FR"/>
      </w:rPr>
      <w:tab/>
    </w:r>
    <w:r w:rsidRPr="00335392">
      <w:fldChar w:fldCharType="begin"/>
    </w:r>
    <w:r w:rsidRPr="00B14867">
      <w:rPr>
        <w:lang w:val="fr-FR"/>
      </w:rPr>
      <w:instrText xml:space="preserve"> PAGE  \* MERGEFORMAT </w:instrText>
    </w:r>
    <w:r w:rsidRPr="00335392">
      <w:fldChar w:fldCharType="separate"/>
    </w:r>
    <w:r w:rsidR="00B14867">
      <w:rPr>
        <w:noProof/>
        <w:lang w:val="fr-FR"/>
      </w:rPr>
      <w:t>2</w:t>
    </w:r>
    <w:r w:rsidRPr="00335392">
      <w:fldChar w:fldCharType="end"/>
    </w:r>
    <w:r w:rsidRPr="00B14867">
      <w:rPr>
        <w:lang w:val="fr-FR"/>
      </w:rPr>
      <w:t>/</w:t>
    </w:r>
    <w:r w:rsidR="00B14867">
      <w:fldChar w:fldCharType="begin"/>
    </w:r>
    <w:r w:rsidR="00B14867" w:rsidRPr="00B14867">
      <w:rPr>
        <w:lang w:val="fr-FR"/>
      </w:rPr>
      <w:instrText xml:space="preserve"> NUMPAGES  \* MERGEFORMAT </w:instrText>
    </w:r>
    <w:r w:rsidR="00B14867">
      <w:fldChar w:fldCharType="separate"/>
    </w:r>
    <w:r w:rsidR="00B14867">
      <w:rPr>
        <w:noProof/>
        <w:lang w:val="fr-FR"/>
      </w:rPr>
      <w:t>10</w:t>
    </w:r>
    <w:r w:rsidR="00B14867">
      <w:rPr>
        <w:noProof/>
      </w:rPr>
      <w:fldChar w:fldCharType="end"/>
    </w:r>
    <w:r w:rsidRPr="00B14867">
      <w:rPr>
        <w:lang w:val="fr-FR"/>
      </w:rPr>
      <w:tab/>
    </w:r>
    <w:r w:rsidRPr="00B14867">
      <w:rPr>
        <w:rStyle w:val="HideTWBExt"/>
        <w:lang w:val="fr-FR"/>
      </w:rPr>
      <w:t>&lt;PathFdR&gt;</w:t>
    </w:r>
    <w:r w:rsidRPr="00B14867">
      <w:rPr>
        <w:lang w:val="fr-FR"/>
      </w:rPr>
      <w:t>PR\1315898EN.docx</w:t>
    </w:r>
    <w:r w:rsidRPr="00B14867">
      <w:rPr>
        <w:rStyle w:val="HideTWBExt"/>
        <w:lang w:val="fr-FR"/>
      </w:rPr>
      <w:t>&lt;/PathFdR&gt;</w:t>
    </w:r>
  </w:p>
  <w:p w:rsidR="0085501C" w:rsidRPr="00335392" w:rsidRDefault="00335392" w:rsidP="00335392">
    <w:pPr>
      <w:pStyle w:val="EPFooter2"/>
    </w:pPr>
    <w:r w:rsidRPr="00335392">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392" w:rsidRPr="00335392" w:rsidRDefault="00335392" w:rsidP="00335392">
    <w:pPr>
      <w:pStyle w:val="EPFooter"/>
    </w:pPr>
    <w:r w:rsidRPr="00335392">
      <w:rPr>
        <w:rStyle w:val="HideTWBExt"/>
      </w:rPr>
      <w:t>&lt;PathFdR&gt;</w:t>
    </w:r>
    <w:r w:rsidRPr="00335392">
      <w:t>PR\1315898EN.docx</w:t>
    </w:r>
    <w:r w:rsidRPr="00335392">
      <w:rPr>
        <w:rStyle w:val="HideTWBExt"/>
      </w:rPr>
      <w:t>&lt;/PathFdR&gt;</w:t>
    </w:r>
    <w:r w:rsidRPr="00335392">
      <w:tab/>
    </w:r>
    <w:r w:rsidRPr="00335392">
      <w:fldChar w:fldCharType="begin"/>
    </w:r>
    <w:r w:rsidRPr="00335392">
      <w:instrText xml:space="preserve"> PAGE  \* MERGEFORMAT </w:instrText>
    </w:r>
    <w:r w:rsidRPr="00335392">
      <w:fldChar w:fldCharType="separate"/>
    </w:r>
    <w:r w:rsidR="00B14867">
      <w:rPr>
        <w:noProof/>
      </w:rPr>
      <w:t>9</w:t>
    </w:r>
    <w:r w:rsidRPr="00335392">
      <w:fldChar w:fldCharType="end"/>
    </w:r>
    <w:r w:rsidRPr="00335392">
      <w:t>/</w:t>
    </w:r>
    <w:r w:rsidR="00B14867">
      <w:fldChar w:fldCharType="begin"/>
    </w:r>
    <w:r w:rsidR="00B14867">
      <w:instrText xml:space="preserve"> NUMPAGES  \* MERGEFORMAT </w:instrText>
    </w:r>
    <w:r w:rsidR="00B14867">
      <w:fldChar w:fldCharType="separate"/>
    </w:r>
    <w:r w:rsidR="00B14867">
      <w:rPr>
        <w:noProof/>
      </w:rPr>
      <w:t>9</w:t>
    </w:r>
    <w:r w:rsidR="00B14867">
      <w:rPr>
        <w:noProof/>
      </w:rPr>
      <w:fldChar w:fldCharType="end"/>
    </w:r>
    <w:r w:rsidRPr="00335392">
      <w:tab/>
      <w:t>PE</w:t>
    </w:r>
    <w:r w:rsidRPr="00335392">
      <w:rPr>
        <w:rStyle w:val="HideTWBExt"/>
      </w:rPr>
      <w:t>&lt;NoPE&gt;</w:t>
    </w:r>
    <w:r w:rsidRPr="00335392">
      <w:t>770.034</w:t>
    </w:r>
    <w:r w:rsidRPr="00335392">
      <w:rPr>
        <w:rStyle w:val="HideTWBExt"/>
      </w:rPr>
      <w:t>&lt;/NoPE&gt;&lt;Version&gt;</w:t>
    </w:r>
    <w:r w:rsidRPr="00335392">
      <w:t>v01-00</w:t>
    </w:r>
    <w:r w:rsidRPr="00335392">
      <w:rPr>
        <w:rStyle w:val="HideTWBExt"/>
      </w:rPr>
      <w:t>&lt;/Version&gt;</w:t>
    </w:r>
  </w:p>
  <w:p w:rsidR="0085501C" w:rsidRPr="00335392" w:rsidRDefault="00335392" w:rsidP="00335392">
    <w:pPr>
      <w:pStyle w:val="EPFooter2"/>
    </w:pPr>
    <w:r w:rsidRPr="00335392">
      <w:tab/>
    </w:r>
    <w:r w:rsidRPr="00335392">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392" w:rsidRPr="00335392" w:rsidRDefault="00335392" w:rsidP="00335392">
    <w:pPr>
      <w:pStyle w:val="EPFooter"/>
    </w:pPr>
    <w:r w:rsidRPr="00335392">
      <w:rPr>
        <w:rStyle w:val="HideTWBExt"/>
      </w:rPr>
      <w:t>&lt;PathFdR&gt;</w:t>
    </w:r>
    <w:r w:rsidRPr="00335392">
      <w:t>PR\1315898EN.docx</w:t>
    </w:r>
    <w:r w:rsidRPr="00335392">
      <w:rPr>
        <w:rStyle w:val="HideTWBExt"/>
      </w:rPr>
      <w:t>&lt;/PathFdR&gt;</w:t>
    </w:r>
    <w:r w:rsidRPr="00335392">
      <w:tab/>
    </w:r>
    <w:r w:rsidRPr="00335392">
      <w:tab/>
      <w:t>PE</w:t>
    </w:r>
    <w:r w:rsidRPr="00335392">
      <w:rPr>
        <w:rStyle w:val="HideTWBExt"/>
      </w:rPr>
      <w:t>&lt;NoPE&gt;</w:t>
    </w:r>
    <w:r w:rsidRPr="00335392">
      <w:t>770.034</w:t>
    </w:r>
    <w:r w:rsidRPr="00335392">
      <w:rPr>
        <w:rStyle w:val="HideTWBExt"/>
      </w:rPr>
      <w:t>&lt;/NoPE&gt;&lt;Version&gt;</w:t>
    </w:r>
    <w:r w:rsidRPr="00335392">
      <w:t>v01-00</w:t>
    </w:r>
    <w:r w:rsidRPr="00335392">
      <w:rPr>
        <w:rStyle w:val="HideTWBExt"/>
      </w:rPr>
      <w:t>&lt;/Version&gt;</w:t>
    </w:r>
  </w:p>
  <w:p w:rsidR="0085501C" w:rsidRPr="00335392" w:rsidRDefault="00335392" w:rsidP="00335392">
    <w:pPr>
      <w:pStyle w:val="EPFooter2"/>
    </w:pPr>
    <w:r w:rsidRPr="00335392">
      <w:t>EN</w:t>
    </w:r>
    <w:r w:rsidRPr="00335392">
      <w:tab/>
    </w:r>
    <w:r w:rsidRPr="00335392">
      <w:rPr>
        <w:b w:val="0"/>
        <w:i/>
        <w:color w:val="C0C0C0"/>
        <w:sz w:val="22"/>
      </w:rPr>
      <w:t>United in diversity</w:t>
    </w:r>
    <w:r w:rsidRPr="00335392">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80B" w:rsidRPr="00335392" w:rsidRDefault="0083580B">
      <w:r w:rsidRPr="00335392">
        <w:separator/>
      </w:r>
    </w:p>
  </w:footnote>
  <w:footnote w:type="continuationSeparator" w:id="0">
    <w:p w:rsidR="0083580B" w:rsidRPr="00335392" w:rsidRDefault="0083580B">
      <w:r w:rsidRPr="00335392">
        <w:continuationSeparator/>
      </w:r>
    </w:p>
  </w:footnote>
  <w:footnote w:id="1">
    <w:p w:rsidR="00DF0B73" w:rsidRPr="00335392" w:rsidRDefault="00DF0B73" w:rsidP="00836E37">
      <w:pPr>
        <w:pStyle w:val="FootnoteText"/>
      </w:pPr>
      <w:r w:rsidRPr="00335392">
        <w:rPr>
          <w:rStyle w:val="FootnoteReference"/>
        </w:rPr>
        <w:footnoteRef/>
      </w:r>
      <w:r w:rsidRPr="00335392">
        <w:rPr>
          <w:rStyle w:val="FootnoteReference"/>
        </w:rPr>
        <w:t xml:space="preserve"> </w:t>
      </w:r>
      <w:r w:rsidRPr="00335392">
        <w:t>Texts adopted of that date,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867" w:rsidRDefault="00B14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867" w:rsidRDefault="00B14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867" w:rsidRDefault="00B14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4DD1"/>
    <w:multiLevelType w:val="multilevel"/>
    <w:tmpl w:val="37EEF95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126F15"/>
    <w:multiLevelType w:val="multilevel"/>
    <w:tmpl w:val="B308BB8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971EA7"/>
    <w:multiLevelType w:val="multilevel"/>
    <w:tmpl w:val="42180D6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E40F0F"/>
    <w:multiLevelType w:val="multilevel"/>
    <w:tmpl w:val="C1CC3EC6"/>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C50935"/>
    <w:multiLevelType w:val="multilevel"/>
    <w:tmpl w:val="CB68018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4027338"/>
    <w:multiLevelType w:val="multilevel"/>
    <w:tmpl w:val="FABA524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78F3296"/>
    <w:multiLevelType w:val="multilevel"/>
    <w:tmpl w:val="C3589B98"/>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0315158"/>
    <w:multiLevelType w:val="multilevel"/>
    <w:tmpl w:val="ED36D43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0A54970"/>
    <w:multiLevelType w:val="multilevel"/>
    <w:tmpl w:val="F294CB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4856F9D"/>
    <w:multiLevelType w:val="multilevel"/>
    <w:tmpl w:val="2EFCDCA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B303B9C"/>
    <w:multiLevelType w:val="multilevel"/>
    <w:tmpl w:val="214229F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A460860"/>
    <w:multiLevelType w:val="multilevel"/>
    <w:tmpl w:val="EA126092"/>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AE80917"/>
    <w:multiLevelType w:val="multilevel"/>
    <w:tmpl w:val="D4B6DE9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B334508"/>
    <w:multiLevelType w:val="multilevel"/>
    <w:tmpl w:val="2BB8A6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CB820AD"/>
    <w:multiLevelType w:val="hybridMultilevel"/>
    <w:tmpl w:val="1424F64C"/>
    <w:lvl w:ilvl="0" w:tplc="09E4B30A">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3A5792"/>
    <w:multiLevelType w:val="multilevel"/>
    <w:tmpl w:val="ADA87F9A"/>
    <w:lvl w:ilvl="0">
      <w:start w:val="1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54D5D6F"/>
    <w:multiLevelType w:val="multilevel"/>
    <w:tmpl w:val="4CCA2EC8"/>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4"/>
  </w:num>
  <w:num w:numId="2">
    <w:abstractNumId w:val="8"/>
    <w:lvlOverride w:ilvl="0">
      <w:startOverride w:val="1"/>
      <w:lvl w:ilvl="0">
        <w:start w:val="1"/>
        <w:numFmt w:val="upperLetter"/>
        <w:lvlText w:val="%1."/>
        <w:lvlJc w:val="left"/>
        <w:pPr>
          <w:ind w:left="0" w:firstLine="0"/>
        </w:pPr>
        <w:rPr>
          <w:b w:val="0"/>
          <w:i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13"/>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1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7"/>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abstractNumId w:val="5"/>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16"/>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abstractNumId w:val="2"/>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abstractNumId w:val="6"/>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10"/>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abstractNumId w:val="0"/>
    <w:lvlOverride w:ilvl="0">
      <w:startOverride w:val="12"/>
      <w:lvl w:ilvl="0">
        <w:start w:val="1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abstractNumId w:val="3"/>
    <w:lvlOverride w:ilvl="0">
      <w:startOverride w:val="13"/>
      <w:lvl w:ilvl="0">
        <w:start w:val="1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5">
    <w:abstractNumId w:val="9"/>
    <w:lvlOverride w:ilvl="0">
      <w:startOverride w:val="14"/>
      <w:lvl w:ilvl="0">
        <w:start w:val="1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6">
    <w:abstractNumId w:val="11"/>
    <w:lvlOverride w:ilvl="0">
      <w:startOverride w:val="15"/>
      <w:lvl w:ilvl="0">
        <w:start w:val="1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abstractNumId w:val="15"/>
    <w:lvlOverride w:ilvl="0">
      <w:startOverride w:val="19"/>
      <w:lvl w:ilvl="0">
        <w:start w:val="1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AUTHORMFPMNU" w:val=" 2"/>
    <w:docVar w:name="CIT1MNU" w:val=" 4"/>
    <w:docVar w:name="CIT2MNU" w:val=" 4"/>
    <w:docVar w:name="CIT3MNU" w:val=" 4"/>
    <w:docVar w:name="CODEMNU" w:val=" 3"/>
    <w:docVar w:name="COMKEY" w:val="PECH"/>
    <w:docVar w:name="LastEditedSection" w:val=" 1"/>
    <w:docVar w:name="strDocTypeID" w:val="PR_Consent_Motion"/>
    <w:docVar w:name="strSubDir" w:val="1315"/>
    <w:docVar w:name="TITLENLE2MNU" w:val=" 2"/>
    <w:docVar w:name="TXTAUTHOR" w:val="Emma Fourreau"/>
    <w:docVar w:name="TXTLANGUE" w:val="EN"/>
    <w:docVar w:name="TXTLANGUEMIN" w:val="en"/>
    <w:docVar w:name="TXTNRC" w:val="0227/2024"/>
    <w:docVar w:name="TXTNRCOUNC" w:val="14652/2024"/>
    <w:docVar w:name="TXTNRPE" w:val="770.034"/>
    <w:docVar w:name="TXTNRPROC" w:val="2024/0263"/>
    <w:docVar w:name="TXTPEorAP" w:val="PE"/>
    <w:docVar w:name="TXTROUTE" w:val="PR\1315898EN.docx"/>
    <w:docVar w:name="TXTTITLE" w:val="Protocole de mise en œuvre (2025-2030) de l'accord de partenariat dans le secteur de la pêche durable entre l'Union européenne, d'une part, et le gouvernement du Groenland et le gouvernement du Danemark, d'autre part"/>
    <w:docVar w:name="TXTVERSION" w:val="01-00"/>
  </w:docVars>
  <w:rsids>
    <w:rsidRoot w:val="0083580B"/>
    <w:rsid w:val="00002BD1"/>
    <w:rsid w:val="0000361A"/>
    <w:rsid w:val="0000443F"/>
    <w:rsid w:val="000128A4"/>
    <w:rsid w:val="00044034"/>
    <w:rsid w:val="00061759"/>
    <w:rsid w:val="0006484E"/>
    <w:rsid w:val="000C123D"/>
    <w:rsid w:val="00146B4A"/>
    <w:rsid w:val="00172C59"/>
    <w:rsid w:val="00180664"/>
    <w:rsid w:val="0019436E"/>
    <w:rsid w:val="00197326"/>
    <w:rsid w:val="001B1C23"/>
    <w:rsid w:val="001C0296"/>
    <w:rsid w:val="001C5935"/>
    <w:rsid w:val="001D02E3"/>
    <w:rsid w:val="001E1AE2"/>
    <w:rsid w:val="00222B7B"/>
    <w:rsid w:val="002C4A0D"/>
    <w:rsid w:val="002C630D"/>
    <w:rsid w:val="002E2E20"/>
    <w:rsid w:val="002F2C1E"/>
    <w:rsid w:val="003072BE"/>
    <w:rsid w:val="00310CF7"/>
    <w:rsid w:val="0033134C"/>
    <w:rsid w:val="00335392"/>
    <w:rsid w:val="00345230"/>
    <w:rsid w:val="00363B94"/>
    <w:rsid w:val="00373472"/>
    <w:rsid w:val="003765E5"/>
    <w:rsid w:val="0038004C"/>
    <w:rsid w:val="00384848"/>
    <w:rsid w:val="003D540D"/>
    <w:rsid w:val="003F750F"/>
    <w:rsid w:val="004174FC"/>
    <w:rsid w:val="004373F0"/>
    <w:rsid w:val="00460749"/>
    <w:rsid w:val="00460BD6"/>
    <w:rsid w:val="004859B3"/>
    <w:rsid w:val="004974AF"/>
    <w:rsid w:val="004E1650"/>
    <w:rsid w:val="004F29E7"/>
    <w:rsid w:val="00533FCC"/>
    <w:rsid w:val="00592084"/>
    <w:rsid w:val="005D0B97"/>
    <w:rsid w:val="005D38C2"/>
    <w:rsid w:val="005D50F9"/>
    <w:rsid w:val="005F5D6C"/>
    <w:rsid w:val="006132CE"/>
    <w:rsid w:val="0063027E"/>
    <w:rsid w:val="00666488"/>
    <w:rsid w:val="006775BC"/>
    <w:rsid w:val="00694C12"/>
    <w:rsid w:val="00695DD1"/>
    <w:rsid w:val="006A2CF5"/>
    <w:rsid w:val="006D1130"/>
    <w:rsid w:val="006D3839"/>
    <w:rsid w:val="00715DF3"/>
    <w:rsid w:val="007370DF"/>
    <w:rsid w:val="0075702D"/>
    <w:rsid w:val="00791FE8"/>
    <w:rsid w:val="007D41AE"/>
    <w:rsid w:val="007F24BE"/>
    <w:rsid w:val="0080122F"/>
    <w:rsid w:val="00802F8B"/>
    <w:rsid w:val="0083580B"/>
    <w:rsid w:val="008368CB"/>
    <w:rsid w:val="00836E37"/>
    <w:rsid w:val="00841C58"/>
    <w:rsid w:val="008544DE"/>
    <w:rsid w:val="0085501C"/>
    <w:rsid w:val="00871A15"/>
    <w:rsid w:val="008774AF"/>
    <w:rsid w:val="008865DD"/>
    <w:rsid w:val="00892627"/>
    <w:rsid w:val="008947E9"/>
    <w:rsid w:val="008A4452"/>
    <w:rsid w:val="008C2BFA"/>
    <w:rsid w:val="008C39BE"/>
    <w:rsid w:val="008D3030"/>
    <w:rsid w:val="008E5314"/>
    <w:rsid w:val="008E596D"/>
    <w:rsid w:val="008E6594"/>
    <w:rsid w:val="009040B7"/>
    <w:rsid w:val="00924EE0"/>
    <w:rsid w:val="00925477"/>
    <w:rsid w:val="00937BA9"/>
    <w:rsid w:val="009612AA"/>
    <w:rsid w:val="00973BE2"/>
    <w:rsid w:val="009B3B05"/>
    <w:rsid w:val="009B6F40"/>
    <w:rsid w:val="00A07A05"/>
    <w:rsid w:val="00A26973"/>
    <w:rsid w:val="00A26BC7"/>
    <w:rsid w:val="00A50CA9"/>
    <w:rsid w:val="00A916D9"/>
    <w:rsid w:val="00AB39B7"/>
    <w:rsid w:val="00AC41F1"/>
    <w:rsid w:val="00AE30DB"/>
    <w:rsid w:val="00B02840"/>
    <w:rsid w:val="00B05315"/>
    <w:rsid w:val="00B14867"/>
    <w:rsid w:val="00B31D18"/>
    <w:rsid w:val="00B37BF5"/>
    <w:rsid w:val="00B42885"/>
    <w:rsid w:val="00B50C20"/>
    <w:rsid w:val="00B978B4"/>
    <w:rsid w:val="00BB41C8"/>
    <w:rsid w:val="00BC75B9"/>
    <w:rsid w:val="00BE5E72"/>
    <w:rsid w:val="00BF0A0F"/>
    <w:rsid w:val="00BF2E15"/>
    <w:rsid w:val="00BF7F55"/>
    <w:rsid w:val="00C15447"/>
    <w:rsid w:val="00C328C8"/>
    <w:rsid w:val="00C4269E"/>
    <w:rsid w:val="00C556EA"/>
    <w:rsid w:val="00CA78C5"/>
    <w:rsid w:val="00CF44DF"/>
    <w:rsid w:val="00D04E0B"/>
    <w:rsid w:val="00D32578"/>
    <w:rsid w:val="00D62DA0"/>
    <w:rsid w:val="00DC3166"/>
    <w:rsid w:val="00DF0B73"/>
    <w:rsid w:val="00E04F48"/>
    <w:rsid w:val="00E15DB5"/>
    <w:rsid w:val="00E20F34"/>
    <w:rsid w:val="00E20F92"/>
    <w:rsid w:val="00E71368"/>
    <w:rsid w:val="00E74D7F"/>
    <w:rsid w:val="00E9187B"/>
    <w:rsid w:val="00E93816"/>
    <w:rsid w:val="00EA1E6D"/>
    <w:rsid w:val="00EA57BF"/>
    <w:rsid w:val="00EF48F2"/>
    <w:rsid w:val="00F215DE"/>
    <w:rsid w:val="00F731BD"/>
    <w:rsid w:val="00F90C4A"/>
    <w:rsid w:val="00F96418"/>
    <w:rsid w:val="00FE385D"/>
    <w:rsid w:val="00FE73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CED4D"/>
  <w15:chartTrackingRefBased/>
  <w15:docId w15:val="{7B471F0E-D79D-484D-8CB1-D8752AA9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rsid w:val="002C4A0D"/>
    <w:rPr>
      <w:sz w:val="20"/>
    </w:rPr>
  </w:style>
  <w:style w:type="character" w:customStyle="1" w:styleId="FootnoteTextChar">
    <w:name w:val="Footnote Text Char"/>
    <w:basedOn w:val="DefaultParagraphFont"/>
    <w:link w:val="FootnoteText"/>
    <w:rsid w:val="002C4A0D"/>
    <w:rPr>
      <w:lang w:val="en-GB"/>
    </w:rPr>
  </w:style>
  <w:style w:type="character" w:styleId="FootnoteReference">
    <w:name w:val="footnote reference"/>
    <w:basedOn w:val="DefaultParagraphFont"/>
    <w:rsid w:val="002C4A0D"/>
    <w:rPr>
      <w:vertAlign w:val="superscript"/>
    </w:rPr>
  </w:style>
  <w:style w:type="paragraph" w:styleId="ListParagraph">
    <w:name w:val="List Paragraph"/>
    <w:basedOn w:val="Normal"/>
    <w:uiPriority w:val="34"/>
    <w:qFormat/>
    <w:rsid w:val="00DF0B73"/>
    <w:pPr>
      <w:ind w:left="720"/>
      <w:contextualSpacing/>
    </w:pPr>
  </w:style>
  <w:style w:type="character" w:styleId="Hyperlink">
    <w:name w:val="Hyperlink"/>
    <w:basedOn w:val="DefaultParagraphFont"/>
    <w:unhideWhenUsed/>
    <w:rsid w:val="002C630D"/>
    <w:rPr>
      <w:color w:val="0563C1" w:themeColor="hyperlink"/>
      <w:u w:val="single"/>
    </w:rPr>
  </w:style>
  <w:style w:type="paragraph" w:customStyle="1" w:styleId="Normal24a">
    <w:name w:val="Normal24a"/>
    <w:basedOn w:val="Normal"/>
    <w:rsid w:val="002C630D"/>
    <w:pPr>
      <w:spacing w:after="480"/>
    </w:pPr>
  </w:style>
  <w:style w:type="paragraph" w:customStyle="1" w:styleId="NormalBoldCenter">
    <w:name w:val="NormalBoldCenter"/>
    <w:basedOn w:val="Normal"/>
    <w:rsid w:val="002C630D"/>
    <w:pPr>
      <w:jc w:val="center"/>
    </w:pPr>
    <w:rPr>
      <w:b/>
    </w:rPr>
  </w:style>
  <w:style w:type="paragraph" w:customStyle="1" w:styleId="Footprint12b">
    <w:name w:val="Footprint12b"/>
    <w:basedOn w:val="Normal"/>
    <w:rsid w:val="002C630D"/>
    <w:pPr>
      <w:spacing w:before="240"/>
    </w:pPr>
    <w:rPr>
      <w:szCs w:val="24"/>
    </w:rPr>
  </w:style>
  <w:style w:type="paragraph" w:customStyle="1" w:styleId="NormalSingle">
    <w:name w:val="NormalSingle"/>
    <w:basedOn w:val="Normal"/>
    <w:qFormat/>
    <w:rsid w:val="002C630D"/>
    <w:rPr>
      <w:szCs w:val="24"/>
    </w:rPr>
  </w:style>
  <w:style w:type="paragraph" w:styleId="Footer">
    <w:name w:val="footer"/>
    <w:basedOn w:val="Normal"/>
    <w:link w:val="FooterChar"/>
    <w:semiHidden/>
    <w:rsid w:val="00C328C8"/>
    <w:pPr>
      <w:tabs>
        <w:tab w:val="center" w:pos="4513"/>
        <w:tab w:val="right" w:pos="9026"/>
      </w:tabs>
    </w:pPr>
  </w:style>
  <w:style w:type="character" w:customStyle="1" w:styleId="FooterChar">
    <w:name w:val="Footer Char"/>
    <w:basedOn w:val="DefaultParagraphFont"/>
    <w:link w:val="Footer"/>
    <w:semiHidden/>
    <w:rsid w:val="00C328C8"/>
    <w:rPr>
      <w:sz w:val="24"/>
      <w:lang w:val="en-GB"/>
    </w:rPr>
  </w:style>
  <w:style w:type="paragraph" w:styleId="BalloonText">
    <w:name w:val="Balloon Text"/>
    <w:basedOn w:val="Normal"/>
    <w:link w:val="BalloonTextChar"/>
    <w:semiHidden/>
    <w:unhideWhenUsed/>
    <w:rsid w:val="00AE30DB"/>
    <w:rPr>
      <w:rFonts w:ascii="Segoe UI" w:hAnsi="Segoe UI" w:cs="Segoe UI"/>
      <w:sz w:val="18"/>
      <w:szCs w:val="18"/>
    </w:rPr>
  </w:style>
  <w:style w:type="character" w:customStyle="1" w:styleId="BalloonTextChar">
    <w:name w:val="Balloon Text Char"/>
    <w:basedOn w:val="DefaultParagraphFont"/>
    <w:link w:val="BalloonText"/>
    <w:semiHidden/>
    <w:rsid w:val="00AE30DB"/>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02546">
      <w:bodyDiv w:val="1"/>
      <w:marLeft w:val="0"/>
      <w:marRight w:val="0"/>
      <w:marTop w:val="0"/>
      <w:marBottom w:val="0"/>
      <w:divBdr>
        <w:top w:val="none" w:sz="0" w:space="0" w:color="auto"/>
        <w:left w:val="none" w:sz="0" w:space="0" w:color="auto"/>
        <w:bottom w:val="none" w:sz="0" w:space="0" w:color="auto"/>
        <w:right w:val="none" w:sz="0" w:space="0" w:color="auto"/>
      </w:divBdr>
    </w:div>
    <w:div w:id="362288434">
      <w:bodyDiv w:val="1"/>
      <w:marLeft w:val="0"/>
      <w:marRight w:val="0"/>
      <w:marTop w:val="0"/>
      <w:marBottom w:val="0"/>
      <w:divBdr>
        <w:top w:val="none" w:sz="0" w:space="0" w:color="auto"/>
        <w:left w:val="none" w:sz="0" w:space="0" w:color="auto"/>
        <w:bottom w:val="none" w:sz="0" w:space="0" w:color="auto"/>
        <w:right w:val="none" w:sz="0" w:space="0" w:color="auto"/>
      </w:divBdr>
    </w:div>
    <w:div w:id="377558684">
      <w:bodyDiv w:val="1"/>
      <w:marLeft w:val="0"/>
      <w:marRight w:val="0"/>
      <w:marTop w:val="0"/>
      <w:marBottom w:val="0"/>
      <w:divBdr>
        <w:top w:val="none" w:sz="0" w:space="0" w:color="auto"/>
        <w:left w:val="none" w:sz="0" w:space="0" w:color="auto"/>
        <w:bottom w:val="none" w:sz="0" w:space="0" w:color="auto"/>
        <w:right w:val="none" w:sz="0" w:space="0" w:color="auto"/>
      </w:divBdr>
    </w:div>
    <w:div w:id="1499227756">
      <w:bodyDiv w:val="1"/>
      <w:marLeft w:val="0"/>
      <w:marRight w:val="0"/>
      <w:marTop w:val="0"/>
      <w:marBottom w:val="0"/>
      <w:divBdr>
        <w:top w:val="none" w:sz="0" w:space="0" w:color="auto"/>
        <w:left w:val="none" w:sz="0" w:space="0" w:color="auto"/>
        <w:bottom w:val="none" w:sz="0" w:space="0" w:color="auto"/>
        <w:right w:val="none" w:sz="0" w:space="0" w:color="auto"/>
      </w:divBdr>
    </w:div>
    <w:div w:id="1776516716">
      <w:bodyDiv w:val="1"/>
      <w:marLeft w:val="0"/>
      <w:marRight w:val="0"/>
      <w:marTop w:val="0"/>
      <w:marBottom w:val="0"/>
      <w:divBdr>
        <w:top w:val="none" w:sz="0" w:space="0" w:color="auto"/>
        <w:left w:val="none" w:sz="0" w:space="0" w:color="auto"/>
        <w:bottom w:val="none" w:sz="0" w:space="0" w:color="auto"/>
        <w:right w:val="none" w:sz="0" w:space="0" w:color="auto"/>
      </w:divBdr>
    </w:div>
    <w:div w:id="1787894331">
      <w:bodyDiv w:val="1"/>
      <w:marLeft w:val="0"/>
      <w:marRight w:val="0"/>
      <w:marTop w:val="0"/>
      <w:marBottom w:val="0"/>
      <w:divBdr>
        <w:top w:val="none" w:sz="0" w:space="0" w:color="auto"/>
        <w:left w:val="none" w:sz="0" w:space="0" w:color="auto"/>
        <w:bottom w:val="none" w:sz="0" w:space="0" w:color="auto"/>
        <w:right w:val="none" w:sz="0" w:space="0" w:color="auto"/>
      </w:divBdr>
    </w:div>
    <w:div w:id="2093892452">
      <w:bodyDiv w:val="1"/>
      <w:marLeft w:val="0"/>
      <w:marRight w:val="0"/>
      <w:marTop w:val="0"/>
      <w:marBottom w:val="0"/>
      <w:divBdr>
        <w:top w:val="none" w:sz="0" w:space="0" w:color="auto"/>
        <w:left w:val="none" w:sz="0" w:space="0" w:color="auto"/>
        <w:bottom w:val="none" w:sz="0" w:space="0" w:color="auto"/>
        <w:right w:val="none" w:sz="0" w:space="0" w:color="auto"/>
      </w:divBdr>
    </w:div>
    <w:div w:id="212600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39BFA-F22F-4394-A1AF-1B6D21111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2831</Words>
  <Characters>15971</Characters>
  <Application>Microsoft Office Word</Application>
  <DocSecurity>0</DocSecurity>
  <Lines>295</Lines>
  <Paragraphs>119</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18683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MEJIA Teresa</dc:creator>
  <cp:keywords/>
  <cp:lastModifiedBy>DAVIES Gregory</cp:lastModifiedBy>
  <cp:revision>2</cp:revision>
  <cp:lastPrinted>2025-02-26T07:57:00Z</cp:lastPrinted>
  <dcterms:created xsi:type="dcterms:W3CDTF">2025-03-06T16:02:00Z</dcterms:created>
  <dcterms:modified xsi:type="dcterms:W3CDTF">2025-03-06T16:02:00Z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1315898</vt:lpwstr>
  </property>
  <property fmtid="{D5CDD505-2E9C-101B-9397-08002B2CF9AE}" pid="6" name="&lt;Type&gt;">
    <vt:lpwstr>PR</vt:lpwstr>
  </property>
  <property fmtid="{D5CDD505-2E9C-101B-9397-08002B2CF9AE}" pid="7" name="&lt;ModelCod&gt;">
    <vt:lpwstr>\\eiciBRUpr1\pdocep$\DocEP\DOCS\General\PR\PR_NonLeg\Other\PR_Consent_Motion.dotx(12/08/2024 16:16:00)</vt:lpwstr>
  </property>
  <property fmtid="{D5CDD505-2E9C-101B-9397-08002B2CF9AE}" pid="8" name="&lt;ModelTra&gt;">
    <vt:lpwstr>\\eiciBRUpr1\pdocep$\DocEP\TRANSFIL\FR\PR_Consent_Motion.FR(21/10/2024 06:35:06)</vt:lpwstr>
  </property>
  <property fmtid="{D5CDD505-2E9C-101B-9397-08002B2CF9AE}" pid="9" name="&lt;Model&gt;">
    <vt:lpwstr>PR_Consent_Motion</vt:lpwstr>
  </property>
  <property fmtid="{D5CDD505-2E9C-101B-9397-08002B2CF9AE}" pid="10" name="FooterPath">
    <vt:lpwstr>PR\1315898EN.docx</vt:lpwstr>
  </property>
  <property fmtid="{D5CDD505-2E9C-101B-9397-08002B2CF9AE}" pid="11" name="PE number">
    <vt:lpwstr>770.034</vt:lpwstr>
  </property>
  <property fmtid="{D5CDD505-2E9C-101B-9397-08002B2CF9AE}" pid="12" name="SendToEpades">
    <vt:lpwstr>OK - 2025/02/24 12:56</vt:lpwstr>
  </property>
  <property fmtid="{D5CDD505-2E9C-101B-9397-08002B2CF9AE}" pid="13" name="Bookout">
    <vt:lpwstr>OK - 2025/03/06 17:02</vt:lpwstr>
  </property>
  <property fmtid="{D5CDD505-2E9C-101B-9397-08002B2CF9AE}" pid="14" name="SDLStudio">
    <vt:lpwstr/>
  </property>
</Properties>
</file>