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C791C" w:rsidRPr="00971587" w14:paraId="53891533" w14:textId="77777777" w:rsidTr="00C85D0F">
        <w:trPr>
          <w:trHeight w:hRule="exact" w:val="1418"/>
        </w:trPr>
        <w:tc>
          <w:tcPr>
            <w:tcW w:w="6804" w:type="dxa"/>
            <w:shd w:val="clear" w:color="auto" w:fill="auto"/>
            <w:vAlign w:val="center"/>
          </w:tcPr>
          <w:p w14:paraId="43222DCE" w14:textId="77777777" w:rsidR="00C93A60" w:rsidRPr="00971587" w:rsidRDefault="00D6744C" w:rsidP="00C85D0F">
            <w:pPr>
              <w:pStyle w:val="EPName"/>
            </w:pPr>
            <w:r w:rsidRPr="00971587">
              <w:t>Ευρωπαϊκό Κοινοβούλιο</w:t>
            </w:r>
          </w:p>
          <w:p w14:paraId="114421CA" w14:textId="77777777" w:rsidR="00C93A60" w:rsidRPr="00971587" w:rsidRDefault="00D6744C" w:rsidP="00C85D0F">
            <w:pPr>
              <w:pStyle w:val="EPTerm"/>
            </w:pPr>
            <w:r w:rsidRPr="00971587">
              <w:t>2024-2029</w:t>
            </w:r>
          </w:p>
        </w:tc>
        <w:tc>
          <w:tcPr>
            <w:tcW w:w="2268" w:type="dxa"/>
            <w:shd w:val="clear" w:color="auto" w:fill="auto"/>
          </w:tcPr>
          <w:p w14:paraId="7DD0EFB6" w14:textId="77777777" w:rsidR="00C93A60" w:rsidRPr="00971587" w:rsidRDefault="00D6744C" w:rsidP="00C85D0F">
            <w:pPr>
              <w:pStyle w:val="EPLogo"/>
            </w:pPr>
            <w:r w:rsidRPr="00971587">
              <w:rPr>
                <w:noProof/>
              </w:rPr>
              <w:drawing>
                <wp:inline distT="0" distB="0" distL="0" distR="0" wp14:anchorId="73B0F56E" wp14:editId="66C460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CFF1793" w14:textId="77777777" w:rsidR="00E3537C" w:rsidRPr="00971587" w:rsidRDefault="00E3537C" w:rsidP="00E3537C">
      <w:pPr>
        <w:pStyle w:val="LineTop"/>
      </w:pPr>
    </w:p>
    <w:p w14:paraId="71383844" w14:textId="77777777" w:rsidR="00E3537C" w:rsidRPr="00971587" w:rsidRDefault="00D6744C" w:rsidP="00E3537C">
      <w:pPr>
        <w:pStyle w:val="EPBody"/>
      </w:pPr>
      <w:r w:rsidRPr="00971587">
        <w:rPr>
          <w:rStyle w:val="HideTWBExt"/>
          <w:i w:val="0"/>
        </w:rPr>
        <w:t>&lt;Commission&gt;</w:t>
      </w:r>
      <w:r w:rsidRPr="00971587">
        <w:rPr>
          <w:rStyle w:val="HideTWBInt"/>
          <w:color w:val="auto"/>
        </w:rPr>
        <w:t>{PECH}</w:t>
      </w:r>
      <w:r w:rsidRPr="00971587">
        <w:t>Επιτροπή Αλιείας</w:t>
      </w:r>
      <w:r w:rsidRPr="00971587">
        <w:rPr>
          <w:rStyle w:val="HideTWBExt"/>
          <w:i w:val="0"/>
        </w:rPr>
        <w:t>&lt;/Commission&gt;</w:t>
      </w:r>
    </w:p>
    <w:p w14:paraId="14D38F0D" w14:textId="77777777" w:rsidR="00E3537C" w:rsidRPr="00971587" w:rsidRDefault="00E3537C" w:rsidP="00E3537C">
      <w:pPr>
        <w:pStyle w:val="LineBottom"/>
      </w:pPr>
    </w:p>
    <w:p w14:paraId="1323B36D" w14:textId="77777777" w:rsidR="00100069" w:rsidRPr="00971587" w:rsidRDefault="00D6744C">
      <w:pPr>
        <w:pStyle w:val="CoverReference"/>
      </w:pPr>
      <w:r w:rsidRPr="00971587">
        <w:rPr>
          <w:rStyle w:val="HideTWBExt"/>
          <w:b w:val="0"/>
        </w:rPr>
        <w:t>&lt;RefProc&gt;</w:t>
      </w:r>
      <w:r w:rsidRPr="00971587">
        <w:t>2024/2127</w:t>
      </w:r>
      <w:r w:rsidRPr="00971587">
        <w:rPr>
          <w:rStyle w:val="HideTWBExt"/>
          <w:b w:val="0"/>
        </w:rPr>
        <w:t>&lt;/RefProc&gt;&lt;RefTypeProc&gt;</w:t>
      </w:r>
      <w:r w:rsidRPr="00971587">
        <w:t>(INI)</w:t>
      </w:r>
      <w:r w:rsidRPr="00971587">
        <w:rPr>
          <w:rStyle w:val="HideTWBExt"/>
          <w:b w:val="0"/>
        </w:rPr>
        <w:t>&lt;/RefTypeProc&gt;</w:t>
      </w:r>
    </w:p>
    <w:p w14:paraId="5BA71DEF" w14:textId="77777777" w:rsidR="00100069" w:rsidRPr="00971587" w:rsidRDefault="00D6744C">
      <w:pPr>
        <w:pStyle w:val="CoverDate"/>
      </w:pPr>
      <w:r w:rsidRPr="00971587">
        <w:rPr>
          <w:rStyle w:val="HideTWBExt"/>
        </w:rPr>
        <w:t>&lt;Date&gt;</w:t>
      </w:r>
      <w:r w:rsidRPr="00971587">
        <w:rPr>
          <w:rStyle w:val="HideTWBInt"/>
          <w:color w:val="auto"/>
        </w:rPr>
        <w:t>{17/10/2025}</w:t>
      </w:r>
      <w:r w:rsidRPr="00971587">
        <w:t>17.10.2025</w:t>
      </w:r>
      <w:r w:rsidRPr="00971587">
        <w:rPr>
          <w:rStyle w:val="HideTWBExt"/>
        </w:rPr>
        <w:t>&lt;/Date&gt;</w:t>
      </w:r>
    </w:p>
    <w:p w14:paraId="353442A6" w14:textId="77777777" w:rsidR="00100069" w:rsidRPr="00971587" w:rsidRDefault="00D6744C">
      <w:pPr>
        <w:pStyle w:val="CoverDocType24a"/>
      </w:pPr>
      <w:r w:rsidRPr="00971587">
        <w:rPr>
          <w:rStyle w:val="HideTWBExt"/>
          <w:b w:val="0"/>
        </w:rPr>
        <w:t>&lt;TitreType&gt;</w:t>
      </w:r>
      <w:r w:rsidRPr="00971587">
        <w:t>ΣΧΕΔΙΟ ΕΚΘΕΣΗΣ</w:t>
      </w:r>
      <w:r w:rsidRPr="00971587">
        <w:rPr>
          <w:rStyle w:val="HideTWBExt"/>
          <w:b w:val="0"/>
        </w:rPr>
        <w:t>&lt;/TitreType&gt;</w:t>
      </w:r>
    </w:p>
    <w:p w14:paraId="30EDB891" w14:textId="77777777" w:rsidR="00100069" w:rsidRPr="00971587" w:rsidRDefault="00D6744C">
      <w:pPr>
        <w:pStyle w:val="CoverNormal"/>
      </w:pPr>
      <w:r w:rsidRPr="00971587">
        <w:rPr>
          <w:rStyle w:val="HideTWBExt"/>
        </w:rPr>
        <w:t>&lt;Titre&gt;</w:t>
      </w:r>
      <w:r w:rsidRPr="00971587">
        <w:t xml:space="preserve">σχετικά με το </w:t>
      </w:r>
      <w:r w:rsidRPr="00971587">
        <w:t>πολυετές σχέδιο για τη Βαλτική Θάλασσα και τη μελλοντική πορεία</w:t>
      </w:r>
      <w:r w:rsidRPr="00971587">
        <w:rPr>
          <w:rStyle w:val="HideTWBExt"/>
        </w:rPr>
        <w:t>&lt;/Titre&gt;</w:t>
      </w:r>
    </w:p>
    <w:p w14:paraId="2ACE597C" w14:textId="77777777" w:rsidR="00100069" w:rsidRPr="00971587" w:rsidRDefault="00D6744C">
      <w:pPr>
        <w:pStyle w:val="CoverNormal24a"/>
      </w:pPr>
      <w:r w:rsidRPr="00971587">
        <w:rPr>
          <w:rStyle w:val="HideTWBExt"/>
        </w:rPr>
        <w:t>&lt;DocRef&gt;</w:t>
      </w:r>
      <w:r w:rsidRPr="00971587">
        <w:t>(2024/2127(INI))</w:t>
      </w:r>
      <w:r w:rsidRPr="00971587">
        <w:rPr>
          <w:rStyle w:val="HideTWBExt"/>
        </w:rPr>
        <w:t>&lt;/DocRef&gt;</w:t>
      </w:r>
    </w:p>
    <w:p w14:paraId="494BB679" w14:textId="77777777" w:rsidR="00100069" w:rsidRPr="00971587" w:rsidRDefault="00D6744C">
      <w:pPr>
        <w:pStyle w:val="CoverNormal24a"/>
      </w:pPr>
      <w:r w:rsidRPr="00971587">
        <w:rPr>
          <w:rStyle w:val="HideTWBExt"/>
        </w:rPr>
        <w:t>&lt;Commission&gt;</w:t>
      </w:r>
      <w:r w:rsidRPr="00971587">
        <w:rPr>
          <w:rStyle w:val="HideTWBInt"/>
          <w:color w:val="auto"/>
        </w:rPr>
        <w:t>{PECH}</w:t>
      </w:r>
      <w:r w:rsidRPr="00971587">
        <w:t>Επιτροπή Αλιείας</w:t>
      </w:r>
      <w:r w:rsidRPr="00971587">
        <w:rPr>
          <w:rStyle w:val="HideTWBExt"/>
        </w:rPr>
        <w:t>&lt;/Commission&gt;</w:t>
      </w:r>
    </w:p>
    <w:p w14:paraId="78A42448" w14:textId="77777777" w:rsidR="00100069" w:rsidRPr="00971587" w:rsidRDefault="00D6744C">
      <w:pPr>
        <w:pStyle w:val="CoverNormal24a"/>
      </w:pPr>
      <w:r w:rsidRPr="00971587">
        <w:t xml:space="preserve">Εισηγήτρια: </w:t>
      </w:r>
      <w:r w:rsidRPr="00971587">
        <w:rPr>
          <w:rStyle w:val="HideTWBExt"/>
        </w:rPr>
        <w:t>&lt;Depute&gt;</w:t>
      </w:r>
      <w:r w:rsidRPr="00971587">
        <w:t>Isabella Lövin</w:t>
      </w:r>
      <w:r w:rsidRPr="00971587">
        <w:rPr>
          <w:rStyle w:val="HideTWBExt"/>
        </w:rPr>
        <w:t>&lt;/Depute&gt;</w:t>
      </w:r>
    </w:p>
    <w:p w14:paraId="4C10E6AD" w14:textId="77777777" w:rsidR="00100069" w:rsidRPr="00971587" w:rsidRDefault="00D6744C" w:rsidP="002544DF">
      <w:pPr>
        <w:widowControl/>
        <w:tabs>
          <w:tab w:val="center" w:pos="4677"/>
        </w:tabs>
      </w:pPr>
      <w:r w:rsidRPr="00971587">
        <w:br w:type="page"/>
      </w:r>
      <w:r w:rsidRPr="00971587">
        <w:lastRenderedPageBreak/>
        <w:t>PR_INI</w:t>
      </w:r>
    </w:p>
    <w:p w14:paraId="3F6E52E4" w14:textId="77777777" w:rsidR="00100069" w:rsidRPr="00971587" w:rsidRDefault="00D6744C">
      <w:pPr>
        <w:pStyle w:val="TOCHeading"/>
      </w:pPr>
      <w:r w:rsidRPr="00971587">
        <w:t>ΠΕΡΙΕΧΟΜΕNA</w:t>
      </w:r>
    </w:p>
    <w:p w14:paraId="066EB8B8" w14:textId="77777777" w:rsidR="00100069" w:rsidRPr="00971587" w:rsidRDefault="00D6744C">
      <w:pPr>
        <w:pStyle w:val="TOCPage"/>
      </w:pPr>
      <w:r w:rsidRPr="00971587">
        <w:t>Σελίδα</w:t>
      </w:r>
    </w:p>
    <w:p w14:paraId="739DF56E" w14:textId="5A8A0F39" w:rsidR="00D6744C" w:rsidRDefault="00D6744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71587">
        <w:rPr>
          <w:b/>
        </w:rPr>
        <w:fldChar w:fldCharType="begin"/>
      </w:r>
      <w:r w:rsidRPr="00971587">
        <w:rPr>
          <w:b/>
        </w:rPr>
        <w:instrText xml:space="preserve"> TOC \t "PageHeading</w:instrText>
      </w:r>
      <w:r w:rsidRPr="00971587">
        <w:rPr>
          <w:b/>
        </w:rPr>
        <w:instrText>;</w:instrText>
      </w:r>
      <w:r w:rsidRPr="00971587">
        <w:rPr>
          <w:b/>
        </w:rPr>
        <w:instrText xml:space="preserve">1" </w:instrText>
      </w:r>
      <w:r w:rsidRPr="00971587">
        <w:rPr>
          <w:b/>
        </w:rPr>
        <w:fldChar w:fldCharType="separate"/>
      </w:r>
      <w:r>
        <w:rPr>
          <w:noProof/>
        </w:rPr>
        <w:t>ΠΡΟΤΑΣΗ ΨΗΦΙΣΜΑΤΟΣ ΤΟΥ ΕΥΡΩΠΑΪΚΟΥ ΚΟΙΝΟΒΟΥΛΙΟΥ</w:t>
      </w:r>
      <w:r>
        <w:rPr>
          <w:noProof/>
        </w:rPr>
        <w:tab/>
      </w:r>
      <w:r>
        <w:rPr>
          <w:noProof/>
        </w:rPr>
        <w:fldChar w:fldCharType="begin"/>
      </w:r>
      <w:r>
        <w:rPr>
          <w:noProof/>
        </w:rPr>
        <w:instrText xml:space="preserve"> PAGEREF _Toc213060956 \h </w:instrText>
      </w:r>
      <w:r>
        <w:rPr>
          <w:noProof/>
        </w:rPr>
      </w:r>
      <w:r>
        <w:rPr>
          <w:noProof/>
        </w:rPr>
        <w:fldChar w:fldCharType="separate"/>
      </w:r>
      <w:r>
        <w:rPr>
          <w:noProof/>
        </w:rPr>
        <w:t>3</w:t>
      </w:r>
      <w:r>
        <w:rPr>
          <w:noProof/>
        </w:rPr>
        <w:fldChar w:fldCharType="end"/>
      </w:r>
    </w:p>
    <w:p w14:paraId="0DDD5F92" w14:textId="53B0A219" w:rsidR="00D6744C" w:rsidRDefault="00D6744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ΑΙΤΙΟΛΟΓΙΚΗ ΕΚΘΕΣΗ</w:t>
      </w:r>
      <w:r>
        <w:rPr>
          <w:noProof/>
        </w:rPr>
        <w:tab/>
      </w:r>
      <w:r>
        <w:rPr>
          <w:noProof/>
        </w:rPr>
        <w:fldChar w:fldCharType="begin"/>
      </w:r>
      <w:r>
        <w:rPr>
          <w:noProof/>
        </w:rPr>
        <w:instrText xml:space="preserve"> PAGEREF _Toc213060957 \h </w:instrText>
      </w:r>
      <w:r>
        <w:rPr>
          <w:noProof/>
        </w:rPr>
      </w:r>
      <w:r>
        <w:rPr>
          <w:noProof/>
        </w:rPr>
        <w:fldChar w:fldCharType="separate"/>
      </w:r>
      <w:r>
        <w:rPr>
          <w:noProof/>
        </w:rPr>
        <w:t>11</w:t>
      </w:r>
      <w:r>
        <w:rPr>
          <w:noProof/>
        </w:rPr>
        <w:fldChar w:fldCharType="end"/>
      </w:r>
    </w:p>
    <w:p w14:paraId="1C661188" w14:textId="00A81904" w:rsidR="00E155CA" w:rsidRPr="00971587" w:rsidRDefault="00D6744C" w:rsidP="0023245A">
      <w:r w:rsidRPr="00971587">
        <w:rPr>
          <w:b/>
        </w:rPr>
        <w:fldChar w:fldCharType="end"/>
      </w:r>
    </w:p>
    <w:p w14:paraId="12BB5631" w14:textId="77777777" w:rsidR="00100069" w:rsidRPr="00971587" w:rsidRDefault="00D6744C">
      <w:pPr>
        <w:pStyle w:val="PageHeading"/>
      </w:pPr>
      <w:r w:rsidRPr="00971587">
        <w:br w:type="page"/>
      </w:r>
      <w:bookmarkStart w:id="0" w:name="_Toc213060956"/>
      <w:r w:rsidRPr="00971587">
        <w:lastRenderedPageBreak/>
        <w:t>ΠΡΟΤΑΣΗ ΨΗΦΙΣΜΑΤΟΣ ΤΟΥ ΕΥΡΩΠΑΪΚΟΥ ΚΟΙΝΟΒΟΥΛΙΟΥ</w:t>
      </w:r>
      <w:bookmarkEnd w:id="0"/>
    </w:p>
    <w:p w14:paraId="37E649BA" w14:textId="77777777" w:rsidR="00100069" w:rsidRPr="00971587" w:rsidRDefault="00D6744C">
      <w:pPr>
        <w:pStyle w:val="NormalBold"/>
      </w:pPr>
      <w:r w:rsidRPr="00971587">
        <w:t>σχετικά με το πολυετές σχέδιο για τη Βαλτική Θάλασσα και τη μελλοντική πορεία</w:t>
      </w:r>
    </w:p>
    <w:p w14:paraId="18A739B1" w14:textId="77777777" w:rsidR="00100069" w:rsidRPr="00971587" w:rsidRDefault="00D6744C" w:rsidP="00335F69">
      <w:pPr>
        <w:pStyle w:val="NormalBold"/>
      </w:pPr>
      <w:r w:rsidRPr="00971587">
        <w:t>(2024/2127(INI))</w:t>
      </w:r>
    </w:p>
    <w:p w14:paraId="625CFBF6" w14:textId="77777777" w:rsidR="00100069" w:rsidRPr="00971587" w:rsidRDefault="00D6744C" w:rsidP="00335F69">
      <w:pPr>
        <w:pStyle w:val="EPComma"/>
      </w:pPr>
      <w:r w:rsidRPr="00971587">
        <w:rPr>
          <w:i/>
        </w:rPr>
        <w:t>Το Ευρωπαϊκό Κοινοβούλιο</w:t>
      </w:r>
      <w:r w:rsidRPr="00971587">
        <w:t>,</w:t>
      </w:r>
    </w:p>
    <w:p w14:paraId="243B0335" w14:textId="77777777" w:rsidR="002C7053" w:rsidRPr="00971587" w:rsidRDefault="00D6744C" w:rsidP="007A292A">
      <w:pPr>
        <w:pStyle w:val="NormalHanging12a"/>
      </w:pPr>
      <w:r w:rsidRPr="00971587">
        <w:t>–</w:t>
      </w:r>
      <w:r w:rsidRPr="00971587">
        <w:tab/>
        <w:t>έχοντας υπόψη τον κανονισμό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w:t>
      </w:r>
      <w:r w:rsidRPr="00971587">
        <w:rPr>
          <w:rStyle w:val="FootnoteReference"/>
        </w:rPr>
        <w:footnoteReference w:id="1"/>
      </w:r>
      <w:r w:rsidRPr="00971587">
        <w:t xml:space="preserve"> (ΚΑΠ),</w:t>
      </w:r>
    </w:p>
    <w:p w14:paraId="06F6BEE1" w14:textId="77777777" w:rsidR="002C7053" w:rsidRPr="00971587" w:rsidRDefault="00D6744C" w:rsidP="007A292A">
      <w:pPr>
        <w:pStyle w:val="NormalHanging12a"/>
      </w:pPr>
      <w:r w:rsidRPr="00971587">
        <w:t>–</w:t>
      </w:r>
      <w:r w:rsidRPr="00971587">
        <w:tab/>
        <w:t>έχοντας υπόψη τον κανονισμό (ΕΕ) 2016/1139 του Ευρωπαϊκού Κοινοβουλίου και του Συμβουλίου, της 6ης Ιουλίου 2016, για τη θέσπιση πολυετούς σχεδίου για τα αποθέματα γάδου, ρέγγας και παπαλίνας της Βαλτικής Θάλασσας και για τις αλιευτικές δραστηριότητες εκμετάλλευσης των εν λόγω αποθεμάτων, για την τροποποίηση του κανονισμού (ΕΚ) αριθ. 2187/2005 του Συμβουλίου και για την κατάργηση του κανονισμού (ΕΚ) αριθ. 1098/2007 του Συμβουλίου</w:t>
      </w:r>
      <w:r w:rsidRPr="00971587">
        <w:rPr>
          <w:rStyle w:val="FootnoteReference"/>
        </w:rPr>
        <w:footnoteReference w:id="2"/>
      </w:r>
      <w:r w:rsidRPr="00971587">
        <w:t xml:space="preserve"> (Πολυετές σχέδιο για τη Βαλτική),</w:t>
      </w:r>
    </w:p>
    <w:p w14:paraId="4305812D" w14:textId="77777777" w:rsidR="002C7053" w:rsidRPr="00971587" w:rsidRDefault="00D6744C" w:rsidP="007A292A">
      <w:pPr>
        <w:pStyle w:val="NormalHanging12a"/>
      </w:pPr>
      <w:r w:rsidRPr="00971587">
        <w:t>–</w:t>
      </w:r>
      <w:r w:rsidRPr="00971587">
        <w:tab/>
        <w:t>έχοντας υπόψη την 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w:t>
      </w:r>
      <w:r w:rsidRPr="00971587">
        <w:rPr>
          <w:rStyle w:val="FootnoteReference"/>
        </w:rPr>
        <w:footnoteReference w:id="3"/>
      </w:r>
      <w:r w:rsidRPr="00971587">
        <w:t>,</w:t>
      </w:r>
    </w:p>
    <w:p w14:paraId="4539611B" w14:textId="77777777" w:rsidR="002C7053" w:rsidRPr="00971587" w:rsidRDefault="00D6744C" w:rsidP="007A292A">
      <w:pPr>
        <w:pStyle w:val="NormalHanging12a"/>
      </w:pPr>
      <w:r w:rsidRPr="00971587">
        <w:t>–</w:t>
      </w:r>
      <w:r w:rsidRPr="00971587">
        <w:tab/>
        <w:t>έχοντας υπόψη την οδηγία 92/43/ΕΟΚ του Συμβουλίου της 21ης Μαΐου 1992 για τη διατήρηση των φυσικών οικοτόπων καθώς και της άγριας πανίδας και χλωρίδας</w:t>
      </w:r>
      <w:r w:rsidRPr="00971587">
        <w:rPr>
          <w:rStyle w:val="FootnoteReference"/>
        </w:rPr>
        <w:footnoteReference w:id="4"/>
      </w:r>
      <w:r w:rsidRPr="00971587">
        <w:t>,</w:t>
      </w:r>
    </w:p>
    <w:p w14:paraId="454F26C5" w14:textId="77777777" w:rsidR="002C7053" w:rsidRPr="00971587" w:rsidRDefault="00D6744C" w:rsidP="007A292A">
      <w:pPr>
        <w:pStyle w:val="NormalHanging12a"/>
      </w:pPr>
      <w:r w:rsidRPr="00971587">
        <w:t>–</w:t>
      </w:r>
      <w:r w:rsidRPr="00971587">
        <w:tab/>
        <w:t>έχοντας υπόψη τον κανονισμό (ΕΟΚ) αριθ. 2115/77 του Συμβουλίου της 27ης Σεπτεμβρίου 1977 περί απαγορεύσεως της απευθείας αλιείας καθώς και της εκφορτώσεως της ρέγγας που προορίζεται για βιομηχανικούς σκοπούς διαφορετικούς από την ανθρώπινη κατανάλωση</w:t>
      </w:r>
      <w:r w:rsidRPr="00971587">
        <w:rPr>
          <w:rStyle w:val="FootnoteReference"/>
        </w:rPr>
        <w:footnoteReference w:id="5"/>
      </w:r>
      <w:r w:rsidRPr="00971587">
        <w:t>,</w:t>
      </w:r>
    </w:p>
    <w:p w14:paraId="088F24DE" w14:textId="77777777" w:rsidR="002C7053" w:rsidRPr="00971587" w:rsidRDefault="00D6744C" w:rsidP="007A292A">
      <w:pPr>
        <w:pStyle w:val="NormalHanging12a"/>
      </w:pPr>
      <w:r w:rsidRPr="00971587">
        <w:t>–</w:t>
      </w:r>
      <w:r w:rsidRPr="00971587">
        <w:tab/>
        <w:t>έχοντας υπόψη την οδηγία 2009/147/EK του Ευρωπαϊκού Κοινοβουλίου και του Συμβουλίου, της 30ής Νοεμβρίου 2009, περί της διατηρήσεως των αγρίων πτηνών</w:t>
      </w:r>
      <w:r w:rsidRPr="00971587">
        <w:rPr>
          <w:rStyle w:val="FootnoteReference"/>
        </w:rPr>
        <w:footnoteReference w:id="6"/>
      </w:r>
      <w:r w:rsidRPr="00971587">
        <w:t>,</w:t>
      </w:r>
    </w:p>
    <w:p w14:paraId="76860F31" w14:textId="77777777" w:rsidR="002C7053" w:rsidRPr="00971587" w:rsidRDefault="00D6744C" w:rsidP="007A292A">
      <w:pPr>
        <w:pStyle w:val="NormalHanging12a"/>
      </w:pPr>
      <w:r w:rsidRPr="00971587">
        <w:t>–</w:t>
      </w:r>
      <w:r w:rsidRPr="00971587">
        <w:tab/>
        <w:t>έχοντας υπόψη τη στρατηγική της ΕΕ για τη βιοποικιλότητα με ορίζοντα το 2030, η οποία καθορίζεται στην ανακοίνωση της Επιτροπής, της 20ής Μαΐου 2020, με τίτλο «Στρατηγική της ΕΕ για τη βιοποικιλότητα με ορίζοντα το 2030 – Επαναφορά της φύσης στη ζωή μας» (COM(2020)0380),</w:t>
      </w:r>
    </w:p>
    <w:p w14:paraId="1001D3FF" w14:textId="77777777" w:rsidR="002C7053" w:rsidRPr="00971587" w:rsidRDefault="00D6744C" w:rsidP="007A292A">
      <w:pPr>
        <w:pStyle w:val="NormalHanging12a"/>
      </w:pPr>
      <w:r w:rsidRPr="00971587">
        <w:t>–</w:t>
      </w:r>
      <w:r w:rsidRPr="00971587">
        <w:tab/>
        <w:t xml:space="preserve">έχοντας υπόψη την ανακοίνωση της Επιτροπής, της 5ης Ιουνίου 2025, με τίτλο «Το </w:t>
      </w:r>
      <w:r w:rsidRPr="00971587">
        <w:lastRenderedPageBreak/>
        <w:t>ευρωπαϊκό σύμφωνο για τους ωκεανούς» (COM(2025)0281),</w:t>
      </w:r>
    </w:p>
    <w:p w14:paraId="312EA798" w14:textId="77777777" w:rsidR="002C7053" w:rsidRPr="00971587" w:rsidRDefault="00D6744C" w:rsidP="007A292A">
      <w:pPr>
        <w:pStyle w:val="NormalHanging12a"/>
      </w:pPr>
      <w:r w:rsidRPr="00971587">
        <w:t>–</w:t>
      </w:r>
      <w:r w:rsidRPr="00971587">
        <w:tab/>
        <w:t xml:space="preserve">έχοντας υπόψη τη Σύμβαση για την προστασία του θαλάσσιου περιβάλλοντος στην περιοχή της Βαλτικής του 1992 </w:t>
      </w:r>
      <w:r w:rsidRPr="00971587">
        <w:t>(Σύμβαση του Ελσίνκι), η οποία τέθηκε σε ισχύ στις 17 Ιανουαρίου 2000, και την επιτροπή για την προστασία του θαλάσσιου περιβάλλοντος της Βαλτικής, γνωστή και ως επιτροπή του Ελσίνκι (HELCOM),</w:t>
      </w:r>
    </w:p>
    <w:p w14:paraId="65E03068" w14:textId="77777777" w:rsidR="002C7053" w:rsidRPr="00971587" w:rsidRDefault="00D6744C" w:rsidP="007A292A">
      <w:pPr>
        <w:pStyle w:val="NormalHanging12a"/>
      </w:pPr>
      <w:r w:rsidRPr="00971587">
        <w:t>–</w:t>
      </w:r>
      <w:r w:rsidRPr="00971587">
        <w:tab/>
        <w:t>έχοντας υπόψη την ενημερωτική ανάλυση που ζήτησε η Επιτροπή Αλιείας του Κοινοβουλίου με τίτλο «The multiannual plan for the Baltic Sea – A change in management needed » (Το πολυετές σχέδιο για τη Βαλτική Θάλασσα – Ανάγκη αλλαγής στη διαχείριση), που δημοσιεύθηκε από τη Γενική Διεύθυνση Συνοχής, Γεωργίας και Κοινωνικών Πολιτικών τον Αύγουστο του 2025</w:t>
      </w:r>
      <w:r w:rsidRPr="00971587">
        <w:rPr>
          <w:rStyle w:val="FootnoteReference"/>
        </w:rPr>
        <w:footnoteReference w:id="7"/>
      </w:r>
      <w:r w:rsidRPr="00971587">
        <w:t>,</w:t>
      </w:r>
    </w:p>
    <w:p w14:paraId="64ADFCD7" w14:textId="77777777" w:rsidR="002C7053" w:rsidRPr="00971587" w:rsidRDefault="00D6744C" w:rsidP="007A292A">
      <w:pPr>
        <w:pStyle w:val="NormalHanging12a"/>
      </w:pPr>
      <w:r w:rsidRPr="00971587">
        <w:t>–</w:t>
      </w:r>
      <w:r w:rsidRPr="00971587">
        <w:tab/>
        <w:t>έχοντας υπόψη τη μελέτη της Υπηρεσίας Έρευνας του Ευρωπαϊκού Κοινοβουλίου, του Σεπτεμβρίου 2025, με τίτλο «Evaluation of the Baltic Sea Multiannual Plan Regulation – European Implementation Assessment» (Αξιολόγηση του κανονισμού για το πολυετές σχέδιο για τη Βαλτική Θάλασσα – Ευρωπαϊκή αξιολόγηση εφαρμογής),</w:t>
      </w:r>
    </w:p>
    <w:p w14:paraId="01C9B600" w14:textId="77777777" w:rsidR="002C7053" w:rsidRPr="00971587" w:rsidRDefault="00D6744C" w:rsidP="007A292A">
      <w:pPr>
        <w:pStyle w:val="NormalHanging12a"/>
      </w:pPr>
      <w:r w:rsidRPr="00971587">
        <w:t>–</w:t>
      </w:r>
      <w:r w:rsidRPr="00971587">
        <w:tab/>
        <w:t>έχοντας υπόψη την έκθεση του Ευρωπαϊκού Οργανισμού Περιβάλλοντος, της 29ης Σεπτεμβρίου 2025, με τίτλο «Europe’s environment and climate: knowledge for resilience, prosperity and sustainability» (Το περιβάλλον και το κλίμα της Ευρώπης: γνώση για την ανθεκτικότητα, την ευημερία και τη βιωσιμότητα),</w:t>
      </w:r>
    </w:p>
    <w:p w14:paraId="3257D513" w14:textId="77777777" w:rsidR="002C7053" w:rsidRPr="00971587" w:rsidRDefault="00D6744C" w:rsidP="007A292A">
      <w:pPr>
        <w:pStyle w:val="NormalHanging12a"/>
      </w:pPr>
      <w:r w:rsidRPr="00971587">
        <w:t>–</w:t>
      </w:r>
      <w:r w:rsidRPr="00971587">
        <w:tab/>
        <w:t>έχοντας υπόψη την έκθεση της HELCOM, της 31ης Οκτωβρίου 2023, με τίτλο «State of the Baltic Sea 2023 – Third HELCOM holistic assessment 2016-2021» (Η κατάσταση της Βαλτικής Θάλασσας το 2023 – Τρίτη ολιστική αξιολόγηση της HELCOM 2016-2021),</w:t>
      </w:r>
    </w:p>
    <w:p w14:paraId="6E9600C9" w14:textId="77777777" w:rsidR="002C7053" w:rsidRPr="00971587" w:rsidRDefault="00D6744C" w:rsidP="007A292A">
      <w:pPr>
        <w:pStyle w:val="NormalHanging12a"/>
      </w:pPr>
      <w:r w:rsidRPr="00971587">
        <w:t>–</w:t>
      </w:r>
      <w:r w:rsidRPr="00971587">
        <w:tab/>
        <w:t>έχοντας υπόψη την έκθεση του Διεθνούς Συμβουλίου Εξερεύνησης της Θάλασσας (ICES), της 26ης Νοεμβρίου 2024, με τίτλο «Baltic Sea ecoregion – Ecosystem Overview» (Οικοπεριοχή της Βαλτικής Θάλασσας – Επισκόπηση του οικοσυστήματος), γνωμοδότηση του ICES 2024, τμήμα 7.1,</w:t>
      </w:r>
    </w:p>
    <w:p w14:paraId="0BA9096C" w14:textId="77777777" w:rsidR="002C7053" w:rsidRPr="00971587" w:rsidRDefault="00D6744C" w:rsidP="007A292A">
      <w:pPr>
        <w:pStyle w:val="NormalHanging12a"/>
      </w:pPr>
      <w:r w:rsidRPr="00971587">
        <w:t>–</w:t>
      </w:r>
      <w:r w:rsidRPr="00971587">
        <w:tab/>
      </w:r>
      <w:bookmarkStart w:id="1" w:name="_Hlk212108900"/>
      <w:r w:rsidRPr="00971587">
        <w:t>έχοντας υπόψη την έκθεση του ICES του 2022 με τίτλο «Workshop on ICES reference points (WKREF1)</w:t>
      </w:r>
      <w:bookmarkEnd w:id="1"/>
      <w:r w:rsidRPr="00971587">
        <w:t>» (Εργαστήριο σχετικά με τα σημεία αναφοράς του ICES), Επιστημονικές εκθέσεις του ICES. 4:2. σ. 70,</w:t>
      </w:r>
    </w:p>
    <w:p w14:paraId="6EDB2503" w14:textId="77777777" w:rsidR="002C7053" w:rsidRPr="00971587" w:rsidRDefault="00D6744C" w:rsidP="007A292A">
      <w:pPr>
        <w:pStyle w:val="NormalHanging12a"/>
      </w:pPr>
      <w:r w:rsidRPr="00971587">
        <w:t>–</w:t>
      </w:r>
      <w:r w:rsidRPr="00971587">
        <w:tab/>
        <w:t>έχοντας υπόψη την έκθεση του ICES του 2022 με τίτλο «Workshop on ICES reference points (WKREF2)» ( Εργαστήριο σχετικά με τα σημεία αναφοράς του ICES), Επιστημονικές εκθέσεις του ICES. 4:68. σ. 96,</w:t>
      </w:r>
    </w:p>
    <w:p w14:paraId="6827C771" w14:textId="77777777" w:rsidR="002C7053" w:rsidRPr="00971587" w:rsidRDefault="00D6744C" w:rsidP="007A292A">
      <w:pPr>
        <w:pStyle w:val="NormalHanging12a"/>
      </w:pPr>
      <w:r w:rsidRPr="00971587">
        <w:t>–</w:t>
      </w:r>
      <w:r w:rsidRPr="00971587">
        <w:tab/>
        <w:t>έχοντας υπόψη την έκθεση του ICES του 2023 με τίτλο «Workshop on guidelines and methods for the design and evaluation of rebuilding plans for category 1-2 stocks (WKREBUILD2)» (Εργαστήριο σχετικά με κατευθυντήριες γραμμές και μεθόδους για τον σχεδιασμό και την αξιολόγηση σχεδίων για την ανασύσταση των αποθεμάτων κατηγοριών 1-2), Επιστημονικές εκθέσεις ICES. 5:112. σ. 79.,</w:t>
      </w:r>
    </w:p>
    <w:p w14:paraId="591B34DB" w14:textId="77777777" w:rsidR="002C7053" w:rsidRPr="00971587" w:rsidRDefault="00D6744C" w:rsidP="007A292A">
      <w:pPr>
        <w:pStyle w:val="NormalHanging12a"/>
      </w:pPr>
      <w:r w:rsidRPr="00971587">
        <w:lastRenderedPageBreak/>
        <w:t>–</w:t>
      </w:r>
      <w:r w:rsidRPr="00971587">
        <w:tab/>
        <w:t>έχοντας υπόψη την έκθεση του Κοινού Κέντρου Ερευνών της Επιτροπής, του Νοεμβρίου 2024, με τίτλο «Επιστημονική, Τεχνική και Οικονομική Επιτροπή Αλιείας (ΕΤΟΕΑ) – Ετήσια οικονομική έκθεση 2024 σχετικά με τον αλιευτικό στόλο της ΕΕ (STECF-24-03 &amp; STECF-24-07)»,</w:t>
      </w:r>
    </w:p>
    <w:p w14:paraId="03C7AA9A" w14:textId="77777777" w:rsidR="002C7053" w:rsidRPr="00971587" w:rsidRDefault="00D6744C" w:rsidP="007A292A">
      <w:pPr>
        <w:pStyle w:val="NormalHanging12a"/>
      </w:pPr>
      <w:r w:rsidRPr="00971587">
        <w:t>–</w:t>
      </w:r>
      <w:r w:rsidRPr="00971587">
        <w:tab/>
        <w:t>έχοντας υπόψη την έκθεση της Διακυβερνητικής Επιτροπής για την Κλιματική Αλλαγή, του Σεπτεμβρίου 2019, με τίτλο «Ειδική έκθεση για τους ωκεανούς και την κρυόσφαιρα σε ένα μεταβαλλόμενο κλίμα»,</w:t>
      </w:r>
    </w:p>
    <w:p w14:paraId="1DE87EC9" w14:textId="77777777" w:rsidR="002C7053" w:rsidRPr="00971587" w:rsidRDefault="00D6744C" w:rsidP="007A292A">
      <w:pPr>
        <w:pStyle w:val="NormalHanging12a"/>
      </w:pPr>
      <w:r w:rsidRPr="00971587">
        <w:t>–</w:t>
      </w:r>
      <w:r w:rsidRPr="00971587">
        <w:tab/>
        <w:t>έχοντας υπόψη την έκθεση της θαλάσσιας υπηρεσίας του Copernicus, του Σεπτεμβρίου 2025, με τίτλο «9η έκδοση της έκθεσης του Copernicus για την κατάσταση των ωκεανών»,</w:t>
      </w:r>
    </w:p>
    <w:p w14:paraId="7B549844" w14:textId="77777777" w:rsidR="002C7053" w:rsidRPr="00971587" w:rsidRDefault="00D6744C" w:rsidP="007A292A">
      <w:pPr>
        <w:pStyle w:val="NormalHanging12a"/>
      </w:pPr>
      <w:r w:rsidRPr="00971587">
        <w:t>–</w:t>
      </w:r>
      <w:r w:rsidRPr="00971587">
        <w:tab/>
        <w:t>έχοντας υπόψη την έκθεση του Ινστιτούτου έρευνας κλιματικών επιπτώσεων του Potsdam, της 24ης Σεπτεμβρίου 2025, με τίτλο «Planetary Health Check 2025: A Scientific Assessment of the State of the Planet» (Έλεγχος της υγείας του πλανήτη το 2025: Επιστημονική αξιολόγηση της κατάστασης του πλανήτη),</w:t>
      </w:r>
    </w:p>
    <w:p w14:paraId="77627232" w14:textId="77777777" w:rsidR="002C7053" w:rsidRPr="00971587" w:rsidRDefault="00D6744C" w:rsidP="007A292A">
      <w:pPr>
        <w:pStyle w:val="NormalHanging12a"/>
      </w:pPr>
      <w:r w:rsidRPr="00971587">
        <w:t>–</w:t>
      </w:r>
      <w:r w:rsidRPr="00971587">
        <w:tab/>
        <w:t xml:space="preserve">έχοντας υπόψη την κοινή δήλωση της Γενικής Διεύθυνσης Θαλάσσιας Πολιτικής και Αλιείας της Επιτροπής και του ICES, της 18ης Σεπτεμβρίου 2025, με τίτλο «Adaptive science and coordinated governance for </w:t>
      </w:r>
      <w:r w:rsidRPr="00971587">
        <w:t>cross-sector action towards Baltic Sea recovery» (Ευέλικτη επιστήμη και συντονισμένη διακυβέρνηση για τη διατομεακή δράση για την αποκατάσταση της Βαλτικής Θάλασσας),</w:t>
      </w:r>
    </w:p>
    <w:p w14:paraId="16C3CDFF" w14:textId="77777777" w:rsidR="002C7053" w:rsidRPr="00971587" w:rsidRDefault="00D6744C" w:rsidP="007A292A">
      <w:pPr>
        <w:pStyle w:val="NormalHanging12a"/>
      </w:pPr>
      <w:r w:rsidRPr="00971587">
        <w:t>–</w:t>
      </w:r>
      <w:r w:rsidRPr="00971587">
        <w:tab/>
        <w:t>έχοντας υπόψη την έκθεση της Επιτροπής Αλιείας, της 28ης Απριλίου 2025, με τίτλο «Έγγραφο εργασίας σχετικά με την εφαρμογή του κανονισμού (ΕΕ) 2016/1139 (“πολυετές σχέδιο για τη Βαλτική”)»,</w:t>
      </w:r>
    </w:p>
    <w:p w14:paraId="70C25D6A" w14:textId="77777777" w:rsidR="00100069" w:rsidRPr="00971587" w:rsidRDefault="00D6744C">
      <w:pPr>
        <w:pStyle w:val="NormalHanging12a"/>
      </w:pPr>
      <w:r w:rsidRPr="00971587">
        <w:t>–</w:t>
      </w:r>
      <w:r w:rsidRPr="00971587">
        <w:tab/>
        <w:t>έχοντας υπόψη το άρθρο 55 του Κανονισμού του,</w:t>
      </w:r>
    </w:p>
    <w:p w14:paraId="6B86AB09" w14:textId="77777777" w:rsidR="00531F4C" w:rsidRPr="00971587" w:rsidRDefault="00D6744C" w:rsidP="00531F4C">
      <w:pPr>
        <w:pStyle w:val="NormalHanging12a"/>
      </w:pPr>
      <w:r w:rsidRPr="00971587">
        <w:t>–</w:t>
      </w:r>
      <w:r w:rsidRPr="00971587">
        <w:tab/>
        <w:t>έχοντας υπόψη την έκθεση της Επιτροπής Αλιείας (A10</w:t>
      </w:r>
      <w:r w:rsidRPr="00971587">
        <w:noBreakHyphen/>
        <w:t>0000/2025),</w:t>
      </w:r>
    </w:p>
    <w:p w14:paraId="285C581B" w14:textId="77777777" w:rsidR="00CE1512" w:rsidRPr="00971587" w:rsidRDefault="00D6744C" w:rsidP="007A292A">
      <w:pPr>
        <w:pStyle w:val="NormalHanging12a"/>
      </w:pPr>
      <w:r w:rsidRPr="00971587">
        <w:t>Α.</w:t>
      </w:r>
      <w:r w:rsidRPr="00971587">
        <w:tab/>
        <w:t>λαμβάνοντας υπόψη ότι το πολυετές σχέδιο της ΕΕ για την αλιεία στη Βαλτική Θάλασσα (κανονισμός για το πολυετές σχέδιο για τη Βαλτική) δεν έχει επιτύχει τους στόχους του και δεν έχει οδηγήσει στην αποκατάσταση ή τη διατήρηση των πληθυσμών των αλιευόμενων ειδών πάνω από τα επίπεδα τα οποία μπορούν να εξασφαλίσουν τη μέγιστη βιώσιμη απόδοση («ΜΒΑ»), ούτε στην υλοποίηση της οικοσυστημικής προσέγγισης στη διαχείριση της αλιείας, με αποτέλεσμα να υπάρξουν πολλές καταστροφικές κοινωνικοοικονομικές συνέπειες για τ</w:t>
      </w:r>
      <w:r w:rsidRPr="00971587">
        <w:t>ον τομέα της αλιείας·</w:t>
      </w:r>
    </w:p>
    <w:p w14:paraId="79ACC392" w14:textId="77777777" w:rsidR="00CE1512" w:rsidRPr="00971587" w:rsidRDefault="00D6744C" w:rsidP="007A292A">
      <w:pPr>
        <w:pStyle w:val="NormalHanging12a"/>
      </w:pPr>
      <w:r w:rsidRPr="00971587">
        <w:t>Β.</w:t>
      </w:r>
      <w:r w:rsidRPr="00971587">
        <w:tab/>
        <w:t>λαμβάνοντας υπόψη ότι τα αποθέματα γάδου της Βαλτικής έχουν μειωθεί ραγδαία και δεν έχουν ανακάμψει, παρά το γεγονός ότι η στοχευμένη αλιεία έχει τερματιστεί από το 2019·</w:t>
      </w:r>
    </w:p>
    <w:p w14:paraId="73D7A7FB" w14:textId="77777777" w:rsidR="00CE1512" w:rsidRPr="00971587" w:rsidRDefault="00D6744C" w:rsidP="007A292A">
      <w:pPr>
        <w:pStyle w:val="NormalHanging12a"/>
      </w:pPr>
      <w:r w:rsidRPr="00971587">
        <w:t>Γ.</w:t>
      </w:r>
      <w:r w:rsidRPr="00971587">
        <w:tab/>
        <w:t>λαμβάνοντας υπόψη ότι η παράκτια αλιεία μικρής κλίμακας αντιπροσωπεύει το 92 % των σκαφών στη Βαλτική Θάλασσα, ενώ εκφορτώνει μόνο το 7 % του συνολικού βάρους, αλλά αντιπροσωπεύει το 22 % της αξίας των εκφορτώσεων, καταδεικνύοντας υψηλότερη προστιθέμενη αξία σε αυτό το τμήμα του στόλου·</w:t>
      </w:r>
    </w:p>
    <w:p w14:paraId="33543069" w14:textId="77777777" w:rsidR="00CE1512" w:rsidRPr="00971587" w:rsidRDefault="00D6744C" w:rsidP="007A292A">
      <w:pPr>
        <w:pStyle w:val="NormalHanging12a"/>
      </w:pPr>
      <w:r w:rsidRPr="00971587">
        <w:t>Δ.</w:t>
      </w:r>
      <w:r w:rsidRPr="00971587">
        <w:tab/>
        <w:t xml:space="preserve">λαμβάνοντας υπόψη ότι η ακαθάριστη προστιθέμενη αξία για τους αλιείς μικρής κλίμακας έχει μειωθεί δραστικά από τη θέσπιση του κανονισμού για το πολυετές σχέδιο </w:t>
      </w:r>
      <w:r w:rsidRPr="00971587">
        <w:lastRenderedPageBreak/>
        <w:t>για τη Βαλτική, σύμφωνα με αξιολογήσεις της επιστημονικής, τεχνικής και οικονομικής επιτροπής αλιείας της Επιτροπής, απειλώντας την επισιτιστική ασφάλεια και αυξάνοντας την εξάρτηση της ΕΕ από τις εισαγωγές·</w:t>
      </w:r>
    </w:p>
    <w:p w14:paraId="3FD1F919" w14:textId="77777777" w:rsidR="00CE1512" w:rsidRPr="00971587" w:rsidRDefault="00D6744C" w:rsidP="007A292A">
      <w:pPr>
        <w:pStyle w:val="NormalHanging12a"/>
      </w:pPr>
      <w:r w:rsidRPr="00971587">
        <w:t>Ε.</w:t>
      </w:r>
      <w:r w:rsidRPr="00971587">
        <w:tab/>
        <w:t>λαμβάνοντας υπόψη ότι η Βαλτική Θάλασσα υφίσταται πολλαπλές ανθρωπογενείς πιέσεις και μακροπρόθεσμη υποβάθμιση, και είναι ιδιαίτερα ευάλωτη λόγω της αβαθούς θαλάσσιας λεκάνης της με γενετικά μοναδικά είδη που ανέπτυξαν ικανότητα διαβίωσης σε υφάλμυρα ύδατα με φυσικά χαμηλή αλατότητα και χαμηλά επίπεδα οξυγόνου·</w:t>
      </w:r>
    </w:p>
    <w:p w14:paraId="754DFC76" w14:textId="77777777" w:rsidR="00CE1512" w:rsidRPr="00971587" w:rsidRDefault="00D6744C" w:rsidP="007A292A">
      <w:pPr>
        <w:pStyle w:val="NormalHanging12a"/>
      </w:pPr>
      <w:r w:rsidRPr="00971587">
        <w:t>ΣΤ.</w:t>
      </w:r>
      <w:r w:rsidRPr="00971587">
        <w:tab/>
        <w:t>λαμβάνοντας υπόψη ότι, ενώ οι ανάντη πιέσεις, όπως η επιβάρυνση σε θρεπτικά συστατικά και οι ρυπογόνες παλαιές χημικές ουσίες, όπως ο υδράργυρος και το πολυχλωριωμένο διφαινύλιο, έχουν μειωθεί με την πάροδο του χρόνου, η αλιεία έχει παραμείνει ισχυρός παράγοντας πίεσης για βασικά ιχθυαποθέματα·</w:t>
      </w:r>
    </w:p>
    <w:p w14:paraId="4BDB268A" w14:textId="77777777" w:rsidR="00CE1512" w:rsidRPr="00971587" w:rsidRDefault="00D6744C" w:rsidP="007A292A">
      <w:pPr>
        <w:pStyle w:val="NormalHanging12a"/>
      </w:pPr>
      <w:r w:rsidRPr="00971587">
        <w:t>Ζ.</w:t>
      </w:r>
      <w:r w:rsidRPr="00971587">
        <w:tab/>
        <w:t>λαμβάνοντας υπόψη ότι οι επιπτώσεις της υπερθέρμανσης του θαλάσσιου νερού λόγω της παγκόσμιας κλιματικής αλλαγής είναι ιδιαίτερα ταχείες στη Βαλτική Θάλασσα και αναμένεται να οδηγήσουν σε περαιτέρω εκτεταμένες και ως επί το πλείστον άγνωστες συνέπειες, συμπεριλαμβανομένης της αβεβαιότητας σχετικά με τη μελλοντική αναπαραγωγική ικανότητα των ιχθυοπληθυσμών·</w:t>
      </w:r>
    </w:p>
    <w:p w14:paraId="316256B9" w14:textId="77777777" w:rsidR="00CE1512" w:rsidRPr="00971587" w:rsidRDefault="00D6744C" w:rsidP="007A292A">
      <w:pPr>
        <w:pStyle w:val="NormalHanging12a"/>
      </w:pPr>
      <w:r w:rsidRPr="00971587">
        <w:t>Η.</w:t>
      </w:r>
      <w:r w:rsidRPr="00971587">
        <w:tab/>
        <w:t>λαμβάνοντας υπόψη ότι τα κράτη μέλη εξακολουθούν να αποφασίζουν σχετικά με επικίνδυνα υψηλές ποσοστώσεις για ιχθυαποθέματα που βρίσκονται σε πρωτοφανή χαμηλά επίπεδα βιομάζας ή κοντά σε αυτά, αγνοώντας τα επίπεδα που απαιτούνται από τον κανονισμό για το πολυετές σχέδιο για τη Βαλτική και την οδηγία-πλαίσιο για τη θαλάσσια στρατηγική (ΟΠΘΣ), τα οποία απαιτούν επίσης ισορροπημένα τροφικά δίκτυα και αποθέματα με υγιές μέγεθος και υγιή ηλικιακή κατανομή·</w:t>
      </w:r>
    </w:p>
    <w:p w14:paraId="24A5C1D6" w14:textId="77777777" w:rsidR="00CE1512" w:rsidRPr="00971587" w:rsidRDefault="00D6744C" w:rsidP="007A292A">
      <w:pPr>
        <w:pStyle w:val="NormalHanging12a"/>
      </w:pPr>
      <w:r w:rsidRPr="00971587">
        <w:t>Θ.</w:t>
      </w:r>
      <w:r w:rsidRPr="00971587">
        <w:tab/>
        <w:t>λαμβάνοντας υπόψη ότι η βιομηχανική αλιεία επετράπη στην περιοχή της Βαλτικής Θάλασσας με σκοπό την παραγωγή ιχθυαλεύρων και ιχθυελαίων το 1995 και έκτοτε η αλιεία έχει διαφοροποιηθεί μέσω συστημάτων μεταβιβάσιμων ατομικών ποσοστώσεων και φιλοξενεί λιγότερα και μεγαλύτερα σκάφη που κυριαρχούν στις εκφορτώσεις ρέγγας· λαμβάνοντας υπόψη ότι σήμερα στη Σουηδία και τη Φινλανδία μόνο το 10 % και το 17 % των αλιευμάτων, αντίστοιχα, χρησιμοποιούνται για άμεση κατανάλωση από τον άνθρωπο·</w:t>
      </w:r>
    </w:p>
    <w:p w14:paraId="060A054A" w14:textId="77777777" w:rsidR="00CE1512" w:rsidRPr="00971587" w:rsidRDefault="00D6744C" w:rsidP="007A292A">
      <w:pPr>
        <w:pStyle w:val="NormalHanging12a"/>
      </w:pPr>
      <w:r w:rsidRPr="00971587">
        <w:t>Ι.</w:t>
      </w:r>
      <w:r w:rsidRPr="00971587">
        <w:tab/>
        <w:t>λαμβάνοντας υπόψη ότι οι αξιολογήσεις μεμονωμένων ειδών και οι επιστημονικές γνωμοδοτήσεις έχουν οδηγήσει, στις τρέχουσες περιβαλλοντικές συνθήκες, σε διαρθρωτική υπερεκτίμηση της αναπαραγωγικής ικανότητας του αποθέματος και του συνολικού μεγέθους του αποθέματος·</w:t>
      </w:r>
    </w:p>
    <w:p w14:paraId="4979937E" w14:textId="77777777" w:rsidR="00CE1512" w:rsidRPr="00971587" w:rsidRDefault="00D6744C" w:rsidP="007A292A">
      <w:pPr>
        <w:pStyle w:val="NormalHanging12a"/>
      </w:pPr>
      <w:r w:rsidRPr="00971587">
        <w:t>ΙΑ.</w:t>
      </w:r>
      <w:r w:rsidRPr="00971587">
        <w:tab/>
        <w:t xml:space="preserve">λαμβάνοντας υπόψη ότι η γνωμοδότηση του ICES δεν </w:t>
      </w:r>
      <w:r w:rsidRPr="00971587">
        <w:t>αναδεικνύει επαρκώς τις παραμέτρους κινδύνου και θα πρέπει να βελτιωθεί ώστε να αντικατοπτρίζει καλύτερα την ποιότητα των αξιολογήσεων και τα σημαντικά ζητήματα·</w:t>
      </w:r>
    </w:p>
    <w:p w14:paraId="581C17AC" w14:textId="77777777" w:rsidR="00CE1512" w:rsidRPr="00971587" w:rsidRDefault="00D6744C" w:rsidP="007A292A">
      <w:pPr>
        <w:pStyle w:val="NormalHanging12a"/>
        <w:rPr>
          <w:iCs/>
        </w:rPr>
      </w:pPr>
      <w:r w:rsidRPr="00971587">
        <w:t>ΙΒ.</w:t>
      </w:r>
      <w:r w:rsidRPr="00971587">
        <w:tab/>
        <w:t>λαμβάνοντας υπόψη ότι, τον Σεπτέμβριο του 2025, το ICES από κοινού με τη Γενική Διεύθυνση Θαλάσσιας Πολιτικής και Αλιείας της Επιτροπής, δήλωσε ότι για τη Βαλτική Θάλασσα «η παραδοσιακή ομοιόμορφη διαχείριση μεμονωμένων ειδών δεν επαρκεί πλέον για την αντιμετώπιση της παρατηρούμενης πολυπλοκότητας»·</w:t>
      </w:r>
    </w:p>
    <w:p w14:paraId="48C50597" w14:textId="77777777" w:rsidR="00CE1512" w:rsidRPr="00971587" w:rsidRDefault="00D6744C" w:rsidP="007A292A">
      <w:pPr>
        <w:pStyle w:val="NormalHanging12a"/>
      </w:pPr>
      <w:r w:rsidRPr="00971587">
        <w:t>ΙΓ.</w:t>
      </w:r>
      <w:r w:rsidRPr="00971587">
        <w:tab/>
        <w:t xml:space="preserve">λαμβάνοντας υπόψη ότι οι Ηνωμένες Πολιτείες, ο Καναδάς, η Νέα Ζηλανδία και η </w:t>
      </w:r>
      <w:r w:rsidRPr="00971587">
        <w:lastRenderedPageBreak/>
        <w:t>Αυστραλία χρησιμοποιούν μια πιο επιφυλακτική προσέγγιση όσον αφορά τον καθορισμό ποσοστώσεων από ό,τι η ΕΕ, προβλέπουν σαφή αποθέματα αβεβαιότητας και ενεργοποιούν αυτόματα σχέδια ανασύστασης σε περίπτωση παραβίασης των οριακών τιμών·</w:t>
      </w:r>
    </w:p>
    <w:p w14:paraId="49743F1B" w14:textId="77777777" w:rsidR="00CE1512" w:rsidRPr="00971587" w:rsidRDefault="00D6744C" w:rsidP="007A292A">
      <w:pPr>
        <w:pStyle w:val="NormalHanging12a"/>
      </w:pPr>
      <w:r w:rsidRPr="00971587">
        <w:t>ΙΔ.</w:t>
      </w:r>
      <w:r w:rsidRPr="00971587">
        <w:tab/>
        <w:t>λαμβάνοντας υπόψη ότι οι αποφάσεις για τα συνολικά επιτρεπόμενα αλιεύματα (TAC), οι τεχνικοί κανόνες και τα διορθωτικά μέτρα δεν έχουν τηρήσει την απαίτηση του άρθρου 5 του κανονισμού για το πολυετές σχέδιο για τη Βαλτική όσον αφορά τη θέσπιση μέτρων «ώστε να διασφαλιστεί η ταχεία επάνοδος του σχετικού αποθέματος σε επίπεδα ανώτερα από εκείνο που μπορεί να διασφαλίσει τη ΜΒΑ»·</w:t>
      </w:r>
    </w:p>
    <w:p w14:paraId="0BA5D311" w14:textId="77777777" w:rsidR="00CE1512" w:rsidRPr="00971587" w:rsidRDefault="00D6744C" w:rsidP="007A292A">
      <w:pPr>
        <w:pStyle w:val="NormalHanging12a"/>
      </w:pPr>
      <w:r w:rsidRPr="00971587">
        <w:t>ΙΕ.</w:t>
      </w:r>
      <w:r w:rsidRPr="00971587">
        <w:tab/>
        <w:t>λαμβάνοντας υπόψη ότι, ενώ ο κανονισμός για το πολυετές σχέδιο για τη Βαλτική είχε ως στόχο να αποτελέσει ένα ευέλικτο πλαίσιο, προσαρμόσιμο βάσει μιας περιφερειακής προσέγγισης, οι αλλαγές αυτές είχαν περιορισμένη επιτυχία·</w:t>
      </w:r>
    </w:p>
    <w:p w14:paraId="739EE7FF" w14:textId="77777777" w:rsidR="00CE1512" w:rsidRPr="00971587" w:rsidRDefault="00D6744C" w:rsidP="007A292A">
      <w:pPr>
        <w:pStyle w:val="NormalHanging12a"/>
      </w:pPr>
      <w:r w:rsidRPr="00971587">
        <w:t>ΙΣΤ.</w:t>
      </w:r>
      <w:r w:rsidRPr="00971587">
        <w:tab/>
        <w:t>λαμβάνοντας υπόψη ότι, ενώ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 οι αποφάσεις διαχείρισης δεν τους ακολούθησαν επαρκώς·</w:t>
      </w:r>
    </w:p>
    <w:p w14:paraId="32372403" w14:textId="77777777" w:rsidR="00CE1512" w:rsidRPr="00971587" w:rsidRDefault="00D6744C" w:rsidP="007A292A">
      <w:pPr>
        <w:pStyle w:val="NormalHanging12a"/>
      </w:pPr>
      <w:r w:rsidRPr="00971587">
        <w:t>ΙΖ.</w:t>
      </w:r>
      <w:r w:rsidRPr="00971587">
        <w:tab/>
        <w:t>λαμβάνοντας υπόψη ότι το σύστημα λήψης αποφάσεων της ΕΕ σχετικά με τα TAC κάνει επί του παρόντος διάκριση μεταξύ της διαχείρισης των στοχευόμενων ειδών και των αναγκών προστασίας άλλων ειδών, παρά το γεγονός ότι αποτελούν μέρος ενός οικοσυστήματος και μοιράζονται τις ίδιες απαιτήσεις όσον αφορά την επίτευξη υγιούς κατάστασης·</w:t>
      </w:r>
    </w:p>
    <w:p w14:paraId="086D6308" w14:textId="77777777" w:rsidR="00CE1512" w:rsidRPr="00971587" w:rsidRDefault="00D6744C" w:rsidP="007A292A">
      <w:pPr>
        <w:pStyle w:val="NormalHanging12a"/>
      </w:pPr>
      <w:r w:rsidRPr="00971587">
        <w:t>ΙΗ.</w:t>
      </w:r>
      <w:r w:rsidRPr="00971587">
        <w:tab/>
        <w:t>λαμβάνοντας υπόψη ότι η θήρευση από αυτόχθονα είδη αποτελεί φυσικό μέρος του οικοσυστήματος της Βαλτικής· λαμβάνοντας υπόψη ότι τα επιστημονικά στοιχεία δείχνουν ότι ο αντίκτυπός τους στους πληθυσμούς ιχθύων είναι τοπικοποιημένος και εξαρτάται από το εκάστοτε πλαίσιο, ενώ οι συνολικές επιπτώσεις παραμένουν περιορισμένες·</w:t>
      </w:r>
    </w:p>
    <w:p w14:paraId="677CD882" w14:textId="77777777" w:rsidR="00100069" w:rsidRPr="00971587" w:rsidRDefault="00D6744C" w:rsidP="007A292A">
      <w:pPr>
        <w:pStyle w:val="NormalHanging12a"/>
      </w:pPr>
      <w:r w:rsidRPr="00971587">
        <w:t>ΙΘ.</w:t>
      </w:r>
      <w:r w:rsidRPr="00971587">
        <w:tab/>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(BALTFISH), μια ομάδα που στερείται διαφάνειας σε σύγκριση με άλλα προπαρασκευαστικά όργανα και ομάδες εργασίας της ΕΕ·</w:t>
      </w:r>
    </w:p>
    <w:p w14:paraId="3B8AF2AE" w14:textId="77777777" w:rsidR="00CE1512" w:rsidRPr="00971587" w:rsidRDefault="00D6744C" w:rsidP="00CE1512">
      <w:pPr>
        <w:pStyle w:val="NormalHanging12a"/>
        <w:rPr>
          <w:b/>
          <w:bCs/>
          <w:i/>
          <w:iCs/>
        </w:rPr>
      </w:pPr>
      <w:r w:rsidRPr="00971587">
        <w:rPr>
          <w:b/>
          <w:i/>
        </w:rPr>
        <w:t>Επείγουσες δράσεις</w:t>
      </w:r>
    </w:p>
    <w:p w14:paraId="5C8CD5ED" w14:textId="77777777" w:rsidR="00CE1512" w:rsidRPr="00971587" w:rsidRDefault="00D6744C" w:rsidP="00CE1512">
      <w:pPr>
        <w:pStyle w:val="NormalHanging12a"/>
      </w:pPr>
      <w:r w:rsidRPr="00971587">
        <w:t>1.</w:t>
      </w:r>
      <w:r w:rsidRPr="00971587">
        <w:tab/>
        <w:t>καλεί την Επιτροπή και το Συμβούλιο να χρησιμοποιήσουν όλα τα διαθέσιμα νομικά μέσα για να σταματήσουν κάθε περαιτέρω επιδείνωση που θα μπορούσε να προκαλέσει την πλήρη κατάρρευση των αλιευτικών αποθεμάτων της Βαλτικής Θάλασσας, μεταξύ άλλων χρησιμοποιώντας κατ’ εξουσιοδότηση πράξεις, κοινές συστάσεις και τα άρθρα 5 και 8 του κανονισμού για το πολυετές σχέδιο για τη Βαλτική, τις διατάξεις του άρθρου 12 της ΚΑΠ και πρωτοβουλίες των κρατών μελών μέσω των άρθρων 8, 11, 13, 17 και 20 της ΚΑΠ, είτε μονομερώς εί</w:t>
      </w:r>
      <w:r w:rsidRPr="00971587">
        <w:t>τε βάσει της περιφερειοποίησης μέσω του άρθρου 18·</w:t>
      </w:r>
    </w:p>
    <w:p w14:paraId="21F7C156" w14:textId="77777777" w:rsidR="00CE1512" w:rsidRPr="00971587" w:rsidRDefault="00D6744C" w:rsidP="00CE1512">
      <w:pPr>
        <w:pStyle w:val="NormalHanging12a"/>
      </w:pPr>
      <w:r w:rsidRPr="00971587">
        <w:t>2.</w:t>
      </w:r>
      <w:r w:rsidRPr="00971587">
        <w:tab/>
        <w:t>παροτρύνει την Επιτροπή να σταματήσει την προσέγγιση διατήρησης της υφιστάμενης κατάστασης όσον αφορά τη συνέχιση της αλιείας στη Βαλτική Θάλασσα και, αντ’ αυτού, να προχωρήσει σε μια φάση αποκατάστασης και ανασύστασης·</w:t>
      </w:r>
    </w:p>
    <w:p w14:paraId="38C0CAB9" w14:textId="77777777" w:rsidR="00CE1512" w:rsidRPr="00971587" w:rsidRDefault="00D6744C" w:rsidP="00CE1512">
      <w:pPr>
        <w:pStyle w:val="NormalHanging12a"/>
      </w:pPr>
      <w:r w:rsidRPr="00971587">
        <w:lastRenderedPageBreak/>
        <w:t>3.</w:t>
      </w:r>
      <w:r w:rsidRPr="00971587">
        <w:tab/>
        <w:t>ζητεί την επείγουσα εφαρμογή προληπτικών αποθεμάτων ασφαλείας ως απάντηση στην πρόσφατη, επαναλαμβανόμενη και διαρθρωτική υπερεκτίμηση του μεγέθους των αποθεμάτων και της παραγωγικότητας των περισσότερων ιχθυαποθεμάτων της Βαλτικής που έχουν οδηγήσει σε χρόνια μη ανιχνεύσιμης υπεραλίευσης· παροτρύνει το Συμβούλιο να καθορίσει τα TAC τουλάχιστον 50 % κάτω του F</w:t>
      </w:r>
      <w:r w:rsidRPr="00971587">
        <w:rPr>
          <w:vertAlign w:val="subscript"/>
        </w:rPr>
        <w:t xml:space="preserve">MSY </w:t>
      </w:r>
      <w:r w:rsidRPr="00971587">
        <w:t>για όλα τα αποθέματα που βρίσκονται κάτω από τα επίπεδα ενεργοποίησης που αναφέρονται στον κανονισμό για το πολυετές σχέδιο για τη Βαλτική·</w:t>
      </w:r>
    </w:p>
    <w:p w14:paraId="572DE3D0" w14:textId="77777777" w:rsidR="00CE1512" w:rsidRPr="00971587" w:rsidRDefault="00D6744C" w:rsidP="00DF09B3">
      <w:pPr>
        <w:pStyle w:val="NormalHanging12a"/>
      </w:pPr>
      <w:r w:rsidRPr="00971587">
        <w:t>4.</w:t>
      </w:r>
      <w:r w:rsidRPr="00971587">
        <w:tab/>
        <w:t>καλεί τα κράτη μέλη και την Επιτροπή να εξετάσουν το ενδεχόμενο θέσπισης μέτρων έκτακτης ανάγκης σύμφωνα με τα άρθρα 12 και 13 της ΚΑΠ και να προετοιμάσουν άμεσα τις απαραίτητες ενέργειες αναλύοντας το κόστος και τα οφέλη της απαγόρευσης της πλειονότητας της αλιείας, επισημαίνοντας τις απώλειες σε έσοδα, μέσα διαβίωσης, επισιτιστική ασφάλεια καθώς και το μελλοντικό κόστος της αδράνειας·</w:t>
      </w:r>
    </w:p>
    <w:p w14:paraId="16897CC7" w14:textId="77777777" w:rsidR="00CE1512" w:rsidRPr="00971587" w:rsidRDefault="00D6744C" w:rsidP="00DF09B3">
      <w:pPr>
        <w:pStyle w:val="NormalHanging12a"/>
      </w:pPr>
      <w:r w:rsidRPr="00971587">
        <w:t>5.</w:t>
      </w:r>
      <w:r w:rsidRPr="00971587">
        <w:tab/>
        <w:t>καλεί την Επιτροπή να καταρτίσει κατάλογο περαιτέρω διορθωτικών μέτρων, όπως επισημαίνεται στο άρθρο 5 του κανονισμού για το πολυετές σχέδιο για τη Βαλτική, τα οποία μπορούν να εφαρμοστούν βάσει των διατάξεων της ισχύουσας νομοθεσίας για την αποκατάσταση των αποθεμάτων που βρίσκονται επί του παρόντος σε κρίσιμα επίπεδα στη Βαλτική Θάλασσα·</w:t>
      </w:r>
    </w:p>
    <w:p w14:paraId="3384AC72" w14:textId="77777777" w:rsidR="00CE1512" w:rsidRPr="00971587" w:rsidRDefault="00D6744C" w:rsidP="00DF09B3">
      <w:pPr>
        <w:pStyle w:val="NormalHanging12a"/>
      </w:pPr>
      <w:r w:rsidRPr="00971587">
        <w:t>6.</w:t>
      </w:r>
      <w:r w:rsidRPr="00971587">
        <w:tab/>
        <w:t>επισημαίνει ότι τα εν λόγω διορθωτικά μέτρα πρέπει να περιλαμβάνουν τη δημιουργία περιοχών αποκατάστασης ιχθυαποθεμάτων και απαγόρευσης της αλιείας με έμφαση στις χειμερινές περιοχές συγκέντρωσης και στις περιοχές συγκέντρωσης προωοτοκίας, καθώς και στις περιοχές ωοτοκίας και αναπαραγωγής, σύμφωνα με τις διατάξεις του νομοθετήματος για την αποκατάσταση της φύσης·</w:t>
      </w:r>
    </w:p>
    <w:p w14:paraId="03D85634" w14:textId="77777777" w:rsidR="00CE1512" w:rsidRPr="00971587" w:rsidRDefault="00D6744C" w:rsidP="00DF09B3">
      <w:pPr>
        <w:pStyle w:val="NormalHanging12a"/>
      </w:pPr>
      <w:r w:rsidRPr="00971587">
        <w:t>7.</w:t>
      </w:r>
      <w:r w:rsidRPr="00971587">
        <w:tab/>
        <w:t>υπενθυμίζει στην Επιτροπή την ανάγκη διασφάλισης της αλιείας για ανθρώπινη κατανάλωση με περιορισμένες εκφορτώσεις, επιτρέποντας την εν λόγω αλιεία κατά τις φάσεις ανασύστασης, στηρίζοντας έτσι τη δίκαιη μετάβαση σε έναν αλιευτικό στόλο χαμηλών εκπομπών διοξειδίου του άνθρακα και χαμηλού αντικτύπου·</w:t>
      </w:r>
    </w:p>
    <w:p w14:paraId="1D6FB2A1" w14:textId="77777777" w:rsidR="00CE1512" w:rsidRPr="00971587" w:rsidRDefault="00D6744C" w:rsidP="00CE1512">
      <w:pPr>
        <w:pStyle w:val="NormalHanging12a"/>
        <w:rPr>
          <w:b/>
          <w:bCs/>
          <w:i/>
          <w:iCs/>
        </w:rPr>
      </w:pPr>
      <w:r w:rsidRPr="00971587">
        <w:rPr>
          <w:b/>
          <w:i/>
        </w:rPr>
        <w:t>Αλλαγή των επιστημονικών συμβουλών</w:t>
      </w:r>
    </w:p>
    <w:p w14:paraId="612484A2" w14:textId="77777777" w:rsidR="00CE1512" w:rsidRPr="00971587" w:rsidRDefault="00D6744C" w:rsidP="00DF09B3">
      <w:pPr>
        <w:pStyle w:val="NormalHanging12a"/>
      </w:pPr>
      <w:r w:rsidRPr="00971587">
        <w:t>8.</w:t>
      </w:r>
      <w:r w:rsidRPr="00971587">
        <w:tab/>
        <w:t>παροτρύνει την Επιτροπή να ζητήσει αμέσως από το ICES να αναπτύξει μια οικοσυστημική γνωμοδότηση που θα καλύπτει πληθώρα ειδών, θα λαμβάνει υπόψη την περιβαλλοντική αλλαγή, με σημεία αναφοράς με βάση το οικοσύστημα και θνησιμότητα λόγω αλιείας προσαρμοσμένη στο οικοσύστημα, καθώς και συμπληρωματικούς δείκτες που θα ευθυγραμμίζουν τον κανονισμό για το πολυετές σχέδιο για τη Βαλτική με τις απαιτήσεις της οδηγίας-πλαίσιο για τη θαλάσσια στρατηγική, για παράδειγμα με τη συμπερίληψη δεικτών μεγάλων ιχθύων·</w:t>
      </w:r>
    </w:p>
    <w:p w14:paraId="510112E4" w14:textId="77777777" w:rsidR="00CE1512" w:rsidRPr="00971587" w:rsidRDefault="00D6744C" w:rsidP="00DF09B3">
      <w:pPr>
        <w:pStyle w:val="NormalHanging12a"/>
      </w:pPr>
      <w:r w:rsidRPr="00971587">
        <w:t>9.</w:t>
      </w:r>
      <w:r w:rsidRPr="00971587">
        <w:tab/>
        <w:t>καλεί την Επιτροπή να ζητήσει από το ICES να προβλέψει προληπτικά αποθέματα ασφαλείας στην επιστημονική γνωμοδότηση και να καταργήσει κάθε χρήση εύρους τιμών άνω της ΜΒΑ, καθώς και να καταρτίσει γνωμοδότηση σχετικά με τον καθορισμό «ανώτατων ορίων οικοσυστήματος» που να περιορίζουν τη συνολική βιομάζα που μπορεί να αφαιρεθεί από ένα οικοσύστημα·</w:t>
      </w:r>
    </w:p>
    <w:p w14:paraId="313E9F14" w14:textId="77777777" w:rsidR="00CE1512" w:rsidRPr="00971587" w:rsidRDefault="00D6744C" w:rsidP="00DF09B3">
      <w:pPr>
        <w:pStyle w:val="NormalHanging12a"/>
      </w:pPr>
      <w:r w:rsidRPr="00971587">
        <w:t>10.</w:t>
      </w:r>
      <w:r w:rsidRPr="00971587">
        <w:tab/>
        <w:t>καλεί την Επιτροπή να απαιτήσει από όλες τις αξιολογήσεις αποθεμάτων να χρησιμοποιούν τα σημεία αναφοράς για τη βιομάζα B</w:t>
      </w:r>
      <w:r w:rsidRPr="00971587">
        <w:rPr>
          <w:vertAlign w:val="subscript"/>
        </w:rPr>
        <w:t>MSY</w:t>
      </w:r>
      <w:r w:rsidRPr="00971587">
        <w:t>, όπως αντικατοπτρίζονται στους στόχους του κανονισμού για το πολυετές σχέδιο για τη Βαλτική και την ΚΑΠ·</w:t>
      </w:r>
    </w:p>
    <w:p w14:paraId="4A698B78" w14:textId="77777777" w:rsidR="00CE1512" w:rsidRPr="00971587" w:rsidRDefault="00D6744C" w:rsidP="00DF09B3">
      <w:pPr>
        <w:pStyle w:val="NormalHanging12a"/>
      </w:pPr>
      <w:r w:rsidRPr="00971587">
        <w:lastRenderedPageBreak/>
        <w:t>11.</w:t>
      </w:r>
      <w:r w:rsidRPr="00971587">
        <w:tab/>
        <w:t>καλεί την Επιτροπή να ζητήσει επιστημονικές γνωμοδοτήσεις που να επισημαίνουν σαφώς τους κινδύνους που σχετίζονται με την τρέχουσα κατάσταση του περιβάλλοντος και την αυξημένη αβεβαιότητα λόγω της κλιματικής αλλαγής·</w:t>
      </w:r>
    </w:p>
    <w:p w14:paraId="4E186631" w14:textId="77777777" w:rsidR="00CE1512" w:rsidRPr="00971587" w:rsidRDefault="00D6744C" w:rsidP="00DF09B3">
      <w:pPr>
        <w:pStyle w:val="NormalHanging12a"/>
      </w:pPr>
      <w:r w:rsidRPr="00971587">
        <w:t>12.</w:t>
      </w:r>
      <w:r w:rsidRPr="00971587">
        <w:tab/>
        <w:t>καλεί την Επιτροπή να ζητήσει αναθεώρηση των ισχυόντων κανόνων ελέγχου της αλίευσης, αναγνωρίζοντας ότι πρόκειται για εσωτερική διαδικασία του ICES στον βαθμό που εξαρτάται από νέους νομοθετικούς κανόνες ή από την τροποποιημένη ερμηνεία των ισχυόντων κανόνων·</w:t>
      </w:r>
    </w:p>
    <w:p w14:paraId="19153959" w14:textId="77777777" w:rsidR="00CE1512" w:rsidRPr="00971587" w:rsidRDefault="00D6744C" w:rsidP="00DF09B3">
      <w:pPr>
        <w:pStyle w:val="NormalHanging12a"/>
      </w:pPr>
      <w:r w:rsidRPr="00971587">
        <w:t>13.</w:t>
      </w:r>
      <w:r w:rsidRPr="00971587">
        <w:tab/>
        <w:t xml:space="preserve">καλεί την Επιτροπή να ζητήσει από το ICES να καταρτίσει καθοδηγητικό σημείωμα για τα κράτη μέλη και την Επιτροπή σχετικά με τον τρόπο ερμηνείας των επιστημονικών </w:t>
      </w:r>
      <w:r w:rsidRPr="00971587">
        <w:t>γνωμοδοτήσεων ώστε να συνάδουν με την οικοσυστημική και την προληπτική προσέγγιση, με παράλληλη αποκατάσταση της ανθεκτικότητας της Βαλτικής Θάλασσας·</w:t>
      </w:r>
    </w:p>
    <w:p w14:paraId="5E45D31D" w14:textId="77777777" w:rsidR="00CE1512" w:rsidRPr="00971587" w:rsidRDefault="00D6744C" w:rsidP="007A292A">
      <w:pPr>
        <w:pStyle w:val="NormalHanging12a"/>
      </w:pPr>
      <w:r w:rsidRPr="00971587">
        <w:t>14.</w:t>
      </w:r>
      <w:r w:rsidRPr="00971587">
        <w:tab/>
        <w:t>καλεί την Επιτροπή να εξετάσει το ενδεχόμενο ανάπτυξης σαφών και διαφανών κανόνων για τον καθορισμό των TAC, στενά ευθυγραμμισμένων με τους στόχους του κανονισμού για το πολυετές σχέδιο για τη Βαλτική και σύμφωνα με μια νέα οικοσυστημική γνωμοδότηση που θα καλύπτει πληθώρα ειδών· ζητεί από το Συμβούλιο να δημοσιεύει ετήσιες εκθέσεις που να εξηγούν και να αιτιολογούν τις αποφάσεις για τα TAC και άλλα μέτρα, ώστε η διαδικασία καθορισμού των TAC και οι συζητήσεις στη BALTFISH να είναι ανοικτές και διαφανείς σ</w:t>
      </w:r>
      <w:r w:rsidRPr="00971587">
        <w:t>το ευρύ κοινό και τα κράτη μέλη να είναι υπόλογα για τις αποφάσεις τους·</w:t>
      </w:r>
    </w:p>
    <w:p w14:paraId="37C0D9D3" w14:textId="77777777" w:rsidR="00CE1512" w:rsidRPr="00971587" w:rsidRDefault="00D6744C" w:rsidP="00DF09B3">
      <w:pPr>
        <w:pStyle w:val="NormalHanging12a"/>
      </w:pPr>
      <w:r w:rsidRPr="00971587">
        <w:t>15.</w:t>
      </w:r>
      <w:r w:rsidRPr="00971587">
        <w:tab/>
        <w:t>καλεί τα κράτη μέλη και την Επιτροπή να βασίσουν οποιαδήποτε προσέγγιση σχετικά με τη φυσική θήρευση στην επιστήμη, δίνοντας προτεραιότητα σε προληπτικά, μη θανατηφόρα και στοχευμένα σε τοπικό επίπεδο μέτρα, και να διασφαλίσουν επαρκή παρακολούθηση, χρηματοδότηση και συνεργασία των ενδιαφερόμενων μερών για την εφαρμογή αποτελεσματικών πρακτικών μετριασμού·</w:t>
      </w:r>
    </w:p>
    <w:p w14:paraId="7C7148C4" w14:textId="77777777" w:rsidR="00CE1512" w:rsidRPr="00971587" w:rsidRDefault="00D6744C" w:rsidP="00CE1512">
      <w:pPr>
        <w:pStyle w:val="NormalHanging12a"/>
        <w:rPr>
          <w:b/>
          <w:bCs/>
          <w:i/>
          <w:iCs/>
        </w:rPr>
      </w:pPr>
      <w:r w:rsidRPr="00971587">
        <w:rPr>
          <w:b/>
          <w:i/>
        </w:rPr>
        <w:t>Νομικές αλλαγές</w:t>
      </w:r>
    </w:p>
    <w:p w14:paraId="21019498" w14:textId="77777777" w:rsidR="00CE1512" w:rsidRPr="00971587" w:rsidRDefault="00D6744C" w:rsidP="00CE1512">
      <w:pPr>
        <w:pStyle w:val="NormalHanging12a"/>
      </w:pPr>
      <w:r w:rsidRPr="00971587">
        <w:t>16.</w:t>
      </w:r>
      <w:r w:rsidRPr="00971587">
        <w:tab/>
        <w:t>παροτρύνει την Επιτροπή να δρομολογήσει αναθεώρηση του κανονισμού για το πολυετές σχέδιο για τη Βαλτική, ώστε να συμπεριληφθούν σημεία αναφοράς οικοσυστήματος (ERP) που να ορίζουν έναν «χώρο ασφαλούς εκμετάλλευσης» που ενσωματώνει την παραγωγικότητα, τις τροφικές σχέσεις, τη βιοποικιλότητα, τις επιπτώσεις στους οικοτόπους και την περιβαλλοντική ικανότητα, και παρέχει διασφαλίσεις που περιορίζουν τις υπερβολικά αισιόδοξες γνωμοδοτήσεις για μεμονωμένα αποθέματα· τονίζει ότι η αναθεώρηση πρέπει να περιλαμβάνε</w:t>
      </w:r>
      <w:r w:rsidRPr="00971587">
        <w:t>ι μηχανισμούς περιβαλλοντικής ανταπόκρισης που ενεργοποιούν δράσεις διαχείρισης οι οποίες απαιτούν μειωμένη αλιευτική πίεση σε όλα τα αποθέματα με στόχο την προστασία ολόκληρου του τροφικού δικτύου, εάν τα ERP σηματοδοτούν μείωση της συνολικής παραγωγικότητας του οικοσυστήματος·</w:t>
      </w:r>
    </w:p>
    <w:p w14:paraId="54AE5BC4" w14:textId="77777777" w:rsidR="00CE1512" w:rsidRPr="00971587" w:rsidRDefault="00D6744C" w:rsidP="00CE1512">
      <w:pPr>
        <w:pStyle w:val="NormalHanging12a"/>
      </w:pPr>
      <w:r w:rsidRPr="00971587">
        <w:t>17.</w:t>
      </w:r>
      <w:r w:rsidRPr="00971587">
        <w:tab/>
        <w:t xml:space="preserve">καλεί την Επιτροπή να δημιουργήσει μια ομάδα διαχείρισης του οικοσυστήματος της Βαλτικής Θάλασσας που θα ενσωματώνει την </w:t>
      </w:r>
      <w:r w:rsidRPr="00971587">
        <w:t>εμπειρογνωσία της HELCOM και του ICES, και να δημιουργήσει μια μόνιμη συμβουλευτική πλατφόρμα ενδιαφερόμενων μερών που θα αποτελείται πρωτίστως από τοπικούς παράγοντες σε παράκτιες κοινότητες, όπως οι επαγγελματίες αλιείς, οι ερασιτέχνες αλιείς, τα ενδιαφερόμενα μέρη του τομέα του τουρισμού, οι μη κυβερνητικές οργανώσεις και οι τοπικές αρχές, προκειμένου να συμβάλλουν στις αποφάσεις για τα TAC και σε άλλα μέτρα·</w:t>
      </w:r>
    </w:p>
    <w:p w14:paraId="40035228" w14:textId="77777777" w:rsidR="00CE1512" w:rsidRPr="00971587" w:rsidRDefault="00D6744C" w:rsidP="00CE1512">
      <w:pPr>
        <w:pStyle w:val="NormalHanging12a"/>
      </w:pPr>
      <w:r w:rsidRPr="00971587">
        <w:lastRenderedPageBreak/>
        <w:t>18.</w:t>
      </w:r>
      <w:r w:rsidRPr="00971587">
        <w:tab/>
        <w:t>καλεί την Επιτροπή να αποσαφηνίσει και να καθορίσει κανόνες για αποδεκτά επίπεδα κινδύνου και χρονοδιαγράμματα σε σχέση με τις δεσμεύσεις για την ανασύσταση των αποθεμάτων, την αποκατάσταση της φύσης και τη διατήρηση υγιών οικοσυστημάτων·</w:t>
      </w:r>
    </w:p>
    <w:p w14:paraId="5A73AE35" w14:textId="77777777" w:rsidR="00CE1512" w:rsidRPr="00971587" w:rsidRDefault="00D6744C" w:rsidP="00CE1512">
      <w:pPr>
        <w:pStyle w:val="NormalHanging12a"/>
      </w:pPr>
      <w:r w:rsidRPr="00971587">
        <w:t>19.</w:t>
      </w:r>
      <w:r w:rsidRPr="00971587">
        <w:tab/>
        <w:t>καλεί την Επιτροπή και το Συμβούλιο να εξετάσουν νομικά δεσμευτικούς κανόνες για δράσεις που πρέπει να αναλαμβάνονται αυτόματα όταν τα αποθέματα πέφτουν κάτω από τις τιμές ενεργοποίησης που καθορίζονται σύμφωνα με την προληπτική προσέγγιση, ευθυγραμμίζοντας την ΕΕ με περιοχές με καλύτερη διαχείριση, όπως αυτές της Αυστραλίας, της Νέας Ζηλανδίας, του Καναδά και των Ηνωμένων Πολιτειών·</w:t>
      </w:r>
    </w:p>
    <w:p w14:paraId="22EF13C1" w14:textId="77777777" w:rsidR="00CE1512" w:rsidRPr="00971587" w:rsidRDefault="00D6744C" w:rsidP="00DF09B3">
      <w:pPr>
        <w:pStyle w:val="NormalHanging12a"/>
      </w:pPr>
      <w:r w:rsidRPr="00971587">
        <w:t>20.</w:t>
      </w:r>
      <w:r w:rsidRPr="00971587">
        <w:tab/>
      </w:r>
      <w:bookmarkStart w:id="2" w:name="_Hlk212109517"/>
      <w:r w:rsidRPr="00971587">
        <w:t>καλεί την Επιτροπή και το Συμβούλιο να επαναφέρουν την απαγόρευση της αλιείας για μη ανθρώπινη κατανάλωση που ίσχυε έως το 1995, όταν αρχικά επιτρέπονταν εξαιρέσεις μόνο «υπό την προϋπόθεση ότι η εν λόγω αλιεία δεν συνεπάγεται κίνδυνο για ανεπανόρθωτη οικολογική ζημία</w:t>
      </w:r>
      <w:bookmarkEnd w:id="2"/>
      <w:r w:rsidRPr="00971587">
        <w:t>»·</w:t>
      </w:r>
    </w:p>
    <w:p w14:paraId="48D58730" w14:textId="77777777" w:rsidR="00100069" w:rsidRPr="00971587" w:rsidRDefault="00D6744C" w:rsidP="00CE1512">
      <w:pPr>
        <w:pStyle w:val="NormalHanging12a"/>
      </w:pPr>
      <w:r w:rsidRPr="00971587">
        <w:t>21.</w:t>
      </w:r>
      <w:r w:rsidRPr="00971587">
        <w:tab/>
        <w:t>καλεί την Επιτροπή και το Συμβούλιο να προτείνουν μορατόριουμ για τη βιομηχανική αλιεία με τράτες και την ανάσχεση όλων των τύπων αλιείας με τράτες βυθού σε παράκτιες και αβαθείς ζώνες και σε όλους τους τύπους προστατευόμενων θαλάσσιων περιοχών έως ότου αναπτυχθούν τέτοιοι νομικοί κανόνες και κριτήρια·</w:t>
      </w:r>
    </w:p>
    <w:p w14:paraId="42B01F7E" w14:textId="77777777" w:rsidR="005A50D0" w:rsidRPr="00971587" w:rsidRDefault="00D6744C" w:rsidP="005A50D0">
      <w:pPr>
        <w:pStyle w:val="NormalHanging12a"/>
        <w:jc w:val="center"/>
      </w:pPr>
      <w:r w:rsidRPr="00971587">
        <w:t>°</w:t>
      </w:r>
    </w:p>
    <w:p w14:paraId="79B5038E" w14:textId="77777777" w:rsidR="005A50D0" w:rsidRPr="00971587" w:rsidRDefault="00D6744C" w:rsidP="0097310C">
      <w:pPr>
        <w:pStyle w:val="NormalHanging12a"/>
        <w:jc w:val="center"/>
      </w:pPr>
      <w:r w:rsidRPr="00971587">
        <w:t>°</w:t>
      </w:r>
      <w:r w:rsidRPr="00971587">
        <w:tab/>
        <w:t>°</w:t>
      </w:r>
    </w:p>
    <w:p w14:paraId="3056562C" w14:textId="77777777" w:rsidR="00100069" w:rsidRPr="00971587" w:rsidRDefault="00D6744C">
      <w:pPr>
        <w:pStyle w:val="NormalHanging12a"/>
      </w:pPr>
      <w:r w:rsidRPr="00971587">
        <w:t>22.</w:t>
      </w:r>
      <w:r w:rsidRPr="00971587">
        <w:tab/>
        <w:t>αναθέτει στην Πρόεδρό του να διαβιβάσει το παρόν ψήφισμα στο Συμβούλιο και στην Επιτροπή.</w:t>
      </w:r>
    </w:p>
    <w:p w14:paraId="7B34ABED" w14:textId="77777777" w:rsidR="00276B35" w:rsidRPr="00971587" w:rsidRDefault="00276B35" w:rsidP="00F3651F">
      <w:pPr>
        <w:sectPr w:rsidR="00276B35" w:rsidRPr="00971587" w:rsidSect="009715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EB48A0D" w14:textId="77777777" w:rsidR="00276B35" w:rsidRPr="00971587" w:rsidRDefault="00D6744C" w:rsidP="00276B35">
      <w:pPr>
        <w:pStyle w:val="PageHeading"/>
      </w:pPr>
      <w:bookmarkStart w:id="3" w:name="_Toc213060957"/>
      <w:r w:rsidRPr="00971587">
        <w:lastRenderedPageBreak/>
        <w:t>ΑΙΤΙΟΛΟΓΙΚΗ ΕΚΘΕΣΗ</w:t>
      </w:r>
      <w:bookmarkEnd w:id="3"/>
    </w:p>
    <w:p w14:paraId="5F20DE60" w14:textId="77777777" w:rsidR="002C7053" w:rsidRPr="00971587" w:rsidRDefault="00D6744C" w:rsidP="002C7053">
      <w:pPr>
        <w:pStyle w:val="Normal12a"/>
      </w:pPr>
      <w:r w:rsidRPr="00971587">
        <w:t>Η Βαλτική Θάλασσα διέρχεται κρίση και πρέπει να γίνουν επειγόντως αλλαγές στον τρόπο με τον οποίο αντιμετωπίζουμε αυτή τη θαλάσσια λεκάνη. Βραχυπρόθεσμα, δεν έχει σημασία αν υπάρχουν ή όχι επαρκείς κανόνες, διότι η Βαλτική Θάλασσα δεν μπορεί να περιμένει την επικαιροποίηση ή τη θέσπιση νέων κανόνων. Κατά την υπουργική σύνοδο «Η Βαλτική μας» στη Στοκχόλμη τον Σεπτέμβριο του 2025, ο εκτελεστικός γραμματέας της HELCOM τόνισε:</w:t>
      </w:r>
    </w:p>
    <w:p w14:paraId="0AFFF7EC" w14:textId="77777777" w:rsidR="002C7053" w:rsidRPr="00971587" w:rsidRDefault="00D6744C" w:rsidP="002C7053">
      <w:pPr>
        <w:pStyle w:val="Normal12a"/>
        <w:rPr>
          <w:i/>
          <w:iCs/>
        </w:rPr>
      </w:pPr>
      <w:r w:rsidRPr="00971587">
        <w:rPr>
          <w:i/>
        </w:rPr>
        <w:t>Εάν η θάλασσα μας ήταν άνθρωπος ασθενής, θα βρισκόταν σε κρίσιμη κατάσταση, με την επιβίωσή του να είναι δυνατή αλλά όχι εγγυημένη. Ένας ασθενής που χρήζει εντατικής θεραπείας, η οποία απαιτεί άμεσες και συνεχείς προσπάθειες από πλευράς ικανών και καταρτισμένων ιατρών, με την επιτυχία να εξαρτάται από την έγκαιρη χορήγηση των καλύτερων, προηγμένων θεραπειών.</w:t>
      </w:r>
    </w:p>
    <w:p w14:paraId="18D6D38E" w14:textId="77777777" w:rsidR="002C7053" w:rsidRPr="00971587" w:rsidRDefault="00D6744C" w:rsidP="002C7053">
      <w:pPr>
        <w:pStyle w:val="Normal12a"/>
      </w:pPr>
      <w:r w:rsidRPr="00971587">
        <w:t>Η παρούσα έκθεση ζητεί την άμεση ανάληψη δράσης και προτείνει επίσης σημαντικές αλλαγές με πιο μακροπρόθεσμη προοπτική. Ωστόσο, η ανάγκη για επείγουσα θεραπεία αυτού του «ασθενούς», της Βαλτικής Θάλασσας, δεν είναι κάτι που πρέπει να συζητηθεί, αλλά απαιτεί την άμεση ανάληψη δράσης με τα δεδομένα που έχουμε ήδη.</w:t>
      </w:r>
    </w:p>
    <w:p w14:paraId="047EB89E" w14:textId="77777777" w:rsidR="002C7053" w:rsidRPr="00971587" w:rsidRDefault="00D6744C" w:rsidP="002C7053">
      <w:pPr>
        <w:pStyle w:val="Normal12a"/>
      </w:pPr>
      <w:r w:rsidRPr="00971587">
        <w:t>Η παρούσα πρόταση δεν αποτελεί ούτε έκκληση για σταδιακά αυξανόμενες προσαρμογές. Συνιστά έκκληση για την αναγκαία και επείγουσα διόρθωση της συστημικής ρυθμιστικής αστοχίας. Εάν ληφθούν τα απαιτούμενα μέτρα, οι αλλαγές αυτές θα προσφέρουν μια βιώσιμη πορεία προς την οικολογική αποκατάσταση, την αύξηση του εισοδήματος για τους παράκτιους αλιείς, την ενίσχυση της επισιτιστικής ασφάλειας, καθώς και τη συμμόρφωση με τη νομοθεσία της ΕΕ.</w:t>
      </w:r>
    </w:p>
    <w:p w14:paraId="0C7D4A90" w14:textId="77777777" w:rsidR="002C7053" w:rsidRPr="00971587" w:rsidRDefault="00D6744C" w:rsidP="002C7053">
      <w:pPr>
        <w:pStyle w:val="Normal12a"/>
      </w:pPr>
      <w:r w:rsidRPr="00971587">
        <w:t xml:space="preserve">Οι προτεινόμενες δράσεις στην παρούσα </w:t>
      </w:r>
      <w:r w:rsidRPr="00971587">
        <w:t>πρόταση θα πρέπει να εκλαμβάνονται ως τρία χωριστά μέρη με διαφορετικά χρονοδιαγράμματα:</w:t>
      </w:r>
    </w:p>
    <w:p w14:paraId="3DA21C87" w14:textId="77777777" w:rsidR="002C7053" w:rsidRPr="00971587" w:rsidRDefault="00D6744C" w:rsidP="00D55094">
      <w:pPr>
        <w:pStyle w:val="Normal12a"/>
      </w:pPr>
      <w:r w:rsidRPr="00971587">
        <w:t>1.</w:t>
      </w:r>
      <w:r w:rsidRPr="00971587">
        <w:tab/>
        <w:t>άμεσες δράσεις που μπορούν να αναληφθούν εντός των υφιστάμενων πλαισίων·</w:t>
      </w:r>
    </w:p>
    <w:p w14:paraId="0F2D32F3" w14:textId="77777777" w:rsidR="002C7053" w:rsidRPr="00971587" w:rsidRDefault="00D6744C" w:rsidP="00D55094">
      <w:pPr>
        <w:pStyle w:val="Normal12a"/>
      </w:pPr>
      <w:r w:rsidRPr="00971587">
        <w:t>2.</w:t>
      </w:r>
      <w:r w:rsidRPr="00971587">
        <w:tab/>
        <w:t>αναγκαία μέτρα για την ανάπτυξη κατάλληλων επιστημονικών γνωμοδοτήσεων και σημείων αναφοράς για τα οικοσυστήματα·</w:t>
      </w:r>
    </w:p>
    <w:p w14:paraId="540847D4" w14:textId="77777777" w:rsidR="002C7053" w:rsidRPr="00971587" w:rsidRDefault="00D6744C" w:rsidP="00D55094">
      <w:pPr>
        <w:pStyle w:val="Normal12a"/>
      </w:pPr>
      <w:r w:rsidRPr="00971587">
        <w:t>3.</w:t>
      </w:r>
      <w:r w:rsidRPr="00971587">
        <w:tab/>
        <w:t>προτάσεις για μια νέα προσέγγιση όσον αφορά τη διαχείριση της Βαλτικής, η οποία θα απαιτήσει νομικές αλλαγές στο πολυετές σχέδιο.</w:t>
      </w:r>
    </w:p>
    <w:p w14:paraId="5CB868A8" w14:textId="77777777" w:rsidR="002C7053" w:rsidRPr="00971587" w:rsidRDefault="00D6744C" w:rsidP="002C7053">
      <w:pPr>
        <w:pStyle w:val="Normal12a"/>
        <w:rPr>
          <w:b/>
          <w:bCs/>
        </w:rPr>
      </w:pPr>
      <w:r w:rsidRPr="00971587">
        <w:rPr>
          <w:b/>
        </w:rPr>
        <w:t>Επαναπροσδιορισμός του οικοσυστήματος με επείγουσες δράσεις</w:t>
      </w:r>
    </w:p>
    <w:p w14:paraId="2993CA4D" w14:textId="77777777" w:rsidR="002C7053" w:rsidRPr="00971587" w:rsidRDefault="00D6744C" w:rsidP="002C7053">
      <w:pPr>
        <w:pStyle w:val="Normal12a"/>
      </w:pPr>
      <w:r w:rsidRPr="00971587">
        <w:t>Είναι σαφές ότι το οικοσύστημα της Βαλτικής χρειάζεται επαναπροσδιορισμό και η διατήρηση της υφιστάμενης κατάστασης δεν είναι αποδεκτή. Η αλιεία που προορίζεται σε μεγάλο βαθμό για την παραγωγή ιχθυάλευρων για εκτροφεία σολομού και βιζόν δεν αποτελεί επαρκή λόγο για να τεθούν σε κίνδυνο οι οικοσυστημικές υπηρεσίες μιας υγιούς Βαλτικής Θάλασσας για το μέλλον. Ο κάποτε σε αφθονία γάδος της Βαλτικής μειώθηκε ραγδαία και η βιομάζα των εμπορικών ιχθυοαποθεμάτων βρίσκεται σήμερα σε ιστορικά χαμηλά επίπεδα, αντιπρ</w:t>
      </w:r>
      <w:r w:rsidRPr="00971587">
        <w:t xml:space="preserve">οσωπεύοντας ένα μικρό ποσοστό αυτού που η Βαλτική Θάλασσα θα μπορούσε να παράγει σε μη αλιευόμενη κατάσταση. Η θάλασσα αυτή χρειάζεται μια πορεία προς την αποκατάσταση, υποβοηθούμενη από σαφώς διατυπωμένους στόχους σχετικά με το τι συνιστά ασφαλή επίπεδα ιχθύων καθώς και σχετικά με την κατανομή του μεγέθους και της ηλικίας τους, και με πλήρη ενσωμάτωση άλλων ευρέως γνωστών παραμέτρων του οικοσυστήματος. </w:t>
      </w:r>
      <w:r w:rsidRPr="00971587">
        <w:lastRenderedPageBreak/>
        <w:t>Ο βιοχειρισμός σε κλίμακα θαλάσσιας λεκάνης πρέπει να σταματήσει. Αντ’ αυτού, η Βαλτική Θάλασσα θα πρέπει</w:t>
      </w:r>
      <w:r w:rsidRPr="00971587">
        <w:t xml:space="preserve"> να μετατραπεί σε πιλοτική περιοχή για μια νέα ολιστική διαχείριση του οικοσυστήματος, δίνοντας προτεραιότητα στην αλιεία για ανθρώπινη κατανάλωση με χαμηλό αντίκτυπο, και για νέες επιστημονικές προσεγγίσεις.</w:t>
      </w:r>
    </w:p>
    <w:p w14:paraId="25C4BA93" w14:textId="77777777" w:rsidR="002C7053" w:rsidRPr="00971587" w:rsidRDefault="00D6744C" w:rsidP="002C7053">
      <w:pPr>
        <w:pStyle w:val="Normal12a"/>
      </w:pPr>
      <w:r w:rsidRPr="00971587">
        <w:t>Ο καθορισμός στόχων βιομάζας πολύ υψηλότερων από εκείνους που χρησιμοποιούνται επί του παρόντος είναι ο ταχύτερος τρόπος να διασφαλιστεί ένα περιθώριο ασφαλείας για αλλαγές σε σχέση με τον ευτροφισμό, τη ρύπανση και την αύξηση της θερμοκρασίας των υδάτων, και για ό,τι συνεπάγονται αναφορικά με την αβεβαιότητα στην ανάπτυξη των ιχθυαποθεμάτων. Αυτό μπορεί και πρέπει να υλοποιηθεί άμεσα χρησιμοποιώντας όλα τα υφιστάμενα εργαλεία και τους ισχύοντες κανόνες. Είναι πιθανόν να χρειαστούν μειώσεις των σημερινών επ</w:t>
      </w:r>
      <w:r w:rsidRPr="00971587">
        <w:t>ιπέδων TAC για αρκετά χρόνια, αλλά τελικά η αποκατάσταση του οικοσυστήματος, το οποίο θα είναι ανθεκτικότερο, θα αποφέρει τεράστια οφέλη στις παράκτιες αλιευτικές κοινότητες και στους πολίτες μας.</w:t>
      </w:r>
    </w:p>
    <w:p w14:paraId="073661A3" w14:textId="77777777" w:rsidR="002C7053" w:rsidRPr="00971587" w:rsidRDefault="00D6744C" w:rsidP="002C7053">
      <w:pPr>
        <w:pStyle w:val="Normal12a"/>
      </w:pPr>
      <w:r w:rsidRPr="00971587">
        <w:t>Η ενίσχυση της βιομάζας των εμπορικών ιχθυαποθεμάτων στη Βαλτική Θάλασσα είναι επίσης απαραίτητη για την ανθεκτικότητα ολόκληρου του οικοσυστήματος, ιδιαίτερα σημαντική σε ένα ταχέως μεταβαλλόμενο κλίμα. Ο ωκεανός αποτελεί σημαντική καταβόθρα άνθρακα, δεσμεύοντας σχεδόν το ένα τρίτο του συνόλου των εκπομπών CO2 που προκαλούμε. Οι υγιείς πληθυσμοί άγριων ιχθύων είναι καίριας σημασίας για τη διατήρηση της ικανότητας της θάλασσας να δεσμεύει άνθρακα και είναι ζωτικής σημασίας για τη σταθεροποίηση ολόκληρου του</w:t>
      </w:r>
      <w:r w:rsidRPr="00971587">
        <w:t xml:space="preserve"> τροφικού δικτύου.</w:t>
      </w:r>
    </w:p>
    <w:p w14:paraId="4C4C6196" w14:textId="77777777" w:rsidR="002C7053" w:rsidRPr="00971587" w:rsidRDefault="00D6744C" w:rsidP="002C7053">
      <w:pPr>
        <w:pStyle w:val="Normal12a"/>
      </w:pPr>
      <w:r w:rsidRPr="00971587">
        <w:t>Μια ισχυρή βιομάζα ιχθύων θα διασφαλίσει επίσης την επισιτιστική ασφάλεια σε περιόδους γεωπολιτικής αστάθειας. Θα συμβάλει επίσης σε καθαρότερα και πιο διαυγή ύδατα, στη μείωση του επιπολασμού των μικροφυκών και στην αποκατάσταση της υγείας των παράκτιων οικοσυστημάτων.</w:t>
      </w:r>
    </w:p>
    <w:p w14:paraId="29489A40" w14:textId="77777777" w:rsidR="002C7053" w:rsidRPr="00971587" w:rsidRDefault="00D6744C" w:rsidP="002C7053">
      <w:pPr>
        <w:pStyle w:val="Normal12a"/>
      </w:pPr>
      <w:r w:rsidRPr="00971587">
        <w:t>Από οικονομική άποψη, τα ισχυρότερα ιχθυαποθέματα θα σταθεροποιήσουν επίσης την αλιεία, διασφαλίζοντας πιο προβλέψιμα αλιεύματα με την πάροδο του χρόνου, μειώνοντας έτσι την ευπάθεια των αλιέων και των παράκτιων κοινοτήτων. Θα συνεπάγεται επίσης μείωση του χρόνου που δαπανάται στην αλιεία, μειώνοντας τη χρήση καυσίμων και, κατ’ αυτόν τον τρόπο, θα προλειάνει επίσης το έδαφος για μια ομαλότερη πράσινη και δίκαιη μετάβαση, χωρίς εξάρτηση από τα ορυκτά καύσιμα.</w:t>
      </w:r>
    </w:p>
    <w:p w14:paraId="61524C29" w14:textId="77777777" w:rsidR="002C7053" w:rsidRPr="00971587" w:rsidRDefault="00D6744C" w:rsidP="002C7053">
      <w:pPr>
        <w:pStyle w:val="Normal12a"/>
        <w:rPr>
          <w:b/>
          <w:bCs/>
        </w:rPr>
      </w:pPr>
      <w:r w:rsidRPr="00971587">
        <w:rPr>
          <w:b/>
        </w:rPr>
        <w:t>Νέα επιστημονική υποστήριξη και επιστημονικές γνωμοδοτήσεις σε έναν μεταβαλλόμενο κόσμο</w:t>
      </w:r>
    </w:p>
    <w:p w14:paraId="2D40A29A" w14:textId="77777777" w:rsidR="002C7053" w:rsidRPr="00971587" w:rsidRDefault="00D6744C" w:rsidP="002C7053">
      <w:pPr>
        <w:pStyle w:val="Normal12a"/>
      </w:pPr>
      <w:r w:rsidRPr="00971587">
        <w:t xml:space="preserve">Το σύστημα σχεδιασμού και ανάπτυξης επιστημονικών </w:t>
      </w:r>
      <w:r w:rsidRPr="00971587">
        <w:t>γνωμοδοτήσεων χρειάζεται μεταρρύθμιση. Το ICES παρέχει πολύτιμες αξιολογήσεις αποθεμάτων και επισημαίνει τις αβεβαιότητες, αλλά δεν εφαρμόζει προληπτικά αποθέματα ασφαλείας. Την ευθύνη αυτή φέρουν τα διευθυντικά στελέχη που έχουν επιλέξει επανειλημμένα να λαμβάνουν αποφάσεις που μπορούν να ενέχουν κινδύνους. Η Ευρωπαϊκή Επιτροπή πρέπει, συνεπώς, να απαιτήσει από το ICES να παράσχει σαφέστερες περιλήψεις των κινδύνων, των αβεβαιοτήτων και των βασικών ζητημάτων που είναι σημαντικά για κάθε γνωμοδότηση. Επιπλέ</w:t>
      </w:r>
      <w:r w:rsidRPr="00971587">
        <w:t>ον, οι αξιολογήσεις μεμονωμένων ειδών δεν μπορούν πλέον να θεωρούνται επαρκείς όταν είναι προφανές ότι υπάρχουν επιπτώσεις σε ολόκληρο το οικοσύστημα. Οι γνωμοδοτήσεις πρέπει να εξελιχθούν προς μια πραγματικά βασισμένη στο οικοσύστημα προσέγγιση.</w:t>
      </w:r>
    </w:p>
    <w:p w14:paraId="23AAC264" w14:textId="77777777" w:rsidR="002C7053" w:rsidRPr="00971587" w:rsidRDefault="00D6744C" w:rsidP="002C7053">
      <w:pPr>
        <w:pStyle w:val="Normal12a"/>
      </w:pPr>
      <w:r w:rsidRPr="00971587">
        <w:t xml:space="preserve">Η αλλαγή αυτή δεν είναι προαιρετική. Η διαχείριση της αλιείας προσεγγίζει επί μακρόν τα είδη κατά μεμονωμένο τρόπο, αγνοώντας τον ρόλο τους στα ευρύτερα οικοσυστήματα, </w:t>
      </w:r>
      <w:r w:rsidRPr="00971587">
        <w:lastRenderedPageBreak/>
        <w:t>παρόλο που τόσο η ΟΠΘΣ όσο και η ΚΑΠ (από το 2013) κατοχυρώνουν μια οικοσυστημική προσέγγιση. Τα πτηνά, τα θηλαστικά και τα μη στοχευόμενα είδη ιχθύων εξαρτώνται από τους ίδιους πόρους και οι ανάγκες τους πρέπει να αντικατοπτρίζονται στον καθορισμό των ποσοστώσεων. Οι υγιείς και ποικίλοι πληθυσμοί ιχθύων είναι απαραίτητοι όχι μόνο για τη θαλάσσια βιοποικιλότητα, αλλά και για την επισιτιστική ασφάλεια υπό κλιματικές πιέσεις, τόσο για τον άνθρωπο όσο και για άλλα είδη που ζουν στη Βαλτική Θάλασσα.</w:t>
      </w:r>
    </w:p>
    <w:p w14:paraId="68F04500" w14:textId="77777777" w:rsidR="002C7053" w:rsidRPr="00971587" w:rsidRDefault="00D6744C" w:rsidP="002C7053">
      <w:pPr>
        <w:pStyle w:val="Normal12a"/>
      </w:pPr>
      <w:r w:rsidRPr="00971587">
        <w:t>Από επιστημονικής απόψεως, οι μεγαλύτεροι και πιο ισορροπημένοι πληθυσμοί θα επιτρέψουν πιο ασφαλείς και πιο ακριβείς αξιολογήσεις τόσο των αναγκών των οικοσυστημάτων όσο και των επιπέδων βιομάζας, αποτρέποντας έτσι τον τρέχοντα κύκλο καθορισμού ποσοστώσεων που διατηρεί τα αποθέματα κοντά στα όρια κατάρρευσης των αποθεμάτων. Με τη μείωση της πολυπλοκότητας των μικτών τύπων αλιείας, όπου οι ασθενέστερες συνιστώσες του αποθέματος προκαλούν τη μείωση των ποσοστώσεων και περιορίζουν τον τομέα, μια πιο υγιής βιο</w:t>
      </w:r>
      <w:r w:rsidRPr="00971587">
        <w:t>μάζα θα εξασφαλίσει επίσης ένα μέλλον για τους παράκτιους αλιείς μικρής κλίμακας, οι οποίοι σήμερα δεν μπορούν καν να αλιεύσουν τις ποσοστώσεις που τους έχουν κατανεμηθεί. Τέλος, η ενίσχυση των αποθεμάτων θα εξομαλύνει τις συγκρούσεις με τους φυσικούς θηρευτές, μειώνοντας τον ανταγωνισμό για τους σπάνιους πόρους.</w:t>
      </w:r>
    </w:p>
    <w:p w14:paraId="64940690" w14:textId="77777777" w:rsidR="002C7053" w:rsidRPr="00971587" w:rsidRDefault="00D6744C" w:rsidP="002C7053">
      <w:pPr>
        <w:pStyle w:val="Normal12a"/>
        <w:rPr>
          <w:b/>
          <w:bCs/>
        </w:rPr>
      </w:pPr>
      <w:r w:rsidRPr="00971587">
        <w:rPr>
          <w:b/>
        </w:rPr>
        <w:t>Ένα κατακερματισμένο νομικό θαλάσσιο τοπίο</w:t>
      </w:r>
    </w:p>
    <w:p w14:paraId="1DCC9BEE" w14:textId="77777777" w:rsidR="002C7053" w:rsidRPr="00971587" w:rsidRDefault="00D6744C" w:rsidP="002C7053">
      <w:pPr>
        <w:pStyle w:val="Normal12a"/>
      </w:pPr>
      <w:r w:rsidRPr="00971587">
        <w:t>Ένα βασικό ζήτημα είναι η νομική ασάφεια που περιβάλλει το πολυετές σχέδιο και τη σχέση του με την οδηγία-πλαίσιο για τη θαλάσσια στρατηγική (ΟΠΘΣ), την Κοινή Αλιευτική Πολιτική (ΚΑΠ) και τις εθνικές υποχρεώσεις. Το πολυετές σχέδιο συνδέεται άμεσα με την ΟΠΘΣ, η οποία υποχρεώνει την αλιεία να αποτρέπει την υποβάθμιση των οικοσυστημάτων και να διαφυλάσσει τη βιοποικιλότητα, τα τροφικά δίκτυα και τη δομή των ιχθυαποθεμάτων, καθώς και την κατανομή ανά ηλικία και μέγεθος. Ωστόσο, στην πράξη, οι απαιτήσεις αυτές</w:t>
      </w:r>
      <w:r w:rsidRPr="00971587">
        <w:t xml:space="preserve"> αντιμετωπίζονται πιο πολύ ως φιλοδοξίες παρά ως δεσμεύσεις. Ως εκ τούτου, η ιεράρχηση και η αλληλεπίδραση μεταξύ του πολυετούς σχεδίου, της ΟΠΘΣ, της ΚΑΠ και των εθνικών μέτρων πρέπει να αποσαφηνιστούν, ώστε να υπάρχουν κανονιστική συνοχή και εκτελεστά αποτελέσματα και όχι στόχοι διακριτικής ευχέρειας.</w:t>
      </w:r>
    </w:p>
    <w:p w14:paraId="4D86B63A" w14:textId="77777777" w:rsidR="002C7053" w:rsidRPr="00971587" w:rsidRDefault="00D6744C" w:rsidP="002C7053">
      <w:pPr>
        <w:pStyle w:val="Normal12a"/>
      </w:pPr>
      <w:r w:rsidRPr="00971587">
        <w:t xml:space="preserve">Παρά τις καλές προθέσεις, το πολυετές σχέδιο διαχείρισης για τη Βαλτική Θάλασσα δεν κατέστησε δυνατή την επίτευξη βιώσιμης αλιείας. Με εξαίρεση τη ρέγγα στον κόλπο της Ρίγας, και σε κάποιο βαθμό το απόθεμα ευρωπαϊκής χωματίδας, τα περισσότερα εμπορικά ιχθυαποθέματα βρίσκονται σε μείωση ή έχουν ήδη καταρρεύσει. Η δήλωση αυτή υποστηρίζεται από την επιστημονική γνωμοδότηση του ICES, την ολιστική επανεξέταση της HELCOM του 2023 και τις βασικές μελέτες που υποβλήθηκαν στην επιτροπή PECH. Το πρόβλημα δεν είναι η </w:t>
      </w:r>
      <w:r w:rsidRPr="00971587">
        <w:t>παράνομη αλιεία, αλλά η συστημική υπεραλίευση εντός των ορίων των συνολικών επιτρεπόμενων αλιευμάτων (TAC) που έχουν συμφωνηθεί σε πολιτικό επίπεδο. Μολονότι το Ευρωπαϊκό Κοινοβούλιο είναι συννομοθέτης, μέχρι στιγμής δεν έχει στείλει ισχυρά μηνύματα αποδοκιμασίας στο Συμβούλιο. Στην παρούσα έκθεση υποστηρίζεται ότι τα μηνύματα αυτά είναι πλέον απαραίτητα. Ο βασικός στόχος του πολυετούς σχεδίου για τη διατήρηση των αλιευόμενων ειδών πάνω από τα επίπεδα τα οποία μπορούν να εξασφαλίσουν τη μέγιστη βιώσιμη απόδ</w:t>
      </w:r>
      <w:r w:rsidRPr="00971587">
        <w:t>οση (ΜΒΑ) δεν έχει επιτευχθεί και οι αλιείς έχουν μείνει χωρίς αλιεύματα και εισόδημα. Αντιθέτως, οι αποφάσεις αγνόησαν συστηματικά την αρχή της προφύλαξης, παραβίασαν κατώτατα σημεία αναφοράς όπως το Btrigger και έθεσαν σε κίνδυνο την υγεία των οικοσυστημάτων, υπονομεύοντας όχι μόνο τα αποθέματα των στοχευόμενων ιχθύων αλλά και το ευρύτερο θαλάσσιο περιβάλλον.</w:t>
      </w:r>
    </w:p>
    <w:p w14:paraId="4409B4D3" w14:textId="77777777" w:rsidR="00276B35" w:rsidRPr="00971587" w:rsidRDefault="00D6744C" w:rsidP="002C7053">
      <w:pPr>
        <w:pStyle w:val="Normal12a"/>
      </w:pPr>
      <w:r w:rsidRPr="00971587">
        <w:lastRenderedPageBreak/>
        <w:t>Η Βαλτική Θάλασσα, η οποία νοσεί, βρίσκεται στα χέρια μας. Έχει υποστεί απώλειες ζωτικών λειτουργιών, όπως όταν τα αποθέματα γάδου πέρασαν σε κατάσταση έκτακτης ανάγκης. Η εσωτερική αιμορραγία πρέπει να διακοπεί και το αναπνευστικό της σύστημα πρέπει να αποκατασταθεί. Ο «ασθενής» αυτός δεν έχει ανάγκη από ατέρμονες συζητήσεις σχετικά με τις διαδικασίες που πρέπει να δοκιμαστούν ή τις περαιτέρω εξετάσεις που πρέπει να πραγματοποιηθούν. Οι εμπειρογνώμονες δεν μπορούν να είναι πιο σαφείς: Αυτός ο «ασθενής» χρε</w:t>
      </w:r>
      <w:r w:rsidRPr="00971587">
        <w:t>ιάζεται βοήθεια άμεσα.</w:t>
      </w:r>
    </w:p>
    <w:p w14:paraId="436ACFC1" w14:textId="77777777" w:rsidR="00100069" w:rsidRPr="00971587" w:rsidRDefault="00100069" w:rsidP="00F3651F"/>
    <w:sectPr w:rsidR="00100069" w:rsidRPr="00971587" w:rsidSect="00A868E1">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D68F2" w14:textId="77777777" w:rsidR="00D6744C" w:rsidRPr="00971587" w:rsidRDefault="00D6744C">
      <w:r w:rsidRPr="00971587">
        <w:separator/>
      </w:r>
    </w:p>
  </w:endnote>
  <w:endnote w:type="continuationSeparator" w:id="0">
    <w:p w14:paraId="328FA624" w14:textId="77777777" w:rsidR="00D6744C" w:rsidRPr="00971587" w:rsidRDefault="00D6744C">
      <w:r w:rsidRPr="009715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BA22" w14:textId="77777777" w:rsidR="00971587" w:rsidRPr="00971587" w:rsidRDefault="00971587" w:rsidP="00971587">
    <w:pPr>
      <w:pStyle w:val="EPFooter"/>
    </w:pPr>
    <w:r w:rsidRPr="00971587">
      <w:t>PE</w:t>
    </w:r>
    <w:r w:rsidRPr="00971587">
      <w:rPr>
        <w:rStyle w:val="HideTWBExt"/>
      </w:rPr>
      <w:t>&lt;NoPE&gt;</w:t>
    </w:r>
    <w:r w:rsidRPr="00971587">
      <w:t>778.399</w:t>
    </w:r>
    <w:r w:rsidRPr="00971587">
      <w:rPr>
        <w:rStyle w:val="HideTWBExt"/>
      </w:rPr>
      <w:t>&lt;/NoPE&gt;&lt;Version&gt;</w:t>
    </w:r>
    <w:r w:rsidRPr="00971587">
      <w:t>v01-00</w:t>
    </w:r>
    <w:r w:rsidRPr="00971587">
      <w:rPr>
        <w:rStyle w:val="HideTWBExt"/>
      </w:rPr>
      <w:t>&lt;/Version&gt;</w:t>
    </w:r>
    <w:r w:rsidRPr="00971587">
      <w:tab/>
    </w:r>
    <w:r w:rsidRPr="00971587">
      <w:fldChar w:fldCharType="begin"/>
    </w:r>
    <w:r w:rsidRPr="00971587">
      <w:instrText xml:space="preserve"> PAGE  \* MERGEFORMAT </w:instrText>
    </w:r>
    <w:r w:rsidRPr="00971587">
      <w:fldChar w:fldCharType="separate"/>
    </w:r>
    <w:r w:rsidRPr="00971587">
      <w:rPr>
        <w:noProof/>
      </w:rPr>
      <w:t>1</w:t>
    </w:r>
    <w:r w:rsidRPr="00971587">
      <w:fldChar w:fldCharType="end"/>
    </w:r>
    <w:r w:rsidRPr="00971587">
      <w:t>/</w:t>
    </w:r>
    <w:fldSimple w:instr=" NUMPAGES  \* MERGEFORMAT ">
      <w:r w:rsidRPr="00971587">
        <w:rPr>
          <w:noProof/>
        </w:rPr>
        <w:t>1</w:t>
      </w:r>
    </w:fldSimple>
    <w:r w:rsidRPr="00971587">
      <w:tab/>
    </w:r>
    <w:r w:rsidRPr="00971587">
      <w:rPr>
        <w:rStyle w:val="HideTWBExt"/>
      </w:rPr>
      <w:t>&lt;PathFdR&gt;</w:t>
    </w:r>
    <w:r w:rsidRPr="00971587">
      <w:t>PR\1330249EL.docx</w:t>
    </w:r>
    <w:r w:rsidRPr="00971587">
      <w:rPr>
        <w:rStyle w:val="HideTWBExt"/>
      </w:rPr>
      <w:t>&lt;/PathFdR&gt;</w:t>
    </w:r>
  </w:p>
  <w:p w14:paraId="5AC058C0" w14:textId="52A27E91" w:rsidR="00100069" w:rsidRPr="00971587" w:rsidRDefault="00971587" w:rsidP="00971587">
    <w:pPr>
      <w:pStyle w:val="EPFooter2"/>
    </w:pPr>
    <w:r w:rsidRPr="00971587">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A4431" w14:textId="77777777" w:rsidR="00971587" w:rsidRPr="00971587" w:rsidRDefault="00971587" w:rsidP="00971587">
    <w:pPr>
      <w:pStyle w:val="EPFooter"/>
    </w:pPr>
    <w:r w:rsidRPr="00971587">
      <w:rPr>
        <w:rStyle w:val="HideTWBExt"/>
      </w:rPr>
      <w:t>&lt;PathFdR&gt;</w:t>
    </w:r>
    <w:r w:rsidRPr="00971587">
      <w:t>PR\1330249EL.docx</w:t>
    </w:r>
    <w:r w:rsidRPr="00971587">
      <w:rPr>
        <w:rStyle w:val="HideTWBExt"/>
      </w:rPr>
      <w:t>&lt;/PathFdR&gt;</w:t>
    </w:r>
    <w:r w:rsidRPr="00971587">
      <w:tab/>
    </w:r>
    <w:r w:rsidRPr="00971587">
      <w:fldChar w:fldCharType="begin"/>
    </w:r>
    <w:r w:rsidRPr="00971587">
      <w:instrText xml:space="preserve"> PAGE  \* MERGEFORMAT </w:instrText>
    </w:r>
    <w:r w:rsidRPr="00971587">
      <w:fldChar w:fldCharType="separate"/>
    </w:r>
    <w:r w:rsidRPr="00971587">
      <w:rPr>
        <w:noProof/>
      </w:rPr>
      <w:t>1</w:t>
    </w:r>
    <w:r w:rsidRPr="00971587">
      <w:fldChar w:fldCharType="end"/>
    </w:r>
    <w:r w:rsidRPr="00971587">
      <w:t>/</w:t>
    </w:r>
    <w:fldSimple w:instr=" NUMPAGES  \* MERGEFORMAT ">
      <w:r w:rsidRPr="00971587">
        <w:rPr>
          <w:noProof/>
        </w:rPr>
        <w:t>1</w:t>
      </w:r>
    </w:fldSimple>
    <w:r w:rsidRPr="00971587">
      <w:tab/>
      <w:t>PE</w:t>
    </w:r>
    <w:r w:rsidRPr="00971587">
      <w:rPr>
        <w:rStyle w:val="HideTWBExt"/>
      </w:rPr>
      <w:t>&lt;NoPE&gt;</w:t>
    </w:r>
    <w:r w:rsidRPr="00971587">
      <w:t>778.399</w:t>
    </w:r>
    <w:r w:rsidRPr="00971587">
      <w:rPr>
        <w:rStyle w:val="HideTWBExt"/>
      </w:rPr>
      <w:t>&lt;/NoPE&gt;&lt;Version&gt;</w:t>
    </w:r>
    <w:r w:rsidRPr="00971587">
      <w:t>v01-00</w:t>
    </w:r>
    <w:r w:rsidRPr="00971587">
      <w:rPr>
        <w:rStyle w:val="HideTWBExt"/>
      </w:rPr>
      <w:t>&lt;/Version&gt;</w:t>
    </w:r>
  </w:p>
  <w:p w14:paraId="5DC18D67" w14:textId="6C67AA20" w:rsidR="00100069" w:rsidRPr="00971587" w:rsidRDefault="00971587" w:rsidP="00971587">
    <w:pPr>
      <w:pStyle w:val="EPFooter2"/>
    </w:pPr>
    <w:r w:rsidRPr="00971587">
      <w:tab/>
    </w:r>
    <w:r w:rsidRPr="00971587">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9CF13" w14:textId="77777777" w:rsidR="00971587" w:rsidRPr="00971587" w:rsidRDefault="00971587" w:rsidP="00971587">
    <w:pPr>
      <w:pStyle w:val="EPFooter"/>
    </w:pPr>
    <w:r w:rsidRPr="00971587">
      <w:rPr>
        <w:rStyle w:val="HideTWBExt"/>
      </w:rPr>
      <w:t>&lt;PathFdR&gt;</w:t>
    </w:r>
    <w:r w:rsidRPr="00971587">
      <w:t>PR\1330249EL.docx</w:t>
    </w:r>
    <w:r w:rsidRPr="00971587">
      <w:rPr>
        <w:rStyle w:val="HideTWBExt"/>
      </w:rPr>
      <w:t>&lt;/PathFdR&gt;</w:t>
    </w:r>
    <w:r w:rsidRPr="00971587">
      <w:tab/>
    </w:r>
    <w:r w:rsidRPr="00971587">
      <w:tab/>
      <w:t>PE</w:t>
    </w:r>
    <w:r w:rsidRPr="00971587">
      <w:rPr>
        <w:rStyle w:val="HideTWBExt"/>
      </w:rPr>
      <w:t>&lt;NoPE&gt;</w:t>
    </w:r>
    <w:r w:rsidRPr="00971587">
      <w:t>778.399</w:t>
    </w:r>
    <w:r w:rsidRPr="00971587">
      <w:rPr>
        <w:rStyle w:val="HideTWBExt"/>
      </w:rPr>
      <w:t>&lt;/NoPE&gt;&lt;Version&gt;</w:t>
    </w:r>
    <w:r w:rsidRPr="00971587">
      <w:t>v01-00</w:t>
    </w:r>
    <w:r w:rsidRPr="00971587">
      <w:rPr>
        <w:rStyle w:val="HideTWBExt"/>
      </w:rPr>
      <w:t>&lt;/Version&gt;</w:t>
    </w:r>
  </w:p>
  <w:p w14:paraId="1D0D8356" w14:textId="375D689B" w:rsidR="00100069" w:rsidRPr="00971587" w:rsidRDefault="00971587" w:rsidP="00971587">
    <w:pPr>
      <w:pStyle w:val="EPFooter2"/>
    </w:pPr>
    <w:r w:rsidRPr="00971587">
      <w:t>EL</w:t>
    </w:r>
    <w:r w:rsidRPr="00971587">
      <w:tab/>
    </w:r>
    <w:r w:rsidRPr="00971587">
      <w:rPr>
        <w:b w:val="0"/>
        <w:i/>
        <w:color w:val="C0C0C0"/>
        <w:sz w:val="22"/>
      </w:rPr>
      <w:t>Ενωμένη στην πολυμορφία</w:t>
    </w:r>
    <w:r w:rsidRPr="00971587">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CDEB4" w14:textId="77777777" w:rsidR="009A6B23" w:rsidRPr="00971587" w:rsidRDefault="00D6744C">
      <w:r w:rsidRPr="00971587">
        <w:separator/>
      </w:r>
    </w:p>
  </w:footnote>
  <w:footnote w:type="continuationSeparator" w:id="0">
    <w:p w14:paraId="5163A67F" w14:textId="77777777" w:rsidR="009A6B23" w:rsidRPr="00971587" w:rsidRDefault="00D6744C">
      <w:r w:rsidRPr="00971587">
        <w:continuationSeparator/>
      </w:r>
    </w:p>
  </w:footnote>
  <w:footnote w:id="1">
    <w:p w14:paraId="1CBF0B73" w14:textId="77777777" w:rsidR="00F511CE" w:rsidRPr="00971587" w:rsidRDefault="00D6744C">
      <w:pPr>
        <w:pStyle w:val="FootnoteText"/>
      </w:pPr>
      <w:r w:rsidRPr="00971587">
        <w:rPr>
          <w:rStyle w:val="FootnoteReference"/>
        </w:rPr>
        <w:footnoteRef/>
      </w:r>
      <w:r w:rsidRPr="00971587">
        <w:t xml:space="preserve"> ΕΕ L 354 της 28.12.2013 σ. 22, ELI: </w:t>
      </w:r>
      <w:hyperlink r:id="rId1" w:history="1">
        <w:r w:rsidRPr="00971587">
          <w:rPr>
            <w:rStyle w:val="Hyperlink"/>
          </w:rPr>
          <w:t>http://data.europa.eu/eli/reg/2013/1380/oj</w:t>
        </w:r>
      </w:hyperlink>
      <w:r w:rsidRPr="00971587">
        <w:t>.</w:t>
      </w:r>
    </w:p>
  </w:footnote>
  <w:footnote w:id="2">
    <w:p w14:paraId="6826F213" w14:textId="77777777" w:rsidR="00AA1208" w:rsidRPr="00971587" w:rsidRDefault="00D6744C">
      <w:pPr>
        <w:pStyle w:val="FootnoteText"/>
      </w:pPr>
      <w:r w:rsidRPr="00971587">
        <w:rPr>
          <w:rStyle w:val="FootnoteReference"/>
        </w:rPr>
        <w:footnoteRef/>
      </w:r>
      <w:r w:rsidRPr="00971587">
        <w:t xml:space="preserve"> ΕΕ L 191 της 15.7.2016, σ. 1, ELI: </w:t>
      </w:r>
      <w:hyperlink r:id="rId2" w:history="1">
        <w:r w:rsidRPr="00971587">
          <w:rPr>
            <w:rStyle w:val="Hyperlink"/>
          </w:rPr>
          <w:t>http://data.europa.eu/eli/reg/2016/1139/oj</w:t>
        </w:r>
      </w:hyperlink>
      <w:r w:rsidRPr="00971587">
        <w:t>.</w:t>
      </w:r>
    </w:p>
  </w:footnote>
  <w:footnote w:id="3">
    <w:p w14:paraId="39219EB1" w14:textId="77777777" w:rsidR="00AA1208" w:rsidRPr="00971587" w:rsidRDefault="00D6744C">
      <w:pPr>
        <w:pStyle w:val="FootnoteText"/>
      </w:pPr>
      <w:r w:rsidRPr="00971587">
        <w:rPr>
          <w:rStyle w:val="FootnoteReference"/>
        </w:rPr>
        <w:footnoteRef/>
      </w:r>
      <w:r w:rsidRPr="00971587">
        <w:t xml:space="preserve"> ΕΕ L 164 της 25.6.2008, σ. 19, ELI: </w:t>
      </w:r>
      <w:hyperlink r:id="rId3" w:history="1">
        <w:r w:rsidRPr="00971587">
          <w:rPr>
            <w:rStyle w:val="Hyperlink"/>
          </w:rPr>
          <w:t>http://data.europa.eu/eli/dir/2008/56/oj</w:t>
        </w:r>
      </w:hyperlink>
      <w:r w:rsidRPr="00971587">
        <w:t>.</w:t>
      </w:r>
    </w:p>
  </w:footnote>
  <w:footnote w:id="4">
    <w:p w14:paraId="59D1B355" w14:textId="77777777" w:rsidR="00AA1208" w:rsidRPr="00971587" w:rsidRDefault="00D6744C">
      <w:pPr>
        <w:pStyle w:val="FootnoteText"/>
      </w:pPr>
      <w:r w:rsidRPr="00971587">
        <w:rPr>
          <w:rStyle w:val="FootnoteReference"/>
        </w:rPr>
        <w:footnoteRef/>
      </w:r>
      <w:r w:rsidRPr="00971587">
        <w:t xml:space="preserve"> ΕΕ L 206 της 22.7.1992, σ. 7, ELI: </w:t>
      </w:r>
      <w:hyperlink r:id="rId4" w:history="1">
        <w:r w:rsidRPr="00971587">
          <w:rPr>
            <w:rStyle w:val="Hyperlink"/>
          </w:rPr>
          <w:t>http://data.europa.eu/eli/dir/1992/43/oj</w:t>
        </w:r>
      </w:hyperlink>
      <w:r w:rsidRPr="00971587">
        <w:t>.</w:t>
      </w:r>
    </w:p>
  </w:footnote>
  <w:footnote w:id="5">
    <w:p w14:paraId="5CD9A536" w14:textId="77777777" w:rsidR="00F70C8A" w:rsidRPr="00971587" w:rsidRDefault="00D6744C">
      <w:pPr>
        <w:pStyle w:val="FootnoteText"/>
      </w:pPr>
      <w:r w:rsidRPr="00971587">
        <w:rPr>
          <w:rStyle w:val="FootnoteReference"/>
        </w:rPr>
        <w:footnoteRef/>
      </w:r>
      <w:r w:rsidRPr="00971587">
        <w:t xml:space="preserve"> ΕΕ L 247 της 28.9.1977, σ. 2, ELI: </w:t>
      </w:r>
      <w:hyperlink r:id="rId5" w:history="1">
        <w:r w:rsidRPr="00971587">
          <w:rPr>
            <w:rStyle w:val="Hyperlink"/>
          </w:rPr>
          <w:t>http://data.europa.eu/eli/reg/1977/2115/oj</w:t>
        </w:r>
      </w:hyperlink>
      <w:r w:rsidRPr="00971587">
        <w:t>.</w:t>
      </w:r>
    </w:p>
  </w:footnote>
  <w:footnote w:id="6">
    <w:p w14:paraId="24A3E096" w14:textId="77777777" w:rsidR="009B5ED9" w:rsidRPr="00971587" w:rsidRDefault="00D6744C">
      <w:pPr>
        <w:pStyle w:val="FootnoteText"/>
      </w:pPr>
      <w:r w:rsidRPr="00971587">
        <w:rPr>
          <w:rStyle w:val="FootnoteReference"/>
        </w:rPr>
        <w:footnoteRef/>
      </w:r>
      <w:r w:rsidRPr="00971587">
        <w:t xml:space="preserve"> ΕΕ L 20 της 26.1.2010, σ. 7, ELI: </w:t>
      </w:r>
      <w:hyperlink r:id="rId6" w:history="1">
        <w:r w:rsidRPr="00971587">
          <w:rPr>
            <w:rStyle w:val="Hyperlink"/>
          </w:rPr>
          <w:t>http://data.europa.eu/eli/dir/2009/147/oj</w:t>
        </w:r>
      </w:hyperlink>
      <w:r w:rsidRPr="00971587">
        <w:t>.</w:t>
      </w:r>
    </w:p>
  </w:footnote>
  <w:footnote w:id="7">
    <w:p w14:paraId="3DEB9769" w14:textId="77777777" w:rsidR="00E66FA8" w:rsidRPr="00971587" w:rsidRDefault="00D6744C">
      <w:pPr>
        <w:pStyle w:val="FootnoteText"/>
      </w:pPr>
      <w:r w:rsidRPr="00971587">
        <w:rPr>
          <w:rStyle w:val="FootnoteReference"/>
        </w:rPr>
        <w:footnoteRef/>
      </w:r>
      <w:r w:rsidRPr="00971587">
        <w:t xml:space="preserve"> Ενημερωτική ανάλυση — «The multiannual plan for the Baltic Sea – A change in management needed», Ευρωπαϊκό Κοινοβούλιο, Γενική Διεύθυνση Συνοχής, Γεωργίας και Κοινωνικών Πολιτικών, Θεματικό Τμήμα Περιφερειακής Ανάπτυξης, Γεωργίας και Αλιείας, Αύγουστος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E1A0A" w14:textId="77777777" w:rsidR="00D6744C" w:rsidRDefault="00D674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13851" w14:textId="77777777" w:rsidR="00D6744C" w:rsidRDefault="00D674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F41F" w14:textId="77777777" w:rsidR="00D6744C" w:rsidRDefault="00D67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3454ED"/>
    <w:multiLevelType w:val="multilevel"/>
    <w:tmpl w:val="7A941B8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 w15:restartNumberingAfterBreak="0">
    <w:nsid w:val="51D804C0"/>
    <w:multiLevelType w:val="multilevel"/>
    <w:tmpl w:val="B3B6DC06"/>
    <w:lvl w:ilvl="0">
      <w:start w:val="1"/>
      <w:numFmt w:val="upperLetter"/>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1841385165">
    <w:abstractNumId w:val="9"/>
  </w:num>
  <w:num w:numId="2" w16cid:durableId="259264369">
    <w:abstractNumId w:val="9"/>
  </w:num>
  <w:num w:numId="3" w16cid:durableId="599529513">
    <w:abstractNumId w:val="7"/>
  </w:num>
  <w:num w:numId="4" w16cid:durableId="1705641151">
    <w:abstractNumId w:val="7"/>
  </w:num>
  <w:num w:numId="5" w16cid:durableId="651525142">
    <w:abstractNumId w:val="6"/>
  </w:num>
  <w:num w:numId="6" w16cid:durableId="123080816">
    <w:abstractNumId w:val="6"/>
  </w:num>
  <w:num w:numId="7" w16cid:durableId="882714131">
    <w:abstractNumId w:val="5"/>
  </w:num>
  <w:num w:numId="8" w16cid:durableId="308873458">
    <w:abstractNumId w:val="5"/>
  </w:num>
  <w:num w:numId="9" w16cid:durableId="2109692684">
    <w:abstractNumId w:val="4"/>
  </w:num>
  <w:num w:numId="10" w16cid:durableId="1289312195">
    <w:abstractNumId w:val="4"/>
  </w:num>
  <w:num w:numId="11" w16cid:durableId="1754468230">
    <w:abstractNumId w:val="8"/>
  </w:num>
  <w:num w:numId="12" w16cid:durableId="1937058160">
    <w:abstractNumId w:val="8"/>
  </w:num>
  <w:num w:numId="13" w16cid:durableId="557786334">
    <w:abstractNumId w:val="3"/>
  </w:num>
  <w:num w:numId="14" w16cid:durableId="383068972">
    <w:abstractNumId w:val="3"/>
  </w:num>
  <w:num w:numId="15" w16cid:durableId="1942755312">
    <w:abstractNumId w:val="2"/>
  </w:num>
  <w:num w:numId="16" w16cid:durableId="1114254144">
    <w:abstractNumId w:val="2"/>
  </w:num>
  <w:num w:numId="17" w16cid:durableId="546143075">
    <w:abstractNumId w:val="1"/>
  </w:num>
  <w:num w:numId="18" w16cid:durableId="497581291">
    <w:abstractNumId w:val="1"/>
  </w:num>
  <w:num w:numId="19" w16cid:durableId="1669752070">
    <w:abstractNumId w:val="0"/>
  </w:num>
  <w:num w:numId="20" w16cid:durableId="1325205570">
    <w:abstractNumId w:val="0"/>
  </w:num>
  <w:num w:numId="21" w16cid:durableId="1393044395">
    <w:abstractNumId w:val="9"/>
  </w:num>
  <w:num w:numId="22" w16cid:durableId="1561134700">
    <w:abstractNumId w:val="7"/>
  </w:num>
  <w:num w:numId="23" w16cid:durableId="2129935408">
    <w:abstractNumId w:val="6"/>
  </w:num>
  <w:num w:numId="24" w16cid:durableId="2002460391">
    <w:abstractNumId w:val="5"/>
  </w:num>
  <w:num w:numId="25" w16cid:durableId="890775980">
    <w:abstractNumId w:val="4"/>
  </w:num>
  <w:num w:numId="26" w16cid:durableId="525825261">
    <w:abstractNumId w:val="8"/>
  </w:num>
  <w:num w:numId="27" w16cid:durableId="283929058">
    <w:abstractNumId w:val="3"/>
  </w:num>
  <w:num w:numId="28" w16cid:durableId="437139711">
    <w:abstractNumId w:val="2"/>
  </w:num>
  <w:num w:numId="29" w16cid:durableId="428308452">
    <w:abstractNumId w:val="1"/>
  </w:num>
  <w:num w:numId="30" w16cid:durableId="854878426">
    <w:abstractNumId w:val="0"/>
  </w:num>
  <w:num w:numId="31" w16cid:durableId="2109346301">
    <w:abstractNumId w:val="9"/>
  </w:num>
  <w:num w:numId="32" w16cid:durableId="1961372356">
    <w:abstractNumId w:val="7"/>
  </w:num>
  <w:num w:numId="33" w16cid:durableId="516819842">
    <w:abstractNumId w:val="6"/>
  </w:num>
  <w:num w:numId="34" w16cid:durableId="2017925000">
    <w:abstractNumId w:val="5"/>
  </w:num>
  <w:num w:numId="35" w16cid:durableId="1673874972">
    <w:abstractNumId w:val="4"/>
  </w:num>
  <w:num w:numId="36" w16cid:durableId="1020353439">
    <w:abstractNumId w:val="8"/>
  </w:num>
  <w:num w:numId="37" w16cid:durableId="1087195718">
    <w:abstractNumId w:val="3"/>
  </w:num>
  <w:num w:numId="38" w16cid:durableId="1708872680">
    <w:abstractNumId w:val="2"/>
  </w:num>
  <w:num w:numId="39" w16cid:durableId="2000379896">
    <w:abstractNumId w:val="1"/>
  </w:num>
  <w:num w:numId="40" w16cid:durableId="876891517">
    <w:abstractNumId w:val="0"/>
  </w:num>
  <w:num w:numId="41" w16cid:durableId="1575892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464118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PECH"/>
    <w:docVar w:name="CopyToNetwork" w:val="-1"/>
    <w:docVar w:name="DOCDT" w:val="17/10/2025"/>
    <w:docVar w:name="LastEditedSection" w:val=" 1"/>
    <w:docVar w:name="MOTIONMNU" w:val=" 3"/>
    <w:docVar w:name="RULEMNU" w:val=" 1"/>
    <w:docVar w:name="strDocTypeID" w:val="PR_INI"/>
    <w:docVar w:name="strSubDir" w:val="1330"/>
    <w:docVar w:name="TITLEMNU" w:val=" 1"/>
    <w:docVar w:name="TXTAUTHOR" w:val="Isabella Lövin"/>
    <w:docVar w:name="TXTLANGUE" w:val="EN"/>
    <w:docVar w:name="TXTLANGUEMIN" w:val="en"/>
    <w:docVar w:name="TXTNRINI" w:val="2024/2127"/>
    <w:docVar w:name="TXTNRPE" w:val="778.399"/>
    <w:docVar w:name="TXTPEorAP" w:val="PE"/>
    <w:docVar w:name="TXTROUTE" w:val="PR\1330249EN.docx"/>
    <w:docVar w:name="TXTTITLE" w:val="the implementation of the multiannual plan for the Baltic Sea and ways forward"/>
    <w:docVar w:name="TXTVERSION" w:val="01-00"/>
  </w:docVars>
  <w:rsids>
    <w:rsidRoot w:val="009A6B23"/>
    <w:rsid w:val="00040EAC"/>
    <w:rsid w:val="0007541B"/>
    <w:rsid w:val="00082B37"/>
    <w:rsid w:val="000840FB"/>
    <w:rsid w:val="0009763D"/>
    <w:rsid w:val="000D2631"/>
    <w:rsid w:val="000D7959"/>
    <w:rsid w:val="00100069"/>
    <w:rsid w:val="001046B1"/>
    <w:rsid w:val="00105C44"/>
    <w:rsid w:val="0011746C"/>
    <w:rsid w:val="00140F33"/>
    <w:rsid w:val="001B207D"/>
    <w:rsid w:val="001E340C"/>
    <w:rsid w:val="001F49F4"/>
    <w:rsid w:val="001F61A0"/>
    <w:rsid w:val="002112B7"/>
    <w:rsid w:val="00222FDB"/>
    <w:rsid w:val="00226430"/>
    <w:rsid w:val="0023245A"/>
    <w:rsid w:val="002446AB"/>
    <w:rsid w:val="00253044"/>
    <w:rsid w:val="002544DF"/>
    <w:rsid w:val="00276B35"/>
    <w:rsid w:val="002C7053"/>
    <w:rsid w:val="002D57E6"/>
    <w:rsid w:val="002D6F96"/>
    <w:rsid w:val="00306229"/>
    <w:rsid w:val="00334A09"/>
    <w:rsid w:val="00335F69"/>
    <w:rsid w:val="00366DEC"/>
    <w:rsid w:val="0039125C"/>
    <w:rsid w:val="00395A66"/>
    <w:rsid w:val="003A679B"/>
    <w:rsid w:val="003E4158"/>
    <w:rsid w:val="003E4507"/>
    <w:rsid w:val="003E6413"/>
    <w:rsid w:val="004016B4"/>
    <w:rsid w:val="00406E07"/>
    <w:rsid w:val="004200B3"/>
    <w:rsid w:val="00432ADB"/>
    <w:rsid w:val="00432B50"/>
    <w:rsid w:val="00455003"/>
    <w:rsid w:val="00466A1A"/>
    <w:rsid w:val="004915EA"/>
    <w:rsid w:val="004929EC"/>
    <w:rsid w:val="00494084"/>
    <w:rsid w:val="004A6140"/>
    <w:rsid w:val="004B2FDA"/>
    <w:rsid w:val="004B580E"/>
    <w:rsid w:val="004C099C"/>
    <w:rsid w:val="004D66BB"/>
    <w:rsid w:val="004F41DC"/>
    <w:rsid w:val="005178FF"/>
    <w:rsid w:val="00531F4C"/>
    <w:rsid w:val="005720FB"/>
    <w:rsid w:val="00584A07"/>
    <w:rsid w:val="005A50D0"/>
    <w:rsid w:val="005C45F5"/>
    <w:rsid w:val="005D2112"/>
    <w:rsid w:val="005D2905"/>
    <w:rsid w:val="006272CD"/>
    <w:rsid w:val="00654C1E"/>
    <w:rsid w:val="00662E30"/>
    <w:rsid w:val="006A40D3"/>
    <w:rsid w:val="006C05BF"/>
    <w:rsid w:val="006C1B52"/>
    <w:rsid w:val="006C1BB4"/>
    <w:rsid w:val="006D285B"/>
    <w:rsid w:val="006D401C"/>
    <w:rsid w:val="006D5A2D"/>
    <w:rsid w:val="0070442D"/>
    <w:rsid w:val="00705D44"/>
    <w:rsid w:val="00726C82"/>
    <w:rsid w:val="007426EC"/>
    <w:rsid w:val="00760C89"/>
    <w:rsid w:val="007624F1"/>
    <w:rsid w:val="0077763A"/>
    <w:rsid w:val="007963C6"/>
    <w:rsid w:val="007A292A"/>
    <w:rsid w:val="007D4FFB"/>
    <w:rsid w:val="007E4190"/>
    <w:rsid w:val="007E41CF"/>
    <w:rsid w:val="007F5ED0"/>
    <w:rsid w:val="0081098F"/>
    <w:rsid w:val="00826A35"/>
    <w:rsid w:val="0083399E"/>
    <w:rsid w:val="00865656"/>
    <w:rsid w:val="00870BC5"/>
    <w:rsid w:val="008A67E5"/>
    <w:rsid w:val="008B36F4"/>
    <w:rsid w:val="008B658B"/>
    <w:rsid w:val="008C4C65"/>
    <w:rsid w:val="0090583E"/>
    <w:rsid w:val="00954A51"/>
    <w:rsid w:val="0095536F"/>
    <w:rsid w:val="00956282"/>
    <w:rsid w:val="0096233B"/>
    <w:rsid w:val="00971587"/>
    <w:rsid w:val="0097310C"/>
    <w:rsid w:val="009744E2"/>
    <w:rsid w:val="00977933"/>
    <w:rsid w:val="00992CBB"/>
    <w:rsid w:val="00996AC6"/>
    <w:rsid w:val="009A6883"/>
    <w:rsid w:val="009A6B23"/>
    <w:rsid w:val="009B5ED9"/>
    <w:rsid w:val="009C5A08"/>
    <w:rsid w:val="009E4ABB"/>
    <w:rsid w:val="009F59B5"/>
    <w:rsid w:val="00A45202"/>
    <w:rsid w:val="00A868E1"/>
    <w:rsid w:val="00AA1208"/>
    <w:rsid w:val="00AC37DE"/>
    <w:rsid w:val="00AE33AD"/>
    <w:rsid w:val="00AF310F"/>
    <w:rsid w:val="00B17532"/>
    <w:rsid w:val="00B26FF2"/>
    <w:rsid w:val="00B802F7"/>
    <w:rsid w:val="00BA2A57"/>
    <w:rsid w:val="00BA5076"/>
    <w:rsid w:val="00BA6D06"/>
    <w:rsid w:val="00BB70F1"/>
    <w:rsid w:val="00BC791C"/>
    <w:rsid w:val="00BC7C60"/>
    <w:rsid w:val="00BE2183"/>
    <w:rsid w:val="00C00074"/>
    <w:rsid w:val="00C11F3D"/>
    <w:rsid w:val="00C17AEF"/>
    <w:rsid w:val="00C21C5F"/>
    <w:rsid w:val="00C67D89"/>
    <w:rsid w:val="00C85D0F"/>
    <w:rsid w:val="00C93A60"/>
    <w:rsid w:val="00CD3E8A"/>
    <w:rsid w:val="00CE1512"/>
    <w:rsid w:val="00CF2ACC"/>
    <w:rsid w:val="00D14F7A"/>
    <w:rsid w:val="00D21430"/>
    <w:rsid w:val="00D31D25"/>
    <w:rsid w:val="00D47BB0"/>
    <w:rsid w:val="00D55094"/>
    <w:rsid w:val="00D6744C"/>
    <w:rsid w:val="00DB4680"/>
    <w:rsid w:val="00DD7B9D"/>
    <w:rsid w:val="00DF09B3"/>
    <w:rsid w:val="00E155CA"/>
    <w:rsid w:val="00E3537C"/>
    <w:rsid w:val="00E61690"/>
    <w:rsid w:val="00E66325"/>
    <w:rsid w:val="00E66FA8"/>
    <w:rsid w:val="00E84D05"/>
    <w:rsid w:val="00EF7F63"/>
    <w:rsid w:val="00F076A5"/>
    <w:rsid w:val="00F1014F"/>
    <w:rsid w:val="00F244CD"/>
    <w:rsid w:val="00F3651F"/>
    <w:rsid w:val="00F46D66"/>
    <w:rsid w:val="00F511CE"/>
    <w:rsid w:val="00F70C8A"/>
    <w:rsid w:val="00F714A9"/>
    <w:rsid w:val="00F95053"/>
    <w:rsid w:val="00F961AC"/>
    <w:rsid w:val="00FD3897"/>
    <w:rsid w:val="00FF0B92"/>
    <w:rsid w:val="00FF21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83AFE"/>
  <w15:chartTrackingRefBased/>
  <w15:docId w15:val="{E0B04EA6-AAE4-4614-BE68-0CEBC6221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er">
    <w:name w:val="footer"/>
    <w:basedOn w:val="Normal"/>
    <w:link w:val="FooterChar"/>
    <w:semiHidden/>
    <w:rsid w:val="002112B7"/>
    <w:pPr>
      <w:tabs>
        <w:tab w:val="center" w:pos="4513"/>
        <w:tab w:val="right" w:pos="9026"/>
      </w:tabs>
    </w:pPr>
  </w:style>
  <w:style w:type="character" w:customStyle="1" w:styleId="FooterChar">
    <w:name w:val="Footer Char"/>
    <w:basedOn w:val="DefaultParagraphFont"/>
    <w:link w:val="Footer"/>
    <w:semiHidden/>
    <w:rsid w:val="002112B7"/>
    <w:rPr>
      <w:sz w:val="24"/>
    </w:rPr>
  </w:style>
  <w:style w:type="paragraph" w:styleId="Revision">
    <w:name w:val="Revision"/>
    <w:hidden/>
    <w:uiPriority w:val="99"/>
    <w:semiHidden/>
    <w:rsid w:val="006C05BF"/>
    <w:rPr>
      <w:sz w:val="24"/>
    </w:rPr>
  </w:style>
  <w:style w:type="character" w:styleId="CommentReference">
    <w:name w:val="annotation reference"/>
    <w:basedOn w:val="DefaultParagraphFont"/>
    <w:rsid w:val="00222FDB"/>
    <w:rPr>
      <w:sz w:val="16"/>
      <w:szCs w:val="16"/>
    </w:rPr>
  </w:style>
  <w:style w:type="paragraph" w:styleId="CommentText">
    <w:name w:val="annotation text"/>
    <w:basedOn w:val="Normal"/>
    <w:link w:val="CommentTextChar"/>
    <w:rsid w:val="00222FDB"/>
    <w:rPr>
      <w:sz w:val="20"/>
    </w:rPr>
  </w:style>
  <w:style w:type="character" w:customStyle="1" w:styleId="CommentTextChar">
    <w:name w:val="Comment Text Char"/>
    <w:basedOn w:val="DefaultParagraphFont"/>
    <w:link w:val="CommentText"/>
    <w:rsid w:val="00222FDB"/>
  </w:style>
  <w:style w:type="paragraph" w:styleId="CommentSubject">
    <w:name w:val="annotation subject"/>
    <w:basedOn w:val="CommentText"/>
    <w:next w:val="CommentText"/>
    <w:link w:val="CommentSubjectChar"/>
    <w:semiHidden/>
    <w:unhideWhenUsed/>
    <w:rsid w:val="00222FDB"/>
    <w:rPr>
      <w:b/>
      <w:bCs/>
    </w:rPr>
  </w:style>
  <w:style w:type="character" w:customStyle="1" w:styleId="CommentSubjectChar">
    <w:name w:val="Comment Subject Char"/>
    <w:basedOn w:val="CommentTextChar"/>
    <w:link w:val="CommentSubject"/>
    <w:semiHidden/>
    <w:rsid w:val="00222FDB"/>
    <w:rPr>
      <w:b/>
      <w:bCs/>
    </w:rPr>
  </w:style>
  <w:style w:type="paragraph" w:styleId="FootnoteText">
    <w:name w:val="footnote text"/>
    <w:basedOn w:val="Normal"/>
    <w:link w:val="FootnoteTextChar"/>
    <w:rsid w:val="00F511CE"/>
    <w:rPr>
      <w:sz w:val="20"/>
    </w:rPr>
  </w:style>
  <w:style w:type="character" w:customStyle="1" w:styleId="FootnoteTextChar">
    <w:name w:val="Footnote Text Char"/>
    <w:basedOn w:val="DefaultParagraphFont"/>
    <w:link w:val="FootnoteText"/>
    <w:rsid w:val="00F511CE"/>
  </w:style>
  <w:style w:type="character" w:styleId="FootnoteReference">
    <w:name w:val="footnote reference"/>
    <w:basedOn w:val="DefaultParagraphFont"/>
    <w:rsid w:val="00F511CE"/>
    <w:rPr>
      <w:vertAlign w:val="superscript"/>
    </w:rPr>
  </w:style>
  <w:style w:type="character" w:styleId="Hyperlink">
    <w:name w:val="Hyperlink"/>
    <w:basedOn w:val="DefaultParagraphFont"/>
    <w:rsid w:val="009B5ED9"/>
    <w:rPr>
      <w:color w:val="0563C1" w:themeColor="hyperlink"/>
      <w:u w:val="single"/>
    </w:rPr>
  </w:style>
  <w:style w:type="character" w:styleId="UnresolvedMention">
    <w:name w:val="Unresolved Mention"/>
    <w:basedOn w:val="DefaultParagraphFont"/>
    <w:uiPriority w:val="99"/>
    <w:semiHidden/>
    <w:unhideWhenUsed/>
    <w:rsid w:val="009B5ED9"/>
    <w:rPr>
      <w:color w:val="605E5C"/>
      <w:shd w:val="clear" w:color="auto" w:fill="E1DFDD"/>
    </w:rPr>
  </w:style>
  <w:style w:type="character" w:styleId="FollowedHyperlink">
    <w:name w:val="FollowedHyperlink"/>
    <w:basedOn w:val="DefaultParagraphFont"/>
    <w:rsid w:val="00334A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8/56/oj"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dir/2009/147/oj" TargetMode="External"/><Relationship Id="rId5" Type="http://schemas.openxmlformats.org/officeDocument/2006/relationships/hyperlink" Target="http://data.europa.eu/eli/reg/1977/2115/oj" TargetMode="External"/><Relationship Id="rId4"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79134-5756-45C0-9A32-38F4B488B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4606</Words>
  <Characters>27408</Characters>
  <Application>Microsoft Office Word</Application>
  <DocSecurity>0</DocSecurity>
  <Lines>464</Lines>
  <Paragraphs>132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31882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UNTERHOLZER Marie</dc:creator>
  <cp:lastModifiedBy>PAPADIMITRIOU Anna</cp:lastModifiedBy>
  <cp:revision>2</cp:revision>
  <cp:lastPrinted>2025-10-22T12:07:00Z</cp:lastPrinted>
  <dcterms:created xsi:type="dcterms:W3CDTF">2025-11-03T10:15:00Z</dcterms:created>
  <dcterms:modified xsi:type="dcterms:W3CDTF">2025-11-03T10:15:00Z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1330249</vt:lpwstr>
  </property>
  <property fmtid="{D5CDD505-2E9C-101B-9397-08002B2CF9AE}" pid="4" name="&lt;Model&gt;">
    <vt:lpwstr>PR_INI</vt:lpwstr>
  </property>
  <property fmtid="{D5CDD505-2E9C-101B-9397-08002B2CF9AE}" pid="5" name="&lt;ModelCod&gt;">
    <vt:lpwstr>\\eiciBRUpr1\pdocep$\DocEP\DOCS\General\PR\PR_NonLeg\INI\PR_INI.dotx(18/02/2025 09:53:03)</vt:lpwstr>
  </property>
  <property fmtid="{D5CDD505-2E9C-101B-9397-08002B2CF9AE}" pid="6" name="&lt;ModelTra&gt;">
    <vt:lpwstr>\\eiciBRUpr1\pdocep$\DocEP\TRANSFIL\EN\PR_INI.EN(18/02/2025 09:54:04)</vt:lpwstr>
  </property>
  <property fmtid="{D5CDD505-2E9C-101B-9397-08002B2CF9AE}" pid="7" name="&lt;Type&gt;">
    <vt:lpwstr>PR</vt:lpwstr>
  </property>
  <property fmtid="{D5CDD505-2E9C-101B-9397-08002B2CF9AE}" pid="8" name="Bookout">
    <vt:lpwstr>OK - 2025/11/03 11:15</vt:lpwstr>
  </property>
  <property fmtid="{D5CDD505-2E9C-101B-9397-08002B2CF9AE}" pid="9" name="Created with">
    <vt:lpwstr>10.1.2 Build [20250817]</vt:lpwstr>
  </property>
  <property fmtid="{D5CDD505-2E9C-101B-9397-08002B2CF9AE}" pid="10" name="FooterPath">
    <vt:lpwstr>PR\1330249EL.docx</vt:lpwstr>
  </property>
  <property fmtid="{D5CDD505-2E9C-101B-9397-08002B2CF9AE}" pid="11" name="LastEdited with">
    <vt:lpwstr>10.2.0 Build [20251001]</vt:lpwstr>
  </property>
  <property fmtid="{D5CDD505-2E9C-101B-9397-08002B2CF9AE}" pid="12" name="PE number">
    <vt:lpwstr>778.399</vt:lpwstr>
  </property>
  <property fmtid="{D5CDD505-2E9C-101B-9397-08002B2CF9AE}" pid="13" name="SDLStudio">
    <vt:lpwstr/>
  </property>
  <property fmtid="{D5CDD505-2E9C-101B-9397-08002B2CF9AE}" pid="14" name="SendToEpades">
    <vt:lpwstr>OK - 2025/10/17 17:18</vt:lpwstr>
  </property>
</Properties>
</file>