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91D04" w:rsidRPr="005F4D76" w14:paraId="00DBE6CE" w14:textId="77777777">
        <w:trPr>
          <w:trHeight w:hRule="exact" w:val="1418"/>
        </w:trPr>
        <w:tc>
          <w:tcPr>
            <w:tcW w:w="6804" w:type="dxa"/>
            <w:shd w:val="clear" w:color="auto" w:fill="auto"/>
            <w:vAlign w:val="center"/>
          </w:tcPr>
          <w:p w14:paraId="2D9D1F55" w14:textId="77777777" w:rsidR="00C05DD8" w:rsidRPr="005F4D76" w:rsidRDefault="0079297D">
            <w:pPr>
              <w:pStyle w:val="EPName"/>
            </w:pPr>
            <w:r w:rsidRPr="005F4D76">
              <w:t>Europa-Parlamentet</w:t>
            </w:r>
          </w:p>
          <w:p w14:paraId="7FC7D405" w14:textId="77777777" w:rsidR="00C05DD8" w:rsidRPr="005F4D76" w:rsidRDefault="0079297D">
            <w:pPr>
              <w:pStyle w:val="EPTerm"/>
            </w:pPr>
            <w:r w:rsidRPr="005F4D76">
              <w:t>2024-2029</w:t>
            </w:r>
          </w:p>
        </w:tc>
        <w:tc>
          <w:tcPr>
            <w:tcW w:w="2268" w:type="dxa"/>
            <w:shd w:val="clear" w:color="auto" w:fill="auto"/>
          </w:tcPr>
          <w:p w14:paraId="301DC358" w14:textId="77777777" w:rsidR="00C05DD8" w:rsidRPr="005F4D76" w:rsidRDefault="0079297D">
            <w:pPr>
              <w:pStyle w:val="EPLogo"/>
            </w:pPr>
            <w:r w:rsidRPr="005F4D76">
              <w:rPr>
                <w:noProof/>
                <w:lang w:eastAsia="ja-JP"/>
              </w:rPr>
              <w:drawing>
                <wp:inline distT="0" distB="0" distL="0" distR="0" wp14:anchorId="361B6AF5" wp14:editId="54E314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F322C87" w14:textId="77777777" w:rsidR="009612AA" w:rsidRPr="005F4D76" w:rsidRDefault="009612AA" w:rsidP="009612AA">
      <w:pPr>
        <w:pStyle w:val="LineTop"/>
      </w:pPr>
    </w:p>
    <w:p w14:paraId="12E2F9A9" w14:textId="77777777" w:rsidR="009612AA" w:rsidRPr="005F4D76" w:rsidRDefault="0079297D" w:rsidP="009612AA">
      <w:pPr>
        <w:pStyle w:val="EPBody"/>
      </w:pPr>
      <w:r w:rsidRPr="005F4D76">
        <w:rPr>
          <w:rStyle w:val="HideTWBExt"/>
        </w:rPr>
        <w:t>&lt;</w:t>
      </w:r>
      <w:r w:rsidRPr="005F4D76">
        <w:rPr>
          <w:rStyle w:val="HideTWBExt"/>
          <w:i w:val="0"/>
        </w:rPr>
        <w:t>Commission</w:t>
      </w:r>
      <w:r w:rsidRPr="005F4D76">
        <w:rPr>
          <w:rStyle w:val="HideTWBExt"/>
        </w:rPr>
        <w:t>&gt;</w:t>
      </w:r>
      <w:r w:rsidRPr="005F4D76">
        <w:rPr>
          <w:rStyle w:val="HideTWBInt"/>
          <w:color w:val="auto"/>
        </w:rPr>
        <w:t>{PECH}</w:t>
      </w:r>
      <w:r w:rsidRPr="005F4D76">
        <w:t>Fiskeriudvalget</w:t>
      </w:r>
      <w:r w:rsidRPr="005F4D76">
        <w:rPr>
          <w:rStyle w:val="HideTWBExt"/>
        </w:rPr>
        <w:t>&lt;/</w:t>
      </w:r>
      <w:r w:rsidRPr="005F4D76">
        <w:rPr>
          <w:rStyle w:val="HideTWBExt"/>
          <w:i w:val="0"/>
        </w:rPr>
        <w:t>Commission</w:t>
      </w:r>
      <w:r w:rsidRPr="005F4D76">
        <w:rPr>
          <w:rStyle w:val="HideTWBExt"/>
        </w:rPr>
        <w:t>&gt;</w:t>
      </w:r>
    </w:p>
    <w:p w14:paraId="2890735E" w14:textId="77777777" w:rsidR="009612AA" w:rsidRPr="005F4D76" w:rsidRDefault="009612AA" w:rsidP="009612AA">
      <w:pPr>
        <w:pStyle w:val="LineBottom"/>
      </w:pPr>
    </w:p>
    <w:p w14:paraId="48A6AA5D" w14:textId="77777777" w:rsidR="00363B94" w:rsidRPr="005F4D76" w:rsidRDefault="0079297D">
      <w:pPr>
        <w:pStyle w:val="CoverReference"/>
      </w:pPr>
      <w:r w:rsidRPr="005F4D76">
        <w:rPr>
          <w:rStyle w:val="HideTWBExt"/>
          <w:b w:val="0"/>
        </w:rPr>
        <w:t>&lt;RefProc&gt;</w:t>
      </w:r>
      <w:r w:rsidRPr="005F4D76">
        <w:t>2025/0287</w:t>
      </w:r>
      <w:r w:rsidRPr="005F4D76">
        <w:rPr>
          <w:rStyle w:val="HideTWBExt"/>
          <w:b w:val="0"/>
        </w:rPr>
        <w:t>&lt;/RefProc&gt;&lt;RefTypeProc&gt;</w:t>
      </w:r>
      <w:r w:rsidRPr="005F4D76">
        <w:t>(NLE)</w:t>
      </w:r>
      <w:r w:rsidRPr="005F4D76">
        <w:rPr>
          <w:rStyle w:val="HideTWBExt"/>
          <w:b w:val="0"/>
        </w:rPr>
        <w:t>&lt;/RefTypeProc&gt;</w:t>
      </w:r>
    </w:p>
    <w:p w14:paraId="3CE27F60" w14:textId="77777777" w:rsidR="00363B94" w:rsidRPr="005F4D76" w:rsidRDefault="0079297D">
      <w:pPr>
        <w:pStyle w:val="CoverDate"/>
      </w:pPr>
      <w:r w:rsidRPr="005F4D76">
        <w:rPr>
          <w:rStyle w:val="HideTWBExt"/>
        </w:rPr>
        <w:t>&lt;Date&gt;</w:t>
      </w:r>
      <w:r w:rsidRPr="005F4D76">
        <w:rPr>
          <w:rStyle w:val="HideTWBInt"/>
          <w:color w:val="auto"/>
        </w:rPr>
        <w:t>{23/02/2026}</w:t>
      </w:r>
      <w:r w:rsidRPr="005F4D76">
        <w:t>23.02.2026</w:t>
      </w:r>
      <w:r w:rsidRPr="005F4D76">
        <w:rPr>
          <w:rStyle w:val="HideTWBExt"/>
        </w:rPr>
        <w:t>&lt;/Date&gt;</w:t>
      </w:r>
    </w:p>
    <w:p w14:paraId="583D4FE7" w14:textId="77777777" w:rsidR="00363B94" w:rsidRPr="005F4D76" w:rsidRDefault="0079297D">
      <w:pPr>
        <w:pStyle w:val="CoverDocType"/>
      </w:pPr>
      <w:r w:rsidRPr="005F4D76">
        <w:rPr>
          <w:rStyle w:val="HideTWBExt"/>
          <w:b w:val="0"/>
        </w:rPr>
        <w:t>&lt;RefProcLect&gt;</w:t>
      </w:r>
      <w:r w:rsidRPr="005F4D76">
        <w:t>***</w:t>
      </w:r>
      <w:r w:rsidRPr="005F4D76">
        <w:rPr>
          <w:rStyle w:val="HideTWBExt"/>
          <w:b w:val="0"/>
        </w:rPr>
        <w:t>&lt;/RefProcLect&gt;</w:t>
      </w:r>
    </w:p>
    <w:p w14:paraId="432F3C71" w14:textId="77777777" w:rsidR="00363B94" w:rsidRPr="005F4D76" w:rsidRDefault="0079297D">
      <w:pPr>
        <w:pStyle w:val="CoverDocType24a"/>
      </w:pPr>
      <w:r w:rsidRPr="005F4D76">
        <w:rPr>
          <w:rStyle w:val="HideTWBExt"/>
          <w:b w:val="0"/>
        </w:rPr>
        <w:t>&lt;TitreType&gt;</w:t>
      </w:r>
      <w:r w:rsidRPr="005F4D76">
        <w:t>UDKAST TIL HENSTILLING</w:t>
      </w:r>
      <w:r w:rsidRPr="005F4D76">
        <w:rPr>
          <w:rStyle w:val="HideTWBExt"/>
          <w:b w:val="0"/>
        </w:rPr>
        <w:t>&lt;/TitreType&gt;</w:t>
      </w:r>
    </w:p>
    <w:p w14:paraId="062E87A2" w14:textId="77777777" w:rsidR="00363B94" w:rsidRPr="005F4D76" w:rsidRDefault="0079297D">
      <w:pPr>
        <w:pStyle w:val="CoverNormal"/>
      </w:pPr>
      <w:r w:rsidRPr="005F4D76">
        <w:rPr>
          <w:rStyle w:val="HideTWBExt"/>
        </w:rPr>
        <w:t>&lt;Titre&gt;</w:t>
      </w:r>
      <w:r w:rsidRPr="005F4D76">
        <w:t>om udkast til Rådets afgørelse om indgåelse på Unionens vegne af protokollen om gennemførelse af partnerskabsaftalen om bæredygtigt fiskeri mellem Den Europæiske Union og Cookøernes regering (2025-2032)</w:t>
      </w:r>
      <w:r w:rsidRPr="005F4D76">
        <w:rPr>
          <w:rStyle w:val="HideTWBExt"/>
        </w:rPr>
        <w:t>&lt;/Titre&gt;</w:t>
      </w:r>
    </w:p>
    <w:p w14:paraId="4215F764" w14:textId="77777777" w:rsidR="00363B94" w:rsidRPr="005F4D76" w:rsidRDefault="0079297D">
      <w:pPr>
        <w:pStyle w:val="CoverNormal24a"/>
      </w:pPr>
      <w:r w:rsidRPr="005F4D76">
        <w:rPr>
          <w:rStyle w:val="HideTWBExt"/>
        </w:rPr>
        <w:t>&lt;DocRef&gt;</w:t>
      </w:r>
      <w:r w:rsidRPr="005F4D76">
        <w:t>(13158/2025 – C10</w:t>
      </w:r>
      <w:r w:rsidRPr="005F4D76">
        <w:noBreakHyphen/>
        <w:t>0346/2025 – 2025/0287(NLE))</w:t>
      </w:r>
      <w:r w:rsidRPr="005F4D76">
        <w:rPr>
          <w:rStyle w:val="HideTWBExt"/>
        </w:rPr>
        <w:t>&lt;/DocRef&gt;</w:t>
      </w:r>
    </w:p>
    <w:p w14:paraId="5FC0913E" w14:textId="77777777" w:rsidR="00363B94" w:rsidRPr="005F4D76" w:rsidRDefault="0079297D">
      <w:pPr>
        <w:pStyle w:val="CoverNormal24a"/>
      </w:pPr>
      <w:r w:rsidRPr="005F4D76">
        <w:rPr>
          <w:rStyle w:val="HideTWBExt"/>
        </w:rPr>
        <w:t>&lt;Commission&gt;</w:t>
      </w:r>
      <w:r w:rsidRPr="005F4D76">
        <w:rPr>
          <w:rStyle w:val="HideTWBInt"/>
          <w:color w:val="auto"/>
        </w:rPr>
        <w:t>{PECH}</w:t>
      </w:r>
      <w:r w:rsidRPr="005F4D76">
        <w:t>Fiskeriudvalget</w:t>
      </w:r>
      <w:r w:rsidRPr="005F4D76">
        <w:rPr>
          <w:rStyle w:val="HideTWBExt"/>
        </w:rPr>
        <w:t>&lt;/Commission&gt;</w:t>
      </w:r>
    </w:p>
    <w:p w14:paraId="7990D029" w14:textId="77777777" w:rsidR="00363B94" w:rsidRPr="005F4D76" w:rsidRDefault="0079297D">
      <w:pPr>
        <w:pStyle w:val="CoverNormal24a"/>
      </w:pPr>
      <w:r w:rsidRPr="005F4D76">
        <w:t xml:space="preserve">Ordfører: </w:t>
      </w:r>
      <w:r w:rsidRPr="005F4D76">
        <w:rPr>
          <w:rStyle w:val="HideTWBExt"/>
        </w:rPr>
        <w:t>&lt;Depute&gt;</w:t>
      </w:r>
      <w:r w:rsidRPr="005F4D76">
        <w:t>Oihane Agirregoitia Martínez</w:t>
      </w:r>
      <w:r w:rsidRPr="005F4D76">
        <w:rPr>
          <w:rStyle w:val="HideTWBExt"/>
        </w:rPr>
        <w:t>&lt;/Depute&gt;</w:t>
      </w:r>
    </w:p>
    <w:p w14:paraId="438EB087" w14:textId="77777777" w:rsidR="00B42885" w:rsidRPr="005F4D76" w:rsidRDefault="00B42885" w:rsidP="00B42885">
      <w:pPr>
        <w:pStyle w:val="CoverNormal"/>
      </w:pPr>
    </w:p>
    <w:p w14:paraId="5416F9CB" w14:textId="10A55CAC" w:rsidR="00833F59" w:rsidRPr="005F4D76" w:rsidRDefault="0079297D">
      <w:r w:rsidRPr="005F4D76">
        <w:br w:type="page"/>
      </w:r>
      <w:r w:rsidR="00FD14C4" w:rsidRPr="005F4D76">
        <w:lastRenderedPageBreak/>
        <w:fldChar w:fldCharType="begin"/>
      </w:r>
      <w:r w:rsidRPr="005F4D76">
        <w:instrText xml:space="preserve"> TITLE  \* MERGEFORMAT </w:instrText>
      </w:r>
      <w:r w:rsidR="00FD14C4" w:rsidRPr="005F4D76">
        <w:fldChar w:fldCharType="separate"/>
      </w:r>
      <w:r>
        <w:t>PR_NLE-AP_Agreement</w:t>
      </w:r>
      <w:r w:rsidR="00FD14C4" w:rsidRPr="005F4D76">
        <w:fldChar w:fldCharType="end"/>
      </w:r>
    </w:p>
    <w:p w14:paraId="1079B6EB" w14:textId="77777777" w:rsidR="00833F59" w:rsidRPr="005F4D76" w:rsidRDefault="00833F59"/>
    <w:p w14:paraId="286B0481" w14:textId="77777777" w:rsidR="00833F59" w:rsidRPr="005F4D76" w:rsidRDefault="00833F5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91D04" w:rsidRPr="005F4D76" w14:paraId="7259B697" w14:textId="77777777">
        <w:tc>
          <w:tcPr>
            <w:tcW w:w="5811" w:type="dxa"/>
          </w:tcPr>
          <w:p w14:paraId="2C988602" w14:textId="77777777" w:rsidR="00833F59" w:rsidRPr="005F4D76" w:rsidRDefault="0079297D">
            <w:pPr>
              <w:pStyle w:val="Lgendetitre"/>
            </w:pPr>
            <w:r w:rsidRPr="005F4D76">
              <w:t>Tegnforklaring</w:t>
            </w:r>
          </w:p>
        </w:tc>
      </w:tr>
      <w:tr w:rsidR="00291D04" w:rsidRPr="005F4D76" w14:paraId="3BF0D350" w14:textId="77777777">
        <w:trPr>
          <w:cantSplit/>
          <w:trHeight w:val="1807"/>
        </w:trPr>
        <w:tc>
          <w:tcPr>
            <w:tcW w:w="5811" w:type="dxa"/>
            <w:tcBorders>
              <w:bottom w:val="single" w:sz="4" w:space="0" w:color="auto"/>
            </w:tcBorders>
          </w:tcPr>
          <w:p w14:paraId="76BEC413" w14:textId="77777777" w:rsidR="00833F59" w:rsidRPr="005F4D76" w:rsidRDefault="0079297D">
            <w:pPr>
              <w:pStyle w:val="Lgendesigne"/>
            </w:pPr>
            <w:r w:rsidRPr="005F4D76">
              <w:tab/>
              <w:t>*</w:t>
            </w:r>
            <w:r w:rsidRPr="005F4D76">
              <w:tab/>
              <w:t>Høringsprocedure</w:t>
            </w:r>
          </w:p>
          <w:p w14:paraId="0F750B9C" w14:textId="77777777" w:rsidR="00833F59" w:rsidRPr="005F4D76" w:rsidRDefault="0079297D">
            <w:pPr>
              <w:pStyle w:val="Lgendesigne"/>
            </w:pPr>
            <w:r w:rsidRPr="005F4D76">
              <w:tab/>
              <w:t>***</w:t>
            </w:r>
            <w:r w:rsidRPr="005F4D76">
              <w:tab/>
            </w:r>
            <w:r w:rsidRPr="005F4D76">
              <w:t>Godkendelsesprocedure</w:t>
            </w:r>
          </w:p>
          <w:p w14:paraId="184B1925" w14:textId="77777777" w:rsidR="00833F59" w:rsidRPr="005F4D76" w:rsidRDefault="0079297D">
            <w:pPr>
              <w:pStyle w:val="Lgendesigne"/>
            </w:pPr>
            <w:r w:rsidRPr="005F4D76">
              <w:tab/>
              <w:t>***I</w:t>
            </w:r>
            <w:r w:rsidRPr="005F4D76">
              <w:tab/>
              <w:t>Almindelig lovgivningsprocedure (førstebehandling)</w:t>
            </w:r>
          </w:p>
          <w:p w14:paraId="14106022" w14:textId="77777777" w:rsidR="00833F59" w:rsidRPr="005F4D76" w:rsidRDefault="0079297D">
            <w:pPr>
              <w:pStyle w:val="Lgendesigne"/>
            </w:pPr>
            <w:r w:rsidRPr="005F4D76">
              <w:tab/>
              <w:t>***II</w:t>
            </w:r>
            <w:r w:rsidRPr="005F4D76">
              <w:tab/>
              <w:t>Almindelig lovgivningsprocedure (andenbehandling)</w:t>
            </w:r>
          </w:p>
          <w:p w14:paraId="5344BAF6" w14:textId="77777777" w:rsidR="00833F59" w:rsidRPr="005F4D76" w:rsidRDefault="0079297D">
            <w:pPr>
              <w:pStyle w:val="Lgendesigne"/>
            </w:pPr>
            <w:r w:rsidRPr="005F4D76">
              <w:tab/>
              <w:t>***III</w:t>
            </w:r>
            <w:r w:rsidRPr="005F4D76">
              <w:tab/>
              <w:t>Almindelig lovgivningsprocedure (tredjebehandling)</w:t>
            </w:r>
          </w:p>
          <w:p w14:paraId="0EC55B91" w14:textId="77777777" w:rsidR="00833F59" w:rsidRPr="005F4D76" w:rsidRDefault="00833F59">
            <w:pPr>
              <w:pStyle w:val="Lgendestandard"/>
            </w:pPr>
          </w:p>
          <w:p w14:paraId="4456883E" w14:textId="77777777" w:rsidR="00833F59" w:rsidRPr="005F4D76" w:rsidRDefault="0079297D">
            <w:pPr>
              <w:pStyle w:val="Lgendestandard"/>
            </w:pPr>
            <w:r w:rsidRPr="005F4D76">
              <w:t xml:space="preserve">(Proceduren afhænger af, hvilket retsgrundlag der er </w:t>
            </w:r>
            <w:r w:rsidRPr="005F4D76">
              <w:t>valgt i udkastet til retsakt)</w:t>
            </w:r>
          </w:p>
          <w:p w14:paraId="46B57FB3" w14:textId="77777777" w:rsidR="00833F59" w:rsidRPr="005F4D76" w:rsidRDefault="00833F59">
            <w:pPr>
              <w:pStyle w:val="Lgendestandard"/>
            </w:pPr>
          </w:p>
        </w:tc>
      </w:tr>
    </w:tbl>
    <w:p w14:paraId="20E78360" w14:textId="77777777" w:rsidR="00833F59" w:rsidRPr="005F4D76" w:rsidRDefault="00833F59"/>
    <w:p w14:paraId="6CA7AF26" w14:textId="77777777" w:rsidR="00363B94" w:rsidRPr="005F4D76" w:rsidRDefault="00363B94" w:rsidP="00613F2E">
      <w:pPr>
        <w:widowControl/>
        <w:tabs>
          <w:tab w:val="center" w:pos="4677"/>
        </w:tabs>
      </w:pPr>
    </w:p>
    <w:p w14:paraId="77F72443" w14:textId="77777777" w:rsidR="00363B94" w:rsidRPr="005F4D76" w:rsidRDefault="0079297D">
      <w:pPr>
        <w:pStyle w:val="TOCHeading"/>
      </w:pPr>
      <w:r w:rsidRPr="005F4D76">
        <w:br w:type="page"/>
      </w:r>
      <w:r w:rsidRPr="005F4D76">
        <w:lastRenderedPageBreak/>
        <w:t>INDHOLD</w:t>
      </w:r>
    </w:p>
    <w:p w14:paraId="5F370810" w14:textId="77777777" w:rsidR="00363B94" w:rsidRPr="005F4D76" w:rsidRDefault="0079297D">
      <w:pPr>
        <w:pStyle w:val="TOCPage"/>
      </w:pPr>
      <w:r w:rsidRPr="005F4D76">
        <w:t>Side</w:t>
      </w:r>
    </w:p>
    <w:p w14:paraId="4E2FBE05" w14:textId="7913BDD6" w:rsidR="0079297D" w:rsidRDefault="0079297D">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F4D76">
        <w:fldChar w:fldCharType="begin"/>
      </w:r>
      <w:r w:rsidRPr="005F4D76">
        <w:instrText xml:space="preserve"> TOC \t "PageHeading;1" </w:instrText>
      </w:r>
      <w:r w:rsidRPr="005F4D76">
        <w:fldChar w:fldCharType="separate"/>
      </w:r>
      <w:r>
        <w:rPr>
          <w:noProof/>
        </w:rPr>
        <w:t>FORSLAG TIL EUROPA-PARLAMENTETS LOVGIVNINGSMÆSSIGE BESLUTNING</w:t>
      </w:r>
      <w:r>
        <w:rPr>
          <w:noProof/>
        </w:rPr>
        <w:tab/>
      </w:r>
      <w:r>
        <w:rPr>
          <w:noProof/>
        </w:rPr>
        <w:fldChar w:fldCharType="begin"/>
      </w:r>
      <w:r>
        <w:rPr>
          <w:noProof/>
        </w:rPr>
        <w:instrText xml:space="preserve"> PAGEREF _Toc223074563 \h </w:instrText>
      </w:r>
      <w:r>
        <w:rPr>
          <w:noProof/>
        </w:rPr>
      </w:r>
      <w:r>
        <w:rPr>
          <w:noProof/>
        </w:rPr>
        <w:fldChar w:fldCharType="separate"/>
      </w:r>
      <w:r>
        <w:rPr>
          <w:noProof/>
        </w:rPr>
        <w:t>5</w:t>
      </w:r>
      <w:r>
        <w:rPr>
          <w:noProof/>
        </w:rPr>
        <w:fldChar w:fldCharType="end"/>
      </w:r>
    </w:p>
    <w:p w14:paraId="189999AA" w14:textId="520D3D00" w:rsidR="0079297D" w:rsidRDefault="0079297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_Toc223074564 \h </w:instrText>
      </w:r>
      <w:r>
        <w:rPr>
          <w:noProof/>
        </w:rPr>
      </w:r>
      <w:r>
        <w:rPr>
          <w:noProof/>
        </w:rPr>
        <w:fldChar w:fldCharType="separate"/>
      </w:r>
      <w:r>
        <w:rPr>
          <w:noProof/>
        </w:rPr>
        <w:t>6</w:t>
      </w:r>
      <w:r>
        <w:rPr>
          <w:noProof/>
        </w:rPr>
        <w:fldChar w:fldCharType="end"/>
      </w:r>
    </w:p>
    <w:p w14:paraId="57A8D783" w14:textId="0EFCC6F1" w:rsidR="0079297D" w:rsidRDefault="0079297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ERKLÆRING OM INPUT</w:t>
      </w:r>
      <w:r>
        <w:rPr>
          <w:noProof/>
        </w:rPr>
        <w:tab/>
      </w:r>
      <w:r>
        <w:rPr>
          <w:noProof/>
        </w:rPr>
        <w:fldChar w:fldCharType="begin"/>
      </w:r>
      <w:r>
        <w:rPr>
          <w:noProof/>
        </w:rPr>
        <w:instrText xml:space="preserve"> PAGEREF _Toc223074565 \h </w:instrText>
      </w:r>
      <w:r>
        <w:rPr>
          <w:noProof/>
        </w:rPr>
      </w:r>
      <w:r>
        <w:rPr>
          <w:noProof/>
        </w:rPr>
        <w:fldChar w:fldCharType="separate"/>
      </w:r>
      <w:r>
        <w:rPr>
          <w:noProof/>
        </w:rPr>
        <w:t>8</w:t>
      </w:r>
      <w:r>
        <w:rPr>
          <w:noProof/>
        </w:rPr>
        <w:fldChar w:fldCharType="end"/>
      </w:r>
    </w:p>
    <w:p w14:paraId="674E18AE" w14:textId="0360A4BF" w:rsidR="004E1650" w:rsidRPr="005F4D76" w:rsidRDefault="0079297D" w:rsidP="00F04010">
      <w:r w:rsidRPr="005F4D76">
        <w:fldChar w:fldCharType="end"/>
      </w:r>
    </w:p>
    <w:p w14:paraId="3A15BF20" w14:textId="77777777" w:rsidR="00363B94" w:rsidRPr="005F4D76" w:rsidRDefault="0079297D" w:rsidP="0006167F">
      <w:pPr>
        <w:pStyle w:val="PageHeading"/>
      </w:pPr>
      <w:r w:rsidRPr="005F4D76">
        <w:br w:type="page"/>
      </w:r>
      <w:r w:rsidRPr="005F4D76">
        <w:lastRenderedPageBreak/>
        <w:br w:type="page"/>
      </w:r>
      <w:bookmarkStart w:id="0" w:name="_Toc223074563"/>
      <w:r w:rsidRPr="005F4D76">
        <w:lastRenderedPageBreak/>
        <w:t>FORSLAG TIL EUROPA-PARLAMENTETS LOVGIVNINGSMÆSSIGE BESLUTNING</w:t>
      </w:r>
      <w:bookmarkEnd w:id="0"/>
    </w:p>
    <w:p w14:paraId="6F520863" w14:textId="77777777" w:rsidR="00363B94" w:rsidRPr="005F4D76" w:rsidRDefault="0079297D">
      <w:pPr>
        <w:pStyle w:val="NormalBold"/>
      </w:pPr>
      <w:r w:rsidRPr="005F4D76">
        <w:t>om udkast til Rådets afgørelse om indgåelse på Unionens vegne af protokollen om gennemførelse af partnerskabsaftalen om bæredygtigt fiskeri mellem Den Europæiske Union og Cookøernes regering (2025-2032)</w:t>
      </w:r>
    </w:p>
    <w:p w14:paraId="3918AF08" w14:textId="77777777" w:rsidR="00363B94" w:rsidRPr="005F4D76" w:rsidRDefault="0079297D">
      <w:pPr>
        <w:pStyle w:val="NormalBold12a"/>
      </w:pPr>
      <w:r w:rsidRPr="005F4D76">
        <w:t>(13158/2025 – C10</w:t>
      </w:r>
      <w:r w:rsidRPr="005F4D76">
        <w:noBreakHyphen/>
        <w:t>0346/2025 – 2025/0287(NLE))</w:t>
      </w:r>
    </w:p>
    <w:p w14:paraId="02FFA37F" w14:textId="77777777" w:rsidR="00363B94" w:rsidRPr="005F4D76" w:rsidRDefault="0079297D" w:rsidP="00893FBD">
      <w:pPr>
        <w:pStyle w:val="NormalBold"/>
      </w:pPr>
      <w:r w:rsidRPr="005F4D76">
        <w:t>(Godkendelse)</w:t>
      </w:r>
    </w:p>
    <w:p w14:paraId="242FED98" w14:textId="77777777" w:rsidR="00363B94" w:rsidRPr="005F4D76" w:rsidRDefault="0079297D">
      <w:pPr>
        <w:pStyle w:val="EPComma"/>
      </w:pPr>
      <w:r w:rsidRPr="005F4D76">
        <w:rPr>
          <w:i/>
        </w:rPr>
        <w:t>Europa-Parlamentet</w:t>
      </w:r>
      <w:r w:rsidRPr="005F4D76">
        <w:t>,</w:t>
      </w:r>
    </w:p>
    <w:p w14:paraId="5DBAAB5F" w14:textId="77777777" w:rsidR="00BF7F55" w:rsidRPr="005F4D76" w:rsidRDefault="0079297D" w:rsidP="00BF7F55">
      <w:pPr>
        <w:pStyle w:val="NormalHanging12a"/>
      </w:pPr>
      <w:r w:rsidRPr="005F4D76">
        <w:t>–</w:t>
      </w:r>
      <w:r w:rsidRPr="005F4D76">
        <w:tab/>
        <w:t>der henviser til udkast til Rådets afgørelse (13158/2025),</w:t>
      </w:r>
    </w:p>
    <w:p w14:paraId="5D4D5378" w14:textId="77777777" w:rsidR="00AF29DE" w:rsidRPr="005F4D76" w:rsidRDefault="0079297D" w:rsidP="00AF29DE">
      <w:pPr>
        <w:pStyle w:val="NormalHanging12a"/>
      </w:pPr>
      <w:r w:rsidRPr="005F4D76">
        <w:t>–</w:t>
      </w:r>
      <w:r w:rsidRPr="005F4D76">
        <w:tab/>
        <w:t xml:space="preserve">der henviser til udkast til protokol om </w:t>
      </w:r>
      <w:r w:rsidRPr="005F4D76">
        <w:t>gennemførelse af partnerskabsaftalen om bæredygtigt fiskeri mellem Den Europæiske Union og Cookøernes regering (2025-2032) (13165/2025),</w:t>
      </w:r>
    </w:p>
    <w:p w14:paraId="7A881B60" w14:textId="77777777" w:rsidR="00833F59" w:rsidRPr="005F4D76" w:rsidRDefault="0079297D" w:rsidP="00833F59">
      <w:pPr>
        <w:pStyle w:val="NormalHanging12a"/>
      </w:pPr>
      <w:r w:rsidRPr="005F4D76">
        <w:t>–</w:t>
      </w:r>
      <w:r w:rsidRPr="005F4D76">
        <w:tab/>
        <w:t>der henviser til den anmodning om godkendelse, som Rådet har forelagt, jf. artikel 43, stk. 2, og artikel 218, stk. 6, andet afsnit, litra a), nr. v), og stk. 7, i traktaten om Den Europæiske Unions funktionsmåde (C10</w:t>
      </w:r>
      <w:r w:rsidRPr="005F4D76">
        <w:noBreakHyphen/>
        <w:t>0346/2025),</w:t>
      </w:r>
    </w:p>
    <w:p w14:paraId="528F2A95" w14:textId="77777777" w:rsidR="001D73E9" w:rsidRPr="005F4D76" w:rsidRDefault="0079297D" w:rsidP="00833F59">
      <w:pPr>
        <w:pStyle w:val="NormalHanging12a"/>
      </w:pPr>
      <w:r w:rsidRPr="005F4D76">
        <w:t>–</w:t>
      </w:r>
      <w:r w:rsidRPr="005F4D76">
        <w:tab/>
        <w:t>der henviser til budgetmæssig vurdering fra Budgetudvalget,</w:t>
      </w:r>
    </w:p>
    <w:p w14:paraId="596187F2" w14:textId="77777777" w:rsidR="00833F59" w:rsidRPr="005F4D76" w:rsidRDefault="0079297D" w:rsidP="00833F59">
      <w:pPr>
        <w:pStyle w:val="NormalHanging12a"/>
      </w:pPr>
      <w:r w:rsidRPr="005F4D76">
        <w:t>–</w:t>
      </w:r>
      <w:r w:rsidRPr="005F4D76">
        <w:tab/>
        <w:t>der henviser til forretningsordenens artikel 107, stk. 1 og 4, og artikel 117, stk. 7,</w:t>
      </w:r>
    </w:p>
    <w:p w14:paraId="0DA92562" w14:textId="77777777" w:rsidR="001D73E9" w:rsidRPr="005F4D76" w:rsidRDefault="0079297D" w:rsidP="001D73E9">
      <w:pPr>
        <w:pStyle w:val="NormalHanging12a"/>
      </w:pPr>
      <w:r w:rsidRPr="005F4D76">
        <w:t>–</w:t>
      </w:r>
      <w:r w:rsidRPr="005F4D76">
        <w:tab/>
        <w:t>der henviser til udtalelse fra Udviklingsudvalget,</w:t>
      </w:r>
    </w:p>
    <w:p w14:paraId="2D0BEB9B" w14:textId="77777777" w:rsidR="00363B94" w:rsidRPr="005F4D76" w:rsidRDefault="0079297D">
      <w:pPr>
        <w:pStyle w:val="NormalHanging12a"/>
      </w:pPr>
      <w:r w:rsidRPr="005F4D76">
        <w:t>–</w:t>
      </w:r>
      <w:r w:rsidRPr="005F4D76">
        <w:tab/>
        <w:t>der henviser til henstilling fra Fiskeriudvalget (A10</w:t>
      </w:r>
      <w:r w:rsidRPr="005F4D76">
        <w:noBreakHyphen/>
        <w:t>0000/2025),</w:t>
      </w:r>
    </w:p>
    <w:p w14:paraId="3D5A6C54" w14:textId="77777777" w:rsidR="00363B94" w:rsidRPr="005F4D76" w:rsidRDefault="0079297D">
      <w:pPr>
        <w:pStyle w:val="NormalHanging12a"/>
      </w:pPr>
      <w:r w:rsidRPr="005F4D76">
        <w:t>1.</w:t>
      </w:r>
      <w:r w:rsidRPr="005F4D76">
        <w:tab/>
        <w:t>godkender indgåelsen af aftalen;</w:t>
      </w:r>
    </w:p>
    <w:p w14:paraId="50FAB63F" w14:textId="77777777" w:rsidR="001D02E3" w:rsidRPr="005F4D76" w:rsidRDefault="0079297D">
      <w:pPr>
        <w:pStyle w:val="NormalHanging12a"/>
      </w:pPr>
      <w:r w:rsidRPr="005F4D76">
        <w:t>2.</w:t>
      </w:r>
      <w:r w:rsidRPr="005F4D76">
        <w:tab/>
        <w:t xml:space="preserve">pålægger sin formand at sende Parlamentets holdning til Rådet og </w:t>
      </w:r>
      <w:r w:rsidRPr="005F4D76">
        <w:t>Kommissionen samt til medlemsstaternes regeringer og parlamenter og Cookøernes regering og parlament.</w:t>
      </w:r>
    </w:p>
    <w:p w14:paraId="3D2E5FA9" w14:textId="77777777" w:rsidR="00833F59" w:rsidRPr="005F4D76" w:rsidRDefault="00833F59">
      <w:pPr>
        <w:widowControl/>
        <w:sectPr w:rsidR="00833F59" w:rsidRPr="005F4D76" w:rsidSect="005F4D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718A8E4" w14:textId="77777777" w:rsidR="00CA2620" w:rsidRPr="005F4D76" w:rsidRDefault="0079297D" w:rsidP="00AF29DE">
      <w:pPr>
        <w:pStyle w:val="PageHeading"/>
      </w:pPr>
      <w:bookmarkStart w:id="1" w:name="_Toc215062069"/>
      <w:bookmarkStart w:id="2" w:name="_Toc223074564"/>
      <w:r w:rsidRPr="005F4D76">
        <w:lastRenderedPageBreak/>
        <w:t>BEGRUNDELSE</w:t>
      </w:r>
      <w:bookmarkEnd w:id="1"/>
      <w:bookmarkEnd w:id="2"/>
    </w:p>
    <w:p w14:paraId="48140C24" w14:textId="77777777" w:rsidR="00DC4473" w:rsidRPr="005F4D76" w:rsidRDefault="0079297D" w:rsidP="00DC4473">
      <w:pPr>
        <w:widowControl/>
      </w:pPr>
      <w:r w:rsidRPr="005F4D76">
        <w:t>Denne nye protokol er forhandlet frem med henblik på at gennemføre partnerskabsaftalen om bæredygtigt fiskeri mellem Unionen og Cookøerne, som har været i kraft siden den 10. maj 2017. Protokollen dækker en periode på syv år og har til formål at ajourføre rammerne for samarbejdet mellem Unionen og Cookøerne under hensyntagen til prioriteterne i den fælles fiskeripolitik og Cookøernes prioriteter. Denne gennemførelsesprotokol vil også styrke det strategiske partnerskab, som Unionen har med Cookøerne, og frem</w:t>
      </w:r>
      <w:r w:rsidRPr="005F4D76">
        <w:t xml:space="preserve">me en bæredygtig fiskeripolitik og en ansvarlig udnyttelse af fiskeressourcerne i Cookøernes farvande. </w:t>
      </w:r>
    </w:p>
    <w:p w14:paraId="4422AEB3" w14:textId="77777777" w:rsidR="00DC4473" w:rsidRPr="005F4D76" w:rsidRDefault="00DC4473" w:rsidP="00DC4473">
      <w:pPr>
        <w:widowControl/>
      </w:pPr>
    </w:p>
    <w:p w14:paraId="0194D8E8" w14:textId="77777777" w:rsidR="00DC4473" w:rsidRPr="005F4D76" w:rsidRDefault="0079297D" w:rsidP="00DC4473">
      <w:pPr>
        <w:widowControl/>
      </w:pPr>
      <w:r w:rsidRPr="005F4D76">
        <w:t xml:space="preserve">Ordføreren fremhæver protokollens betydning med hensyn til at bidrage til en bæredygtig fiskeriforvaltning, og påpeger følgelig, at det er vigtigt, at gennemførelsen sker på grundlag af den bedste foreliggende videnskabelige rådgivning, og at videnskabeligt samarbejde bliver en vigtig del af det fortsatte partnerskab med Cookøerne. </w:t>
      </w:r>
    </w:p>
    <w:p w14:paraId="4651E185" w14:textId="77777777" w:rsidR="00DC4473" w:rsidRPr="005F4D76" w:rsidRDefault="00DC4473" w:rsidP="00DC4473">
      <w:pPr>
        <w:widowControl/>
      </w:pPr>
    </w:p>
    <w:p w14:paraId="4E458FB9" w14:textId="77777777" w:rsidR="00DC4473" w:rsidRPr="005F4D76" w:rsidRDefault="0079297D" w:rsidP="00DC4473">
      <w:pPr>
        <w:widowControl/>
      </w:pPr>
      <w:r w:rsidRPr="005F4D76">
        <w:t>Ordføreren mener desuden, at det er vigtigt, at vores fiskeriforbindelser med Cookøerne gennemføres på en måde, der hænger sammen med de andre områder for samarbejdet mellem vores Union og Cookøerne. Det er vigtigt, at vi fokuserer på at sikre synergier i alle aspekter af vores partnerskab med Cookøerne, som omfatter andre strategiske spørgsmål såsom miljømæssig bæredygtighed, modstandsdygtighed over for klimaændringer samt bredere økonomisk samarbejde.</w:t>
      </w:r>
    </w:p>
    <w:p w14:paraId="5DA77A6E" w14:textId="77777777" w:rsidR="00DC4473" w:rsidRPr="005F4D76" w:rsidRDefault="00DC4473" w:rsidP="00DC4473">
      <w:pPr>
        <w:widowControl/>
      </w:pPr>
    </w:p>
    <w:p w14:paraId="7D10C013" w14:textId="77777777" w:rsidR="00DC4473" w:rsidRPr="005F4D76" w:rsidRDefault="0079297D" w:rsidP="00DC4473">
      <w:pPr>
        <w:widowControl/>
      </w:pPr>
      <w:r w:rsidRPr="005F4D76">
        <w:t>Protokollen vil give fiskerimuligheder for fire notfartøjer til tunfiskeri og 40 fiskedage om året i Cookøernes fiskeriområde. Protokollen og adgangen til disse fiskerimuligheder i Cookøernes fiskeriområde er vigtig for de EU-fartøjer, der fisker i området. Sammenlignet med den seneste protokol udgør dette en reduktion af antallet af fiskedage for at bringe den bedre i overensstemmelse med udnyttelsesgraden under den seneste protokol. Protokollen fastsætter en årlig finansiel modydelse til Cookøerne på 460 </w:t>
      </w:r>
      <w:r w:rsidRPr="005F4D76">
        <w:t xml:space="preserve">000 EUR, heraf 165 000 EUR for adgang til fiskeressourcerne og 295 000 EUR til støtte for udviklingen af Cookøernes sektorpolitik for fiskeri. </w:t>
      </w:r>
    </w:p>
    <w:p w14:paraId="06A58B3F" w14:textId="77777777" w:rsidR="00DC4473" w:rsidRPr="005F4D76" w:rsidRDefault="00DC4473" w:rsidP="00DC4473">
      <w:pPr>
        <w:widowControl/>
      </w:pPr>
    </w:p>
    <w:p w14:paraId="17DBAA8F" w14:textId="77777777" w:rsidR="00DC4473" w:rsidRPr="005F4D76" w:rsidRDefault="0079297D" w:rsidP="00DC4473">
      <w:pPr>
        <w:widowControl/>
      </w:pPr>
      <w:r w:rsidRPr="005F4D76">
        <w:t>Ordføreren foreslår, at Parlamentet godkender den nye protokol. Det er vigtigt både for de EU-fiskerfartøjer, der fisker i området, men også for at styrke det strategiske partnerskab mellem Unionen og Cookøerne. For Unionen er den geopolitiske situation i området en vigtig grund til at opretholde stærke partnerskaber med partnerlande i området samt et tættere samarbejde og en styrket havforvaltning i det vestlige og centrale Stillehav, navnlig gennem arbejdet i de regionale fiskeriforvaltningsorganisationer</w:t>
      </w:r>
      <w:r w:rsidRPr="005F4D76">
        <w:t xml:space="preserve"> såsom WCPFC. </w:t>
      </w:r>
    </w:p>
    <w:p w14:paraId="612AEC0A" w14:textId="77777777" w:rsidR="00DC4473" w:rsidRPr="005F4D76" w:rsidRDefault="00DC4473" w:rsidP="00DC4473">
      <w:pPr>
        <w:widowControl/>
      </w:pPr>
    </w:p>
    <w:p w14:paraId="46AE2F66" w14:textId="77777777" w:rsidR="00DC4473" w:rsidRPr="005F4D76" w:rsidRDefault="0079297D" w:rsidP="00DC4473">
      <w:pPr>
        <w:widowControl/>
      </w:pPr>
      <w:r w:rsidRPr="005F4D76">
        <w:t>Ordføreren udtrykker navnlig bekymring over Kinas aktiviteter og udvidede indflydelse i regionen og mener, at det er vigtigt for Unionen at arbejde omhyggeligt på at bevare vores partnerskaber i regionen og undersøge potentielle nye partnerskaber for at styrke EU's indflydelse og bidrage til en stærkere regelbaseret havforvaltningsstruktur.</w:t>
      </w:r>
    </w:p>
    <w:p w14:paraId="235D27E2" w14:textId="77777777" w:rsidR="00DC4473" w:rsidRPr="005F4D76" w:rsidRDefault="00DC4473" w:rsidP="00DC4473">
      <w:pPr>
        <w:widowControl/>
      </w:pPr>
    </w:p>
    <w:p w14:paraId="47CFDC0C" w14:textId="77777777" w:rsidR="00DC4473" w:rsidRPr="005F4D76" w:rsidRDefault="0079297D" w:rsidP="00DC4473">
      <w:pPr>
        <w:widowControl/>
      </w:pPr>
      <w:r w:rsidRPr="005F4D76">
        <w:t>Ordføreren fremhæver, at sektorstøtten under den nye protokol vil bidrage til gennemførelsen af Cookøernes fiskeripolitik og til udviklingen af deres nationale sektor og fiskeriøkonomi ved at fremme vækst i forbindelse med fiskerirelaterede økonomiske aktiviteter, herunder den tilhørende infrastruktur, og sikre anstændige arbejdsvilkår. Støtten vil også bidrage til deres globale plan for fiskeriet samt overvågning og bekæmpelse af ulovligt fiskeri og støtte deres ikkeindustrielle fiskerisektor.</w:t>
      </w:r>
    </w:p>
    <w:p w14:paraId="0C399520" w14:textId="77777777" w:rsidR="00DC4473" w:rsidRPr="005F4D76" w:rsidRDefault="00DC4473" w:rsidP="00DC4473">
      <w:pPr>
        <w:widowControl/>
      </w:pPr>
    </w:p>
    <w:p w14:paraId="181A9B29" w14:textId="77777777" w:rsidR="00DC4473" w:rsidRPr="005F4D76" w:rsidRDefault="0079297D" w:rsidP="00DC4473">
      <w:pPr>
        <w:widowControl/>
      </w:pPr>
      <w:r w:rsidRPr="005F4D76">
        <w:t>Ordføreren vil endvidere fremhæve betydningen af, at Kommissionen og Rådet respekterer Europa-Parlamentets rettigheder og beføjelser i forbindelse med gennemførelsen og en eventuel fornyelse af aftalen eller protokollen. I den forbindelse er det vigtigt, at Parlamentet på hvert trin underrettes fuldt ud og omgående om procedurerne i forbindelse med protokollen og aftalen.</w:t>
      </w:r>
    </w:p>
    <w:p w14:paraId="4FBF1FA7" w14:textId="77777777" w:rsidR="00CA2620" w:rsidRPr="005F4D76" w:rsidRDefault="00CA2620" w:rsidP="00CA2620">
      <w:pPr>
        <w:widowControl/>
      </w:pPr>
    </w:p>
    <w:p w14:paraId="722E2680" w14:textId="77777777" w:rsidR="00CA2620" w:rsidRPr="005F4D76" w:rsidRDefault="0079297D">
      <w:pPr>
        <w:widowControl/>
      </w:pPr>
      <w:r w:rsidRPr="005F4D76">
        <w:br w:type="page"/>
      </w:r>
    </w:p>
    <w:p w14:paraId="6F87FEB9" w14:textId="77777777" w:rsidR="00CA2620" w:rsidRPr="005F4D76" w:rsidRDefault="00CA2620" w:rsidP="00CA2620">
      <w:pPr>
        <w:widowControl/>
      </w:pPr>
    </w:p>
    <w:p w14:paraId="4F43F3B8" w14:textId="77777777" w:rsidR="00833F59" w:rsidRPr="005F4D76" w:rsidRDefault="0079297D">
      <w:pPr>
        <w:pStyle w:val="PageHeading"/>
        <w:rPr>
          <w:noProof/>
        </w:rPr>
      </w:pPr>
      <w:bookmarkStart w:id="3" w:name="FootprintPageRR"/>
      <w:bookmarkStart w:id="4" w:name="_Toc223074565"/>
      <w:r w:rsidRPr="005F4D76">
        <w:t>BILAG: ERKLÆRING OM INPUT</w:t>
      </w:r>
      <w:bookmarkEnd w:id="4"/>
    </w:p>
    <w:p w14:paraId="7CE9C510" w14:textId="77777777" w:rsidR="00833F59" w:rsidRPr="005F4D76" w:rsidRDefault="0079297D">
      <w:pPr>
        <w:pStyle w:val="Normal24a"/>
        <w:spacing w:after="240"/>
      </w:pPr>
      <w:r w:rsidRPr="005F4D76">
        <w:rPr>
          <w:rStyle w:val="HideTWBExt"/>
        </w:rPr>
        <w:t>&lt;FootprintIntro&gt;</w:t>
      </w:r>
      <w:r w:rsidRPr="005F4D76">
        <w:t xml:space="preserve">Ordføreren erklærer på eget ansvar, at hun ikke i sin betænkning har medtaget input fra interesserepræsentanter, der er omfattet af </w:t>
      </w:r>
      <w:r w:rsidRPr="005F4D76">
        <w:t>anvendelsesområdet for den interinstitutionelle aftale om et obligatorisk åbenhedsregister</w:t>
      </w:r>
      <w:r w:rsidRPr="005F4D76">
        <w:rPr>
          <w:rStyle w:val="FootnoteReference"/>
        </w:rPr>
        <w:footnoteReference w:id="1"/>
      </w:r>
      <w:r w:rsidRPr="005F4D76">
        <w:t>, eller fra repræsentanter for offentlige myndigheder i tredjelande, herunder deres diplomatiske missioner og ambassader, som i henhold til artikel 8 i bilag I til forretningsordenen skal angives i dette bilag.</w:t>
      </w:r>
      <w:r w:rsidRPr="005F4D76">
        <w:rPr>
          <w:rStyle w:val="HideTWBExt"/>
        </w:rPr>
        <w:t>&lt;/FootprintIntro&gt;</w:t>
      </w:r>
    </w:p>
    <w:p w14:paraId="2F39F43E" w14:textId="77777777" w:rsidR="00833F59" w:rsidRPr="005F4D76" w:rsidRDefault="00833F59">
      <w:pPr>
        <w:pStyle w:val="Footprint12b"/>
      </w:pPr>
    </w:p>
    <w:p w14:paraId="5D5BCB0F" w14:textId="77777777" w:rsidR="00833F59" w:rsidRPr="005F4D76" w:rsidRDefault="00833F59" w:rsidP="00833F59"/>
    <w:bookmarkEnd w:id="3"/>
    <w:p w14:paraId="2589E4CE" w14:textId="77777777" w:rsidR="00363B94" w:rsidRPr="005F4D76" w:rsidRDefault="00363B94" w:rsidP="00822206"/>
    <w:sectPr w:rsidR="00363B94" w:rsidRPr="005F4D76" w:rsidSect="00833F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E2346" w14:textId="77777777" w:rsidR="0079297D" w:rsidRPr="005F4D76" w:rsidRDefault="0079297D">
      <w:r w:rsidRPr="005F4D76">
        <w:separator/>
      </w:r>
    </w:p>
  </w:endnote>
  <w:endnote w:type="continuationSeparator" w:id="0">
    <w:p w14:paraId="6D3398F9" w14:textId="77777777" w:rsidR="0079297D" w:rsidRPr="005F4D76" w:rsidRDefault="0079297D">
      <w:r w:rsidRPr="005F4D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5C49E" w14:textId="77777777" w:rsidR="005F4D76" w:rsidRPr="005F4D76" w:rsidRDefault="005F4D76" w:rsidP="005F4D76">
    <w:pPr>
      <w:pStyle w:val="EPFooter"/>
    </w:pPr>
    <w:r w:rsidRPr="005F4D76">
      <w:t>PE</w:t>
    </w:r>
    <w:r w:rsidRPr="005F4D76">
      <w:rPr>
        <w:rStyle w:val="HideTWBExt"/>
      </w:rPr>
      <w:t>&lt;NoPE&gt;</w:t>
    </w:r>
    <w:r w:rsidRPr="005F4D76">
      <w:t>779.323</w:t>
    </w:r>
    <w:r w:rsidRPr="005F4D76">
      <w:rPr>
        <w:rStyle w:val="HideTWBExt"/>
      </w:rPr>
      <w:t>&lt;/NoPE&gt;&lt;Version&gt;</w:t>
    </w:r>
    <w:r w:rsidRPr="005F4D76">
      <w:t>v02-00</w:t>
    </w:r>
    <w:r w:rsidRPr="005F4D76">
      <w:rPr>
        <w:rStyle w:val="HideTWBExt"/>
      </w:rPr>
      <w:t>&lt;/Version&gt;</w:t>
    </w:r>
    <w:r w:rsidRPr="005F4D76">
      <w:tab/>
    </w:r>
    <w:r w:rsidRPr="005F4D76">
      <w:fldChar w:fldCharType="begin"/>
    </w:r>
    <w:r w:rsidRPr="005F4D76">
      <w:instrText xml:space="preserve"> PAGE  \* MERGEFORMAT </w:instrText>
    </w:r>
    <w:r w:rsidRPr="005F4D76">
      <w:fldChar w:fldCharType="separate"/>
    </w:r>
    <w:r w:rsidRPr="005F4D76">
      <w:rPr>
        <w:noProof/>
      </w:rPr>
      <w:t>1</w:t>
    </w:r>
    <w:r w:rsidRPr="005F4D76">
      <w:fldChar w:fldCharType="end"/>
    </w:r>
    <w:r w:rsidRPr="005F4D76">
      <w:t>/</w:t>
    </w:r>
    <w:fldSimple w:instr=" NUMPAGES  \* MERGEFORMAT ">
      <w:r w:rsidRPr="005F4D76">
        <w:rPr>
          <w:noProof/>
        </w:rPr>
        <w:t>1</w:t>
      </w:r>
    </w:fldSimple>
    <w:r w:rsidRPr="005F4D76">
      <w:tab/>
    </w:r>
    <w:r w:rsidRPr="005F4D76">
      <w:rPr>
        <w:rStyle w:val="HideTWBExt"/>
      </w:rPr>
      <w:t>&lt;PathFdR&gt;</w:t>
    </w:r>
    <w:r w:rsidRPr="005F4D76">
      <w:t>PR\1338043DA.docx</w:t>
    </w:r>
    <w:r w:rsidRPr="005F4D76">
      <w:rPr>
        <w:rStyle w:val="HideTWBExt"/>
      </w:rPr>
      <w:t>&lt;/PathFdR&gt;</w:t>
    </w:r>
  </w:p>
  <w:p w14:paraId="33870CEF" w14:textId="49640CE5" w:rsidR="0085501C" w:rsidRPr="005F4D76" w:rsidRDefault="005F4D76" w:rsidP="005F4D76">
    <w:pPr>
      <w:pStyle w:val="EPFooter2"/>
    </w:pPr>
    <w:r w:rsidRPr="005F4D76">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F2E7C" w14:textId="77777777" w:rsidR="005F4D76" w:rsidRPr="005F4D76" w:rsidRDefault="005F4D76" w:rsidP="005F4D76">
    <w:pPr>
      <w:pStyle w:val="EPFooter"/>
    </w:pPr>
    <w:r w:rsidRPr="005F4D76">
      <w:rPr>
        <w:rStyle w:val="HideTWBExt"/>
      </w:rPr>
      <w:t>&lt;PathFdR&gt;</w:t>
    </w:r>
    <w:r w:rsidRPr="005F4D76">
      <w:t>PR\1338043DA.docx</w:t>
    </w:r>
    <w:r w:rsidRPr="005F4D76">
      <w:rPr>
        <w:rStyle w:val="HideTWBExt"/>
      </w:rPr>
      <w:t>&lt;/PathFdR&gt;</w:t>
    </w:r>
    <w:r w:rsidRPr="005F4D76">
      <w:tab/>
    </w:r>
    <w:r w:rsidRPr="005F4D76">
      <w:fldChar w:fldCharType="begin"/>
    </w:r>
    <w:r w:rsidRPr="005F4D76">
      <w:instrText xml:space="preserve"> PAGE  \* MERGEFORMAT </w:instrText>
    </w:r>
    <w:r w:rsidRPr="005F4D76">
      <w:fldChar w:fldCharType="separate"/>
    </w:r>
    <w:r w:rsidRPr="005F4D76">
      <w:rPr>
        <w:noProof/>
      </w:rPr>
      <w:t>1</w:t>
    </w:r>
    <w:r w:rsidRPr="005F4D76">
      <w:fldChar w:fldCharType="end"/>
    </w:r>
    <w:r w:rsidRPr="005F4D76">
      <w:t>/</w:t>
    </w:r>
    <w:fldSimple w:instr=" NUMPAGES  \* MERGEFORMAT ">
      <w:r w:rsidRPr="005F4D76">
        <w:rPr>
          <w:noProof/>
        </w:rPr>
        <w:t>1</w:t>
      </w:r>
    </w:fldSimple>
    <w:r w:rsidRPr="005F4D76">
      <w:tab/>
      <w:t>PE</w:t>
    </w:r>
    <w:r w:rsidRPr="005F4D76">
      <w:rPr>
        <w:rStyle w:val="HideTWBExt"/>
      </w:rPr>
      <w:t>&lt;NoPE&gt;</w:t>
    </w:r>
    <w:r w:rsidRPr="005F4D76">
      <w:t>779.323</w:t>
    </w:r>
    <w:r w:rsidRPr="005F4D76">
      <w:rPr>
        <w:rStyle w:val="HideTWBExt"/>
      </w:rPr>
      <w:t>&lt;/NoPE&gt;&lt;Version&gt;</w:t>
    </w:r>
    <w:r w:rsidRPr="005F4D76">
      <w:t>v02-00</w:t>
    </w:r>
    <w:r w:rsidRPr="005F4D76">
      <w:rPr>
        <w:rStyle w:val="HideTWBExt"/>
      </w:rPr>
      <w:t>&lt;/Version&gt;</w:t>
    </w:r>
  </w:p>
  <w:p w14:paraId="0A11B0D7" w14:textId="2643B9C3" w:rsidR="0085501C" w:rsidRPr="005F4D76" w:rsidRDefault="005F4D76" w:rsidP="005F4D76">
    <w:pPr>
      <w:pStyle w:val="EPFooter2"/>
    </w:pPr>
    <w:r w:rsidRPr="005F4D76">
      <w:tab/>
    </w:r>
    <w:r w:rsidRPr="005F4D76">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7AD53" w14:textId="77777777" w:rsidR="005F4D76" w:rsidRPr="005F4D76" w:rsidRDefault="005F4D76" w:rsidP="005F4D76">
    <w:pPr>
      <w:pStyle w:val="EPFooter"/>
    </w:pPr>
    <w:r w:rsidRPr="005F4D76">
      <w:rPr>
        <w:rStyle w:val="HideTWBExt"/>
      </w:rPr>
      <w:t>&lt;PathFdR&gt;</w:t>
    </w:r>
    <w:r w:rsidRPr="005F4D76">
      <w:t>PR\1338043DA.docx</w:t>
    </w:r>
    <w:r w:rsidRPr="005F4D76">
      <w:rPr>
        <w:rStyle w:val="HideTWBExt"/>
      </w:rPr>
      <w:t>&lt;/PathFdR&gt;</w:t>
    </w:r>
    <w:r w:rsidRPr="005F4D76">
      <w:tab/>
    </w:r>
    <w:r w:rsidRPr="005F4D76">
      <w:tab/>
      <w:t>PE</w:t>
    </w:r>
    <w:r w:rsidRPr="005F4D76">
      <w:rPr>
        <w:rStyle w:val="HideTWBExt"/>
      </w:rPr>
      <w:t>&lt;NoPE&gt;</w:t>
    </w:r>
    <w:r w:rsidRPr="005F4D76">
      <w:t>779.323</w:t>
    </w:r>
    <w:r w:rsidRPr="005F4D76">
      <w:rPr>
        <w:rStyle w:val="HideTWBExt"/>
      </w:rPr>
      <w:t>&lt;/NoPE&gt;&lt;Version&gt;</w:t>
    </w:r>
    <w:r w:rsidRPr="005F4D76">
      <w:t>v02-00</w:t>
    </w:r>
    <w:r w:rsidRPr="005F4D76">
      <w:rPr>
        <w:rStyle w:val="HideTWBExt"/>
      </w:rPr>
      <w:t>&lt;/Version&gt;</w:t>
    </w:r>
  </w:p>
  <w:p w14:paraId="791F2A28" w14:textId="2157C149" w:rsidR="0085501C" w:rsidRPr="005F4D76" w:rsidRDefault="005F4D76" w:rsidP="005F4D76">
    <w:pPr>
      <w:pStyle w:val="EPFooter2"/>
    </w:pPr>
    <w:r w:rsidRPr="005F4D76">
      <w:t>DA</w:t>
    </w:r>
    <w:r w:rsidRPr="005F4D76">
      <w:tab/>
    </w:r>
    <w:r w:rsidRPr="005F4D76">
      <w:rPr>
        <w:b w:val="0"/>
        <w:i/>
        <w:color w:val="C0C0C0"/>
        <w:sz w:val="22"/>
      </w:rPr>
      <w:t>Forenet i mangfoldighed</w:t>
    </w:r>
    <w:r w:rsidRPr="005F4D76">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027BC" w14:textId="77777777" w:rsidR="001867A9" w:rsidRPr="005F4D76" w:rsidRDefault="0079297D">
      <w:r w:rsidRPr="005F4D76">
        <w:separator/>
      </w:r>
    </w:p>
  </w:footnote>
  <w:footnote w:type="continuationSeparator" w:id="0">
    <w:p w14:paraId="7700A143" w14:textId="77777777" w:rsidR="001867A9" w:rsidRPr="005F4D76" w:rsidRDefault="0079297D">
      <w:r w:rsidRPr="005F4D76">
        <w:continuationSeparator/>
      </w:r>
    </w:p>
  </w:footnote>
  <w:footnote w:id="1">
    <w:p w14:paraId="16DB9103" w14:textId="77777777" w:rsidR="00833F59" w:rsidRPr="005F4D76" w:rsidRDefault="0079297D">
      <w:pPr>
        <w:pStyle w:val="FootnoteText"/>
      </w:pPr>
      <w:r w:rsidRPr="005F4D76">
        <w:rPr>
          <w:rStyle w:val="FootnoteReference"/>
        </w:rPr>
        <w:footnoteRef/>
      </w:r>
      <w:r w:rsidRPr="005F4D76">
        <w:t xml:space="preserve"> Interinstitutionel aftale af 20. maj 2021 mellem Europa-Parlamentet, Rådet for Den Europæiske Union og Europa-Kommissionen om et obligatorisk åbenhedsregister (EUT L 207 af 11.6.2021, s. 1, ELI: </w:t>
      </w:r>
      <w:hyperlink r:id="rId1" w:history="1">
        <w:r w:rsidRPr="005F4D76">
          <w:rPr>
            <w:rStyle w:val="Hyperlink"/>
            <w:sz w:val="24"/>
          </w:rPr>
          <w:t>http://data.europa.eu/eli/agree_interinstit/2021/611/oj</w:t>
        </w:r>
      </w:hyperlink>
      <w:r w:rsidRPr="005F4D7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47775" w14:textId="77777777" w:rsidR="0079297D" w:rsidRDefault="007929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10CB" w14:textId="77777777" w:rsidR="0079297D" w:rsidRDefault="007929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7A281" w14:textId="77777777" w:rsidR="0079297D" w:rsidRDefault="00792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05506433">
    <w:abstractNumId w:val="9"/>
  </w:num>
  <w:num w:numId="2" w16cid:durableId="15082995">
    <w:abstractNumId w:val="9"/>
  </w:num>
  <w:num w:numId="3" w16cid:durableId="1843811809">
    <w:abstractNumId w:val="7"/>
  </w:num>
  <w:num w:numId="4" w16cid:durableId="2023629893">
    <w:abstractNumId w:val="7"/>
  </w:num>
  <w:num w:numId="5" w16cid:durableId="1751652903">
    <w:abstractNumId w:val="6"/>
  </w:num>
  <w:num w:numId="6" w16cid:durableId="1953592515">
    <w:abstractNumId w:val="6"/>
  </w:num>
  <w:num w:numId="7" w16cid:durableId="177930385">
    <w:abstractNumId w:val="5"/>
  </w:num>
  <w:num w:numId="8" w16cid:durableId="1168012410">
    <w:abstractNumId w:val="5"/>
  </w:num>
  <w:num w:numId="9" w16cid:durableId="1256785529">
    <w:abstractNumId w:val="4"/>
  </w:num>
  <w:num w:numId="10" w16cid:durableId="1929995864">
    <w:abstractNumId w:val="4"/>
  </w:num>
  <w:num w:numId="11" w16cid:durableId="1869949910">
    <w:abstractNumId w:val="8"/>
  </w:num>
  <w:num w:numId="12" w16cid:durableId="1984578943">
    <w:abstractNumId w:val="8"/>
  </w:num>
  <w:num w:numId="13" w16cid:durableId="2129275611">
    <w:abstractNumId w:val="3"/>
  </w:num>
  <w:num w:numId="14" w16cid:durableId="1992103063">
    <w:abstractNumId w:val="3"/>
  </w:num>
  <w:num w:numId="15" w16cid:durableId="212428344">
    <w:abstractNumId w:val="2"/>
  </w:num>
  <w:num w:numId="16" w16cid:durableId="625550044">
    <w:abstractNumId w:val="2"/>
  </w:num>
  <w:num w:numId="17" w16cid:durableId="1276668048">
    <w:abstractNumId w:val="1"/>
  </w:num>
  <w:num w:numId="18" w16cid:durableId="1422531717">
    <w:abstractNumId w:val="1"/>
  </w:num>
  <w:num w:numId="19" w16cid:durableId="1206792984">
    <w:abstractNumId w:val="0"/>
  </w:num>
  <w:num w:numId="20" w16cid:durableId="1011571462">
    <w:abstractNumId w:val="0"/>
  </w:num>
  <w:num w:numId="21" w16cid:durableId="1781147547">
    <w:abstractNumId w:val="9"/>
  </w:num>
  <w:num w:numId="22" w16cid:durableId="1197159176">
    <w:abstractNumId w:val="7"/>
  </w:num>
  <w:num w:numId="23" w16cid:durableId="406460904">
    <w:abstractNumId w:val="6"/>
  </w:num>
  <w:num w:numId="24" w16cid:durableId="1902522280">
    <w:abstractNumId w:val="5"/>
  </w:num>
  <w:num w:numId="25" w16cid:durableId="245308596">
    <w:abstractNumId w:val="4"/>
  </w:num>
  <w:num w:numId="26" w16cid:durableId="1541018812">
    <w:abstractNumId w:val="8"/>
  </w:num>
  <w:num w:numId="27" w16cid:durableId="1866208154">
    <w:abstractNumId w:val="3"/>
  </w:num>
  <w:num w:numId="28" w16cid:durableId="1266574944">
    <w:abstractNumId w:val="2"/>
  </w:num>
  <w:num w:numId="29" w16cid:durableId="747536273">
    <w:abstractNumId w:val="1"/>
  </w:num>
  <w:num w:numId="30" w16cid:durableId="16542432">
    <w:abstractNumId w:val="0"/>
  </w:num>
  <w:num w:numId="31" w16cid:durableId="1833905665">
    <w:abstractNumId w:val="9"/>
  </w:num>
  <w:num w:numId="32" w16cid:durableId="84424873">
    <w:abstractNumId w:val="7"/>
  </w:num>
  <w:num w:numId="33" w16cid:durableId="1530728111">
    <w:abstractNumId w:val="6"/>
  </w:num>
  <w:num w:numId="34" w16cid:durableId="761536080">
    <w:abstractNumId w:val="5"/>
  </w:num>
  <w:num w:numId="35" w16cid:durableId="249122678">
    <w:abstractNumId w:val="4"/>
  </w:num>
  <w:num w:numId="36" w16cid:durableId="1344815820">
    <w:abstractNumId w:val="8"/>
  </w:num>
  <w:num w:numId="37" w16cid:durableId="573122262">
    <w:abstractNumId w:val="3"/>
  </w:num>
  <w:num w:numId="38" w16cid:durableId="1764646416">
    <w:abstractNumId w:val="2"/>
  </w:num>
  <w:num w:numId="39" w16cid:durableId="527641860">
    <w:abstractNumId w:val="1"/>
  </w:num>
  <w:num w:numId="40" w16cid:durableId="1814322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2"/>
    <w:docVar w:name="CIT1MNU" w:val=" 4"/>
    <w:docVar w:name="CIT2MNU" w:val=" 4"/>
    <w:docVar w:name="CIT3MNU" w:val=" 4"/>
    <w:docVar w:name="COMKEY" w:val="PECH"/>
    <w:docVar w:name="CONSENTMNU" w:val=" 1"/>
    <w:docVar w:name="CONTRIBUTIONMNU" w:val=" 2"/>
    <w:docVar w:name="DOCDT" w:val="05/12/2025"/>
    <w:docVar w:name="LastEditedSection" w:val=" 1"/>
    <w:docVar w:name="NVAR1" w:val="0"/>
    <w:docVar w:name="strDocTypeID" w:val="PR_NLE-AP_Agreement"/>
    <w:docVar w:name="strSubDir" w:val="1338"/>
    <w:docVar w:name="TITLEMNU" w:val=" 2"/>
    <w:docVar w:name="TXTAUTHOR" w:val="Oihane Agirregoitia Martínez"/>
    <w:docVar w:name="TXTLANGUE" w:val="EN"/>
    <w:docVar w:name="TXTLANGUEMIN" w:val="en"/>
    <w:docVar w:name="TXTNRC" w:val="xxxxx/2025"/>
    <w:docVar w:name="TXTNRCOUNC" w:val="xxxxx/2025"/>
    <w:docVar w:name="TXTNRNLE" w:val="2025/0287"/>
    <w:docVar w:name="TXTNRPE" w:val="779.323"/>
    <w:docVar w:name="TXTPEorAP" w:val="PE"/>
    <w:docVar w:name="TXTROUTE" w:val="PR\1338043EN.docx"/>
    <w:docVar w:name="TXTTITLE" w:val="on the conclusion, on behalf of the Union, of the Protocol on the implementation of the Sustainable Fisheries Partnership Agreement between the European Union and the Government of the Cook Islands (2025-2032)"/>
    <w:docVar w:name="TXTVERSION" w:val="02-00"/>
  </w:docVars>
  <w:rsids>
    <w:rsidRoot w:val="00324200"/>
    <w:rsid w:val="00001D52"/>
    <w:rsid w:val="0000443F"/>
    <w:rsid w:val="000053E3"/>
    <w:rsid w:val="000322CB"/>
    <w:rsid w:val="0003530D"/>
    <w:rsid w:val="0006167F"/>
    <w:rsid w:val="00061EFE"/>
    <w:rsid w:val="00095D8B"/>
    <w:rsid w:val="000A2F5D"/>
    <w:rsid w:val="000A2F73"/>
    <w:rsid w:val="000C123D"/>
    <w:rsid w:val="000C3BD3"/>
    <w:rsid w:val="000D78AF"/>
    <w:rsid w:val="00180664"/>
    <w:rsid w:val="001867A9"/>
    <w:rsid w:val="001874D8"/>
    <w:rsid w:val="001D02E3"/>
    <w:rsid w:val="001D73E9"/>
    <w:rsid w:val="001F7BBE"/>
    <w:rsid w:val="0021049A"/>
    <w:rsid w:val="0022685A"/>
    <w:rsid w:val="00291D04"/>
    <w:rsid w:val="002A7EA4"/>
    <w:rsid w:val="002E2E20"/>
    <w:rsid w:val="002F5A83"/>
    <w:rsid w:val="003072BE"/>
    <w:rsid w:val="00324200"/>
    <w:rsid w:val="00337C92"/>
    <w:rsid w:val="00363B94"/>
    <w:rsid w:val="003B598C"/>
    <w:rsid w:val="003F10A4"/>
    <w:rsid w:val="004174FC"/>
    <w:rsid w:val="00460BD6"/>
    <w:rsid w:val="004859B3"/>
    <w:rsid w:val="004C083C"/>
    <w:rsid w:val="004E1650"/>
    <w:rsid w:val="005027B1"/>
    <w:rsid w:val="0053367A"/>
    <w:rsid w:val="00544D48"/>
    <w:rsid w:val="005877C0"/>
    <w:rsid w:val="005A6B14"/>
    <w:rsid w:val="005D0B97"/>
    <w:rsid w:val="005E52C5"/>
    <w:rsid w:val="005F4D76"/>
    <w:rsid w:val="005F5D6C"/>
    <w:rsid w:val="006132CE"/>
    <w:rsid w:val="00613F2E"/>
    <w:rsid w:val="00697218"/>
    <w:rsid w:val="006A1A75"/>
    <w:rsid w:val="006A2CF5"/>
    <w:rsid w:val="006F1B6F"/>
    <w:rsid w:val="006F3406"/>
    <w:rsid w:val="00732B33"/>
    <w:rsid w:val="00791637"/>
    <w:rsid w:val="0079297D"/>
    <w:rsid w:val="0080122F"/>
    <w:rsid w:val="00822206"/>
    <w:rsid w:val="00833F59"/>
    <w:rsid w:val="008368CB"/>
    <w:rsid w:val="0085501C"/>
    <w:rsid w:val="00861E41"/>
    <w:rsid w:val="00887349"/>
    <w:rsid w:val="0089017F"/>
    <w:rsid w:val="00893FBD"/>
    <w:rsid w:val="008B75A4"/>
    <w:rsid w:val="008D23C6"/>
    <w:rsid w:val="008D3030"/>
    <w:rsid w:val="008E3848"/>
    <w:rsid w:val="008E6772"/>
    <w:rsid w:val="00924EE0"/>
    <w:rsid w:val="009612AA"/>
    <w:rsid w:val="009E39A7"/>
    <w:rsid w:val="00A415B7"/>
    <w:rsid w:val="00AD0D8C"/>
    <w:rsid w:val="00AD5D0C"/>
    <w:rsid w:val="00AF29DE"/>
    <w:rsid w:val="00B31D18"/>
    <w:rsid w:val="00B42885"/>
    <w:rsid w:val="00B50C20"/>
    <w:rsid w:val="00B55A6C"/>
    <w:rsid w:val="00B6769C"/>
    <w:rsid w:val="00BB22CC"/>
    <w:rsid w:val="00BB41C8"/>
    <w:rsid w:val="00BE5E72"/>
    <w:rsid w:val="00BF0A0F"/>
    <w:rsid w:val="00BF2E15"/>
    <w:rsid w:val="00BF7638"/>
    <w:rsid w:val="00BF7F55"/>
    <w:rsid w:val="00C05DD8"/>
    <w:rsid w:val="00C15447"/>
    <w:rsid w:val="00C22243"/>
    <w:rsid w:val="00C35D01"/>
    <w:rsid w:val="00C50606"/>
    <w:rsid w:val="00CA2620"/>
    <w:rsid w:val="00CB5651"/>
    <w:rsid w:val="00CC20CB"/>
    <w:rsid w:val="00CF44DF"/>
    <w:rsid w:val="00D04E0B"/>
    <w:rsid w:val="00D62DA0"/>
    <w:rsid w:val="00D6543C"/>
    <w:rsid w:val="00DC4473"/>
    <w:rsid w:val="00DF594D"/>
    <w:rsid w:val="00E14FEE"/>
    <w:rsid w:val="00E33244"/>
    <w:rsid w:val="00E71368"/>
    <w:rsid w:val="00E93816"/>
    <w:rsid w:val="00EA59ED"/>
    <w:rsid w:val="00EF48F2"/>
    <w:rsid w:val="00EF4DC5"/>
    <w:rsid w:val="00F04010"/>
    <w:rsid w:val="00F30176"/>
    <w:rsid w:val="00F94472"/>
    <w:rsid w:val="00FA494A"/>
    <w:rsid w:val="00FC699E"/>
    <w:rsid w:val="00FD14C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238FD"/>
  <w15:chartTrackingRefBased/>
  <w15:docId w15:val="{91F33ECB-1423-4FDC-BFEF-9DFA62AE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833F59"/>
    <w:pPr>
      <w:tabs>
        <w:tab w:val="right" w:pos="454"/>
        <w:tab w:val="left" w:pos="737"/>
      </w:tabs>
      <w:ind w:left="737" w:hanging="737"/>
    </w:pPr>
    <w:rPr>
      <w:snapToGrid w:val="0"/>
      <w:sz w:val="18"/>
      <w:lang w:eastAsia="en-US"/>
    </w:rPr>
  </w:style>
  <w:style w:type="paragraph" w:customStyle="1" w:styleId="Lgendetitre">
    <w:name w:val="Légende titre"/>
    <w:basedOn w:val="Normal"/>
    <w:rsid w:val="00833F59"/>
    <w:pPr>
      <w:spacing w:before="240" w:after="240"/>
    </w:pPr>
    <w:rPr>
      <w:b/>
      <w:i/>
      <w:snapToGrid w:val="0"/>
      <w:lang w:eastAsia="en-US"/>
    </w:rPr>
  </w:style>
  <w:style w:type="paragraph" w:customStyle="1" w:styleId="Lgendestandard">
    <w:name w:val="Légende standard"/>
    <w:basedOn w:val="Normal"/>
    <w:rsid w:val="00833F59"/>
    <w:rPr>
      <w:sz w:val="18"/>
    </w:rPr>
  </w:style>
  <w:style w:type="paragraph" w:styleId="FootnoteText">
    <w:name w:val="footnote text"/>
    <w:basedOn w:val="Normal"/>
    <w:link w:val="FootnoteTextChar"/>
    <w:rsid w:val="00833F59"/>
    <w:rPr>
      <w:sz w:val="20"/>
    </w:rPr>
  </w:style>
  <w:style w:type="character" w:customStyle="1" w:styleId="FootnoteTextChar">
    <w:name w:val="Footnote Text Char"/>
    <w:basedOn w:val="DefaultParagraphFont"/>
    <w:link w:val="FootnoteText"/>
    <w:rsid w:val="00833F59"/>
  </w:style>
  <w:style w:type="character" w:styleId="FootnoteReference">
    <w:name w:val="footnote reference"/>
    <w:basedOn w:val="DefaultParagraphFont"/>
    <w:rsid w:val="00833F59"/>
    <w:rPr>
      <w:vertAlign w:val="superscript"/>
    </w:rPr>
  </w:style>
  <w:style w:type="paragraph" w:customStyle="1" w:styleId="Normal24a">
    <w:name w:val="Normal24a"/>
    <w:basedOn w:val="Normal"/>
    <w:rsid w:val="00833F59"/>
    <w:pPr>
      <w:spacing w:after="480"/>
    </w:pPr>
  </w:style>
  <w:style w:type="paragraph" w:customStyle="1" w:styleId="NormalBoldCenter">
    <w:name w:val="NormalBoldCenter"/>
    <w:basedOn w:val="Normal"/>
    <w:rsid w:val="00833F59"/>
    <w:pPr>
      <w:jc w:val="center"/>
    </w:pPr>
    <w:rPr>
      <w:b/>
    </w:rPr>
  </w:style>
  <w:style w:type="paragraph" w:customStyle="1" w:styleId="Footprint12b">
    <w:name w:val="Footprint12b"/>
    <w:basedOn w:val="Normal"/>
    <w:rsid w:val="00833F59"/>
    <w:pPr>
      <w:spacing w:before="240"/>
    </w:pPr>
    <w:rPr>
      <w:szCs w:val="24"/>
    </w:rPr>
  </w:style>
  <w:style w:type="paragraph" w:customStyle="1" w:styleId="NormalSingle">
    <w:name w:val="NormalSingle"/>
    <w:basedOn w:val="Normal"/>
    <w:qFormat/>
    <w:rsid w:val="00833F59"/>
    <w:rPr>
      <w:szCs w:val="24"/>
    </w:rPr>
  </w:style>
  <w:style w:type="character" w:styleId="Hyperlink">
    <w:name w:val="Hyperlink"/>
    <w:basedOn w:val="DefaultParagraphFont"/>
    <w:rsid w:val="00833F59"/>
    <w:rPr>
      <w:color w:val="0563C1" w:themeColor="hyperlink"/>
      <w:u w:val="single"/>
    </w:rPr>
  </w:style>
  <w:style w:type="character" w:styleId="UnresolvedMention">
    <w:name w:val="Unresolved Mention"/>
    <w:basedOn w:val="DefaultParagraphFont"/>
    <w:uiPriority w:val="99"/>
    <w:semiHidden/>
    <w:unhideWhenUsed/>
    <w:rsid w:val="00833F59"/>
    <w:rPr>
      <w:color w:val="605E5C"/>
      <w:shd w:val="clear" w:color="auto" w:fill="E1DFDD"/>
    </w:rPr>
  </w:style>
  <w:style w:type="paragraph" w:styleId="Footer">
    <w:name w:val="footer"/>
    <w:basedOn w:val="Normal"/>
    <w:link w:val="FooterChar"/>
    <w:semiHidden/>
    <w:rsid w:val="00CA2620"/>
    <w:pPr>
      <w:tabs>
        <w:tab w:val="center" w:pos="4513"/>
        <w:tab w:val="right" w:pos="9026"/>
      </w:tabs>
    </w:pPr>
  </w:style>
  <w:style w:type="character" w:customStyle="1" w:styleId="FooterChar">
    <w:name w:val="Footer Char"/>
    <w:basedOn w:val="DefaultParagraphFont"/>
    <w:link w:val="Footer"/>
    <w:semiHidden/>
    <w:rsid w:val="00CA2620"/>
    <w:rPr>
      <w:sz w:val="24"/>
    </w:rPr>
  </w:style>
  <w:style w:type="paragraph" w:styleId="Revision">
    <w:name w:val="Revision"/>
    <w:hidden/>
    <w:uiPriority w:val="99"/>
    <w:semiHidden/>
    <w:rsid w:val="000353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909</Words>
  <Characters>5969</Characters>
  <Application>Microsoft Office Word</Application>
  <DocSecurity>0</DocSecurity>
  <Lines>142</Lines>
  <Paragraphs>60</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NENICKOVA Sylva</dc:creator>
  <cp:lastModifiedBy>JENSEN Pia Gunnersen</cp:lastModifiedBy>
  <cp:revision>2</cp:revision>
  <cp:lastPrinted>2002-12-11T09:25:00Z</cp:lastPrinted>
  <dcterms:created xsi:type="dcterms:W3CDTF">2026-02-27T07:49:00Z</dcterms:created>
  <dcterms:modified xsi:type="dcterms:W3CDTF">2026-02-27T07:49:00Z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1338043</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\\eiciBRUpr1\pdocep$\DocEP\TRANSFIL\EN\PR_NLE-AP_Agreement.EN(04/10/2024 11:39:01)</vt:lpwstr>
  </property>
  <property fmtid="{D5CDD505-2E9C-101B-9397-08002B2CF9AE}" pid="7" name="&lt;Type&gt;">
    <vt:lpwstr>PR</vt:lpwstr>
  </property>
  <property fmtid="{D5CDD505-2E9C-101B-9397-08002B2CF9AE}" pid="8" name="Created with">
    <vt:lpwstr>10.2.0 Build [20251118]</vt:lpwstr>
  </property>
  <property fmtid="{D5CDD505-2E9C-101B-9397-08002B2CF9AE}" pid="9" name="FooterPath">
    <vt:lpwstr>PR\1338043DA.docx</vt:lpwstr>
  </property>
  <property fmtid="{D5CDD505-2E9C-101B-9397-08002B2CF9AE}" pid="10" name="LastEdited with">
    <vt:lpwstr>10.2.1 Build [20260110]</vt:lpwstr>
  </property>
  <property fmtid="{D5CDD505-2E9C-101B-9397-08002B2CF9AE}" pid="11" name="PE number">
    <vt:lpwstr>779.323</vt:lpwstr>
  </property>
  <property fmtid="{D5CDD505-2E9C-101B-9397-08002B2CF9AE}" pid="12" name="SDLStudio">
    <vt:lpwstr/>
  </property>
  <property fmtid="{D5CDD505-2E9C-101B-9397-08002B2CF9AE}" pid="13" name="SendToEpades">
    <vt:lpwstr>OK - 2026/02/23 16:29</vt:lpwstr>
  </property>
  <property fmtid="{D5CDD505-2E9C-101B-9397-08002B2CF9AE}" pid="14" name="Bookout">
    <vt:lpwstr>OK - 2026/02/27 08:49</vt:lpwstr>
  </property>
</Properties>
</file>