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A403F1" w14:paraId="0AD24495" w14:textId="77777777">
        <w:trPr>
          <w:trHeight w:hRule="exact" w:val="1418"/>
        </w:trPr>
        <w:tc>
          <w:tcPr>
            <w:tcW w:w="6804" w:type="dxa"/>
            <w:shd w:val="clear" w:color="auto" w:fill="auto"/>
            <w:vAlign w:val="center"/>
          </w:tcPr>
          <w:p w14:paraId="3CC1DA5C" w14:textId="0A660049" w:rsidR="00C05DD8" w:rsidRPr="00A403F1" w:rsidRDefault="002F6F34">
            <w:pPr>
              <w:pStyle w:val="EPName"/>
            </w:pPr>
            <w:r>
              <w:t>Parlamento europeo</w:t>
            </w:r>
          </w:p>
          <w:p w14:paraId="73E2DE19" w14:textId="77C76D02" w:rsidR="00C05DD8" w:rsidRPr="00A403F1" w:rsidRDefault="00833F59">
            <w:pPr>
              <w:pStyle w:val="EPTerm"/>
            </w:pPr>
            <w:r>
              <w:t>2024-2029</w:t>
            </w:r>
          </w:p>
        </w:tc>
        <w:tc>
          <w:tcPr>
            <w:tcW w:w="2268" w:type="dxa"/>
            <w:shd w:val="clear" w:color="auto" w:fill="auto"/>
          </w:tcPr>
          <w:p w14:paraId="616F6DC0" w14:textId="77777777" w:rsidR="00C05DD8" w:rsidRPr="00A403F1" w:rsidRDefault="00C05DD8">
            <w:pPr>
              <w:pStyle w:val="EPLogo"/>
            </w:pPr>
            <w:r w:rsidRPr="00A403F1">
              <w:rPr>
                <w:noProof/>
                <w:lang w:eastAsia="ja-JP"/>
              </w:rPr>
              <w:drawing>
                <wp:inline distT="0" distB="0" distL="0" distR="0" wp14:anchorId="67A82536" wp14:editId="38A867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9DB5D6" w14:textId="77777777" w:rsidR="009612AA" w:rsidRPr="00A403F1" w:rsidRDefault="009612AA" w:rsidP="009612AA">
      <w:pPr>
        <w:pStyle w:val="LineTop"/>
      </w:pPr>
    </w:p>
    <w:p w14:paraId="2055A4F1" w14:textId="6620F4FE" w:rsidR="009612AA" w:rsidRPr="00A403F1" w:rsidRDefault="009612AA" w:rsidP="009612AA">
      <w:pPr>
        <w:pStyle w:val="EPBody"/>
      </w:pPr>
      <w:r>
        <w:rPr>
          <w:rStyle w:val="HideTWBExt"/>
        </w:rPr>
        <w:t>&lt;</w:t>
      </w:r>
      <w:r>
        <w:rPr>
          <w:rStyle w:val="HideTWBExt"/>
          <w:i w:val="0"/>
        </w:rPr>
        <w:t>Commission</w:t>
      </w:r>
      <w:r>
        <w:rPr>
          <w:rStyle w:val="HideTWBExt"/>
        </w:rPr>
        <w:t>&gt;</w:t>
      </w:r>
      <w:r>
        <w:rPr>
          <w:rStyle w:val="HideTWBInt"/>
        </w:rPr>
        <w:t>{PECH}</w:t>
      </w:r>
      <w:r>
        <w:t>Commissione per la pesca</w:t>
      </w:r>
      <w:r>
        <w:rPr>
          <w:rStyle w:val="HideTWBExt"/>
        </w:rPr>
        <w:t>&lt;/</w:t>
      </w:r>
      <w:r>
        <w:rPr>
          <w:rStyle w:val="HideTWBExt"/>
          <w:i w:val="0"/>
        </w:rPr>
        <w:t>Commission</w:t>
      </w:r>
      <w:r>
        <w:rPr>
          <w:rStyle w:val="HideTWBExt"/>
        </w:rPr>
        <w:t>&gt;</w:t>
      </w:r>
    </w:p>
    <w:p w14:paraId="10A56EFF" w14:textId="77777777" w:rsidR="009612AA" w:rsidRPr="00A403F1" w:rsidRDefault="009612AA" w:rsidP="009612AA">
      <w:pPr>
        <w:pStyle w:val="LineBottom"/>
      </w:pPr>
    </w:p>
    <w:p w14:paraId="359FDE04" w14:textId="44FDDFAB" w:rsidR="00363B94" w:rsidRPr="00A403F1" w:rsidRDefault="00363B94">
      <w:pPr>
        <w:pStyle w:val="CoverReference"/>
      </w:pPr>
      <w:r>
        <w:rPr>
          <w:rStyle w:val="HideTWBExt"/>
          <w:b w:val="0"/>
        </w:rPr>
        <w:t>&lt;RefProc&gt;</w:t>
      </w:r>
      <w:r>
        <w:t>2025/0287</w:t>
      </w:r>
      <w:r>
        <w:rPr>
          <w:rStyle w:val="HideTWBExt"/>
          <w:b w:val="0"/>
        </w:rPr>
        <w:t>&lt;/RefProc&gt;&lt;RefTypeProc&gt;</w:t>
      </w:r>
      <w:r>
        <w:t>(NLE)</w:t>
      </w:r>
      <w:r>
        <w:rPr>
          <w:rStyle w:val="HideTWBExt"/>
          <w:b w:val="0"/>
        </w:rPr>
        <w:t>&lt;/RefTypeProc&gt;</w:t>
      </w:r>
    </w:p>
    <w:p w14:paraId="51150DD4" w14:textId="7099F20C" w:rsidR="00363B94" w:rsidRPr="00A403F1" w:rsidRDefault="00363B94">
      <w:pPr>
        <w:pStyle w:val="CoverDate"/>
      </w:pPr>
      <w:r>
        <w:rPr>
          <w:rStyle w:val="HideTWBExt"/>
        </w:rPr>
        <w:t>&lt;Date&gt;</w:t>
      </w:r>
      <w:r>
        <w:rPr>
          <w:rStyle w:val="HideTWBInt"/>
        </w:rPr>
        <w:t>{23/02/2026}</w:t>
      </w:r>
      <w:r>
        <w:t>23.02.2026</w:t>
      </w:r>
      <w:r>
        <w:rPr>
          <w:rStyle w:val="HideTWBExt"/>
        </w:rPr>
        <w:t>&lt;/Date&gt;</w:t>
      </w:r>
    </w:p>
    <w:p w14:paraId="2FC057B5" w14:textId="77777777" w:rsidR="00363B94" w:rsidRPr="00A403F1" w:rsidRDefault="00363B94">
      <w:pPr>
        <w:pStyle w:val="CoverDocType"/>
      </w:pPr>
      <w:r>
        <w:rPr>
          <w:rStyle w:val="HideTWBExt"/>
          <w:b w:val="0"/>
        </w:rPr>
        <w:t>&lt;RefProcLect&gt;</w:t>
      </w:r>
      <w:r>
        <w:t>***</w:t>
      </w:r>
      <w:r>
        <w:rPr>
          <w:rStyle w:val="HideTWBExt"/>
          <w:b w:val="0"/>
        </w:rPr>
        <w:t>&lt;/RefProcLect&gt;</w:t>
      </w:r>
    </w:p>
    <w:p w14:paraId="00F17E7E" w14:textId="1852EEA5" w:rsidR="00363B94" w:rsidRPr="00A403F1" w:rsidRDefault="00363B94">
      <w:pPr>
        <w:pStyle w:val="CoverDocType24a"/>
      </w:pPr>
      <w:r>
        <w:rPr>
          <w:rStyle w:val="HideTWBExt"/>
          <w:b w:val="0"/>
        </w:rPr>
        <w:t>&lt;TitreType&gt;</w:t>
      </w:r>
      <w:r>
        <w:t>PROGETTO DI RACCOMANDAZIONE</w:t>
      </w:r>
      <w:r>
        <w:rPr>
          <w:rStyle w:val="HideTWBExt"/>
          <w:b w:val="0"/>
        </w:rPr>
        <w:t>&lt;/TitreType&gt;</w:t>
      </w:r>
    </w:p>
    <w:p w14:paraId="4B8E630B" w14:textId="78D34FEF" w:rsidR="00363B94" w:rsidRPr="00A403F1" w:rsidRDefault="00363B94">
      <w:pPr>
        <w:pStyle w:val="CoverNormal"/>
      </w:pPr>
      <w:r>
        <w:rPr>
          <w:rStyle w:val="HideTWBExt"/>
        </w:rPr>
        <w:t>&lt;Titre&gt;</w:t>
      </w:r>
      <w:r>
        <w:t>concernente la proposta di Decisione del Consiglio relativa alla conclusione, a nome dell'Unione, del protocollo di attuazione dell'accordo di partenariato per una pesca sostenibile tra l'Unione europea e il governo delle Isole Cook (2025-2032)</w:t>
      </w:r>
      <w:r>
        <w:rPr>
          <w:rStyle w:val="HideTWBExt"/>
        </w:rPr>
        <w:t>&lt;/Titre&gt;</w:t>
      </w:r>
    </w:p>
    <w:p w14:paraId="307A6A79" w14:textId="1E4BF319" w:rsidR="00363B94" w:rsidRPr="00A403F1" w:rsidRDefault="00363B94">
      <w:pPr>
        <w:pStyle w:val="CoverNormal24a"/>
      </w:pPr>
      <w:r>
        <w:rPr>
          <w:rStyle w:val="HideTWBExt"/>
        </w:rPr>
        <w:t>&lt;DocRef&gt;</w:t>
      </w:r>
      <w:r>
        <w:t>(13158/2025 – C10</w:t>
      </w:r>
      <w:r>
        <w:noBreakHyphen/>
        <w:t>0346/2025 – 2025/0287(NLE))</w:t>
      </w:r>
      <w:r>
        <w:rPr>
          <w:rStyle w:val="HideTWBExt"/>
        </w:rPr>
        <w:t>&lt;/DocRef&gt;</w:t>
      </w:r>
    </w:p>
    <w:p w14:paraId="63538237" w14:textId="0938D6A5" w:rsidR="00363B94" w:rsidRPr="00A403F1" w:rsidRDefault="00363B94">
      <w:pPr>
        <w:pStyle w:val="CoverNormal24a"/>
      </w:pPr>
      <w:r>
        <w:rPr>
          <w:rStyle w:val="HideTWBExt"/>
        </w:rPr>
        <w:t>&lt;Commission&gt;</w:t>
      </w:r>
      <w:r>
        <w:rPr>
          <w:rStyle w:val="HideTWBInt"/>
        </w:rPr>
        <w:t>{PECH}</w:t>
      </w:r>
      <w:r>
        <w:t>Commissione per la pesca</w:t>
      </w:r>
      <w:r>
        <w:rPr>
          <w:rStyle w:val="HideTWBExt"/>
        </w:rPr>
        <w:t>&lt;/Commission&gt;</w:t>
      </w:r>
    </w:p>
    <w:p w14:paraId="15B76527" w14:textId="68F165DC" w:rsidR="00363B94" w:rsidRPr="00A403F1" w:rsidRDefault="00324200">
      <w:pPr>
        <w:pStyle w:val="CoverNormal24a"/>
      </w:pPr>
      <w:r>
        <w:t xml:space="preserve">Relatrice: </w:t>
      </w:r>
      <w:r>
        <w:rPr>
          <w:rStyle w:val="HideTWBExt"/>
        </w:rPr>
        <w:t>&lt;Depute&gt;</w:t>
      </w:r>
      <w:r>
        <w:t>Oihane Agirregoitia Martínez</w:t>
      </w:r>
      <w:r>
        <w:rPr>
          <w:rStyle w:val="HideTWBExt"/>
        </w:rPr>
        <w:t>&lt;/Depute&gt;</w:t>
      </w:r>
    </w:p>
    <w:p w14:paraId="37B05598" w14:textId="77777777" w:rsidR="00B42885" w:rsidRPr="00A403F1" w:rsidRDefault="00B42885" w:rsidP="00B42885">
      <w:pPr>
        <w:pStyle w:val="CoverNormal"/>
      </w:pPr>
    </w:p>
    <w:p w14:paraId="27B3F4D5" w14:textId="27563EE6" w:rsidR="00833F59" w:rsidRPr="00A403F1" w:rsidRDefault="00363B94">
      <w:r>
        <w:br w:type="page"/>
      </w:r>
      <w:fldSimple w:instr=" TITLE  \* MERGEFORMAT ">
        <w:r w:rsidR="008D41B6">
          <w:t>PR_NLE-AP_Agreement</w:t>
        </w:r>
      </w:fldSimple>
    </w:p>
    <w:p w14:paraId="3DC45DE7" w14:textId="77777777" w:rsidR="00833F59" w:rsidRPr="00A403F1" w:rsidRDefault="00833F59"/>
    <w:p w14:paraId="37ED3071" w14:textId="77777777" w:rsidR="00B11AF8" w:rsidRPr="000418D3" w:rsidRDefault="00B11AF8" w:rsidP="00B11AF8"/>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B11AF8" w:rsidRPr="000418D3" w14:paraId="35D43A94" w14:textId="77777777" w:rsidTr="0031688E">
        <w:tc>
          <w:tcPr>
            <w:tcW w:w="5811" w:type="dxa"/>
          </w:tcPr>
          <w:p w14:paraId="2168355F" w14:textId="77777777" w:rsidR="00B11AF8" w:rsidRPr="000418D3" w:rsidRDefault="00B11AF8" w:rsidP="0031688E">
            <w:pPr>
              <w:pStyle w:val="Lgendetitre"/>
            </w:pPr>
            <w:r>
              <w:t>Significato dei simboli utilizzati</w:t>
            </w:r>
          </w:p>
        </w:tc>
      </w:tr>
      <w:tr w:rsidR="00B11AF8" w:rsidRPr="000418D3" w14:paraId="0F55B511" w14:textId="77777777" w:rsidTr="0031688E">
        <w:trPr>
          <w:cantSplit/>
          <w:trHeight w:val="1944"/>
        </w:trPr>
        <w:tc>
          <w:tcPr>
            <w:tcW w:w="5811" w:type="dxa"/>
            <w:tcBorders>
              <w:bottom w:val="single" w:sz="4" w:space="0" w:color="auto"/>
            </w:tcBorders>
          </w:tcPr>
          <w:p w14:paraId="29D81B08" w14:textId="77777777" w:rsidR="00B11AF8" w:rsidRPr="000418D3" w:rsidRDefault="00B11AF8" w:rsidP="0031688E">
            <w:pPr>
              <w:pStyle w:val="Lgendesigne"/>
            </w:pPr>
            <w:r>
              <w:tab/>
              <w:t>*</w:t>
            </w:r>
            <w:r>
              <w:tab/>
              <w:t>Procedura di consultazione</w:t>
            </w:r>
          </w:p>
          <w:p w14:paraId="6291BE85" w14:textId="77777777" w:rsidR="00B11AF8" w:rsidRPr="000418D3" w:rsidRDefault="00B11AF8" w:rsidP="0031688E">
            <w:pPr>
              <w:pStyle w:val="Lgendesigne"/>
            </w:pPr>
            <w:r>
              <w:tab/>
              <w:t>***</w:t>
            </w:r>
            <w:r>
              <w:tab/>
              <w:t>Procedura di approvazione</w:t>
            </w:r>
          </w:p>
          <w:p w14:paraId="0C46F280" w14:textId="77777777" w:rsidR="00B11AF8" w:rsidRPr="000418D3" w:rsidRDefault="00B11AF8" w:rsidP="0031688E">
            <w:pPr>
              <w:pStyle w:val="Lgendesigne"/>
            </w:pPr>
            <w:r>
              <w:tab/>
              <w:t>***I</w:t>
            </w:r>
            <w:r>
              <w:tab/>
              <w:t>Procedura legislativa ordinaria (prima lettura)</w:t>
            </w:r>
          </w:p>
          <w:p w14:paraId="18D1C77C" w14:textId="77777777" w:rsidR="00B11AF8" w:rsidRPr="000418D3" w:rsidRDefault="00B11AF8" w:rsidP="0031688E">
            <w:pPr>
              <w:pStyle w:val="Lgendesigne"/>
            </w:pPr>
            <w:r>
              <w:tab/>
              <w:t>***II</w:t>
            </w:r>
            <w:r>
              <w:tab/>
              <w:t>Procedura legislativa ordinaria (seconda lettura)</w:t>
            </w:r>
          </w:p>
          <w:p w14:paraId="42DE8F40" w14:textId="77777777" w:rsidR="00B11AF8" w:rsidRPr="000418D3" w:rsidRDefault="00B11AF8" w:rsidP="0031688E">
            <w:pPr>
              <w:pStyle w:val="Lgendesigne"/>
            </w:pPr>
            <w:r>
              <w:tab/>
              <w:t>***III</w:t>
            </w:r>
            <w:r>
              <w:tab/>
              <w:t>Procedura legislativa ordinaria (terza lettura)</w:t>
            </w:r>
          </w:p>
          <w:p w14:paraId="6F2A74B8" w14:textId="77777777" w:rsidR="00B11AF8" w:rsidRPr="000418D3" w:rsidRDefault="00B11AF8" w:rsidP="0031688E">
            <w:pPr>
              <w:pStyle w:val="Lgendestandard"/>
            </w:pPr>
          </w:p>
          <w:p w14:paraId="4ACCBB51" w14:textId="77777777" w:rsidR="00B11AF8" w:rsidRPr="000418D3" w:rsidRDefault="00B11AF8" w:rsidP="0031688E">
            <w:pPr>
              <w:pStyle w:val="Lgendestandard"/>
            </w:pPr>
            <w:r>
              <w:t>(La procedura indicata dipende dalla base giuridica proposta nel progetto di atto)</w:t>
            </w:r>
          </w:p>
          <w:p w14:paraId="2B3AF1A9" w14:textId="77777777" w:rsidR="00B11AF8" w:rsidRPr="000418D3" w:rsidRDefault="00B11AF8" w:rsidP="0031688E">
            <w:pPr>
              <w:pStyle w:val="Lgendestandard"/>
            </w:pPr>
          </w:p>
        </w:tc>
      </w:tr>
    </w:tbl>
    <w:p w14:paraId="66100A64" w14:textId="77777777" w:rsidR="00B11AF8" w:rsidRPr="000418D3" w:rsidRDefault="00B11AF8" w:rsidP="00B11AF8"/>
    <w:p w14:paraId="02D08C8D" w14:textId="7F64661F" w:rsidR="00363B94" w:rsidRPr="00A403F1" w:rsidRDefault="00363B94" w:rsidP="00613F2E">
      <w:pPr>
        <w:widowControl/>
        <w:tabs>
          <w:tab w:val="center" w:pos="4677"/>
        </w:tabs>
      </w:pPr>
    </w:p>
    <w:p w14:paraId="15ACB905" w14:textId="4417F14E" w:rsidR="00363B94" w:rsidRPr="00A403F1" w:rsidRDefault="00363B94">
      <w:pPr>
        <w:pStyle w:val="TOCHeading"/>
      </w:pPr>
      <w:r>
        <w:br w:type="page"/>
      </w:r>
      <w:r>
        <w:lastRenderedPageBreak/>
        <w:t>INDICE</w:t>
      </w:r>
    </w:p>
    <w:p w14:paraId="1E42A659" w14:textId="62099ED0" w:rsidR="00363B94" w:rsidRPr="00A403F1" w:rsidRDefault="00324200">
      <w:pPr>
        <w:pStyle w:val="TOCPage"/>
      </w:pPr>
      <w:r>
        <w:t>Pagina</w:t>
      </w:r>
    </w:p>
    <w:p w14:paraId="5130956C" w14:textId="51A1116F" w:rsidR="008D41B6" w:rsidRDefault="00EF48F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403F1">
        <w:fldChar w:fldCharType="begin"/>
      </w:r>
      <w:r w:rsidRPr="00A403F1">
        <w:instrText xml:space="preserve"> TOC \t "PageHeading</w:instrText>
      </w:r>
      <w:r w:rsidR="008D41B6">
        <w:instrText>;</w:instrText>
      </w:r>
      <w:r w:rsidRPr="00A403F1">
        <w:instrText xml:space="preserve">1" </w:instrText>
      </w:r>
      <w:r w:rsidRPr="00A403F1">
        <w:fldChar w:fldCharType="separate"/>
      </w:r>
      <w:r w:rsidR="008D41B6">
        <w:rPr>
          <w:noProof/>
        </w:rPr>
        <w:t>PROGETTO DI RISOLUZIONE LEGISLATIVA DEL PARLAMENTO EUROPEO</w:t>
      </w:r>
      <w:r w:rsidR="008D41B6">
        <w:rPr>
          <w:noProof/>
        </w:rPr>
        <w:tab/>
      </w:r>
      <w:r w:rsidR="008D41B6">
        <w:rPr>
          <w:noProof/>
        </w:rPr>
        <w:fldChar w:fldCharType="begin"/>
      </w:r>
      <w:r w:rsidR="008D41B6">
        <w:rPr>
          <w:noProof/>
        </w:rPr>
        <w:instrText xml:space="preserve"> PAGEREF _Toc222998587 \h </w:instrText>
      </w:r>
      <w:r w:rsidR="008D41B6">
        <w:rPr>
          <w:noProof/>
        </w:rPr>
      </w:r>
      <w:r w:rsidR="008D41B6">
        <w:rPr>
          <w:noProof/>
        </w:rPr>
        <w:fldChar w:fldCharType="separate"/>
      </w:r>
      <w:r w:rsidR="008D41B6">
        <w:rPr>
          <w:noProof/>
        </w:rPr>
        <w:t>5</w:t>
      </w:r>
      <w:r w:rsidR="008D41B6">
        <w:rPr>
          <w:noProof/>
        </w:rPr>
        <w:fldChar w:fldCharType="end"/>
      </w:r>
    </w:p>
    <w:p w14:paraId="4FE1237B" w14:textId="03855555" w:rsidR="008D41B6" w:rsidRDefault="008D41B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MOTIVAZIONE</w:t>
      </w:r>
      <w:r>
        <w:rPr>
          <w:noProof/>
        </w:rPr>
        <w:tab/>
      </w:r>
      <w:r>
        <w:rPr>
          <w:noProof/>
        </w:rPr>
        <w:fldChar w:fldCharType="begin"/>
      </w:r>
      <w:r>
        <w:rPr>
          <w:noProof/>
        </w:rPr>
        <w:instrText xml:space="preserve"> PAGEREF _Toc222998588 \h </w:instrText>
      </w:r>
      <w:r>
        <w:rPr>
          <w:noProof/>
        </w:rPr>
      </w:r>
      <w:r>
        <w:rPr>
          <w:noProof/>
        </w:rPr>
        <w:fldChar w:fldCharType="separate"/>
      </w:r>
      <w:r>
        <w:rPr>
          <w:noProof/>
        </w:rPr>
        <w:t>6</w:t>
      </w:r>
      <w:r>
        <w:rPr>
          <w:noProof/>
        </w:rPr>
        <w:fldChar w:fldCharType="end"/>
      </w:r>
    </w:p>
    <w:p w14:paraId="0B1AF7F5" w14:textId="58FE5B01" w:rsidR="008D41B6" w:rsidRDefault="008D41B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ALLEGATO: DICHIARAZIONE DEI CONTRIBUTI</w:t>
      </w:r>
      <w:r>
        <w:rPr>
          <w:noProof/>
        </w:rPr>
        <w:tab/>
      </w:r>
      <w:r>
        <w:rPr>
          <w:noProof/>
        </w:rPr>
        <w:fldChar w:fldCharType="begin"/>
      </w:r>
      <w:r>
        <w:rPr>
          <w:noProof/>
        </w:rPr>
        <w:instrText xml:space="preserve"> PAGEREF _Toc222998589 \h </w:instrText>
      </w:r>
      <w:r>
        <w:rPr>
          <w:noProof/>
        </w:rPr>
      </w:r>
      <w:r>
        <w:rPr>
          <w:noProof/>
        </w:rPr>
        <w:fldChar w:fldCharType="separate"/>
      </w:r>
      <w:r>
        <w:rPr>
          <w:noProof/>
        </w:rPr>
        <w:t>8</w:t>
      </w:r>
      <w:r>
        <w:rPr>
          <w:noProof/>
        </w:rPr>
        <w:fldChar w:fldCharType="end"/>
      </w:r>
    </w:p>
    <w:p w14:paraId="25AAC5E7" w14:textId="24A7366A" w:rsidR="004E1650" w:rsidRPr="00A403F1" w:rsidRDefault="00EF48F2" w:rsidP="00F04010">
      <w:r w:rsidRPr="00A403F1">
        <w:fldChar w:fldCharType="end"/>
      </w:r>
    </w:p>
    <w:p w14:paraId="2376F461" w14:textId="28F7A2A9" w:rsidR="00363B94" w:rsidRPr="00A403F1" w:rsidRDefault="00363B94" w:rsidP="0006167F">
      <w:pPr>
        <w:pStyle w:val="PageHeading"/>
      </w:pPr>
      <w:r>
        <w:br w:type="page"/>
      </w:r>
      <w:r>
        <w:br w:type="page"/>
      </w:r>
      <w:bookmarkStart w:id="0" w:name="_Toc222998587"/>
      <w:r>
        <w:t>PROGETTO DI RISOLUZIONE LEGISLATIVA DEL PARLAMENTO EUROPEO</w:t>
      </w:r>
      <w:bookmarkEnd w:id="0"/>
    </w:p>
    <w:p w14:paraId="2589EF54" w14:textId="4AAA94D7" w:rsidR="00363B94" w:rsidRPr="00A403F1" w:rsidRDefault="00324200">
      <w:pPr>
        <w:pStyle w:val="NormalBold"/>
      </w:pPr>
      <w:r>
        <w:t>sulla proposta di Decisione del Consiglio relativa alla conclusione, a nome dell'Unione, del protocollo di attuazione dell'accordo di partenariato per una pesca sostenibile tra l'Unione europea e il governo delle Isole Cook (2025-2032)</w:t>
      </w:r>
    </w:p>
    <w:p w14:paraId="37AF24EF" w14:textId="21597672" w:rsidR="00363B94" w:rsidRPr="00A403F1" w:rsidRDefault="00324200">
      <w:pPr>
        <w:pStyle w:val="NormalBold12a"/>
      </w:pPr>
      <w:r>
        <w:t>(13158/2025 – C10</w:t>
      </w:r>
      <w:r>
        <w:noBreakHyphen/>
        <w:t>0346/2025 – 2025/0287(NLE))</w:t>
      </w:r>
    </w:p>
    <w:p w14:paraId="5528C03C" w14:textId="75D9E7F2" w:rsidR="00363B94" w:rsidRPr="00A403F1" w:rsidRDefault="00324200" w:rsidP="00893FBD">
      <w:pPr>
        <w:pStyle w:val="NormalBold"/>
      </w:pPr>
      <w:r>
        <w:t>(Approvazione)</w:t>
      </w:r>
    </w:p>
    <w:p w14:paraId="1763AEB7" w14:textId="52B3DCEF" w:rsidR="00363B94" w:rsidRPr="00A403F1" w:rsidRDefault="002F6F34">
      <w:pPr>
        <w:pStyle w:val="EPComma"/>
      </w:pPr>
      <w:r>
        <w:rPr>
          <w:i/>
        </w:rPr>
        <w:t>Il Parlamento europeo</w:t>
      </w:r>
      <w:r>
        <w:t>,</w:t>
      </w:r>
    </w:p>
    <w:p w14:paraId="6632720D" w14:textId="58803213" w:rsidR="00BF7F55" w:rsidRPr="00A403F1" w:rsidRDefault="00BF7F55" w:rsidP="00BF7F55">
      <w:pPr>
        <w:pStyle w:val="NormalHanging12a"/>
      </w:pPr>
      <w:r>
        <w:t>–</w:t>
      </w:r>
      <w:r>
        <w:tab/>
        <w:t>visto il progetto di decisione del Consiglio (13158/2025),</w:t>
      </w:r>
    </w:p>
    <w:p w14:paraId="2BF0C46A" w14:textId="2B40B7CC" w:rsidR="00AF29DE" w:rsidRPr="00A403F1" w:rsidRDefault="00AF29DE" w:rsidP="00AF29DE">
      <w:pPr>
        <w:pStyle w:val="NormalHanging12a"/>
      </w:pPr>
      <w:r>
        <w:t>–</w:t>
      </w:r>
      <w:r>
        <w:tab/>
        <w:t>visto il progetto di protocollo di attuazione dell'accordo di partenariato per una pesca sostenibile tra l'Unione europea e il governo delle Isole Cook (2025-2032) (13165/2025),</w:t>
      </w:r>
    </w:p>
    <w:p w14:paraId="0EC512F3" w14:textId="1A5176C5" w:rsidR="00833F59" w:rsidRPr="00A403F1" w:rsidRDefault="00833F59" w:rsidP="00833F59">
      <w:pPr>
        <w:pStyle w:val="NormalHanging12a"/>
      </w:pPr>
      <w:r>
        <w:t>–</w:t>
      </w:r>
      <w:r>
        <w:tab/>
        <w:t>vista la richiesta di approvazione presentata dal Consiglio a norma dell'articolo 43, paragrafo 2, dell'articolo 218, paragrafo 6, secondo comma, lettera a), punto v), e dell'articolo 218, paragrafo 7, del trattato sul funzionamento dell'Unione europea (C10</w:t>
      </w:r>
      <w:r>
        <w:noBreakHyphen/>
        <w:t>0346/2025),</w:t>
      </w:r>
    </w:p>
    <w:p w14:paraId="1C38D85C" w14:textId="77777777" w:rsidR="001D73E9" w:rsidRPr="00A403F1" w:rsidRDefault="001D73E9" w:rsidP="00833F59">
      <w:pPr>
        <w:pStyle w:val="NormalHanging12a"/>
      </w:pPr>
      <w:r>
        <w:t>–</w:t>
      </w:r>
      <w:r>
        <w:tab/>
        <w:t>vista la valutazione di bilancio da parte della commissione per i bilanci,</w:t>
      </w:r>
    </w:p>
    <w:p w14:paraId="4AD5EE7A" w14:textId="4B5BCF9F" w:rsidR="00833F59" w:rsidRPr="00A403F1" w:rsidRDefault="00833F59" w:rsidP="00833F59">
      <w:pPr>
        <w:pStyle w:val="NormalHanging12a"/>
      </w:pPr>
      <w:r>
        <w:t>–</w:t>
      </w:r>
      <w:r>
        <w:tab/>
        <w:t>visti l'articolo 107, paragrafi 1 e 4, e l'articolo 117, paragrafo 7, del suo regolamento,</w:t>
      </w:r>
    </w:p>
    <w:p w14:paraId="2DC68407" w14:textId="77777777" w:rsidR="001D73E9" w:rsidRPr="00A403F1" w:rsidRDefault="001D73E9" w:rsidP="001D73E9">
      <w:pPr>
        <w:pStyle w:val="NormalHanging12a"/>
      </w:pPr>
      <w:r>
        <w:t>–</w:t>
      </w:r>
      <w:r>
        <w:tab/>
        <w:t>visto il parere della commissione per lo sviluppo,</w:t>
      </w:r>
    </w:p>
    <w:p w14:paraId="27953C5F" w14:textId="6D20F0F0" w:rsidR="00363B94" w:rsidRPr="00A403F1" w:rsidRDefault="00363B94">
      <w:pPr>
        <w:pStyle w:val="NormalHanging12a"/>
      </w:pPr>
      <w:r>
        <w:t>–</w:t>
      </w:r>
      <w:r>
        <w:tab/>
        <w:t>vista la raccomandazione della commissione per la pesca (A10</w:t>
      </w:r>
      <w:r>
        <w:noBreakHyphen/>
        <w:t>0000/2025),</w:t>
      </w:r>
    </w:p>
    <w:p w14:paraId="2339D085" w14:textId="4CB60F4F" w:rsidR="00363B94" w:rsidRPr="00A403F1" w:rsidRDefault="00363B94">
      <w:pPr>
        <w:pStyle w:val="NormalHanging12a"/>
      </w:pPr>
      <w:r>
        <w:t>1.</w:t>
      </w:r>
      <w:r>
        <w:tab/>
        <w:t>dà la sua approvazione alla conclusione dell'accordo;</w:t>
      </w:r>
    </w:p>
    <w:p w14:paraId="7C014725" w14:textId="001E2474" w:rsidR="001D02E3" w:rsidRPr="00A403F1" w:rsidRDefault="001D02E3">
      <w:pPr>
        <w:pStyle w:val="NormalHanging12a"/>
      </w:pPr>
      <w:r>
        <w:t>2.</w:t>
      </w:r>
      <w:r>
        <w:tab/>
        <w:t>incarica la sua Presidente di trasmettere la posizione del Parlamento al Consiglio e alla Commissione, nonché ai governi e ai parlamenti degli Stati membri e delle Isole Cook.</w:t>
      </w:r>
    </w:p>
    <w:p w14:paraId="0E0DD3DF" w14:textId="77777777" w:rsidR="00833F59" w:rsidRPr="00A403F1" w:rsidRDefault="00833F59">
      <w:pPr>
        <w:widowControl/>
        <w:sectPr w:rsidR="00833F59" w:rsidRPr="00A403F1" w:rsidSect="0017360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6DD38686" w14:textId="5BB2F7CB" w:rsidR="00CA2620" w:rsidRPr="00A403F1" w:rsidRDefault="00B11AF8" w:rsidP="00AF29DE">
      <w:pPr>
        <w:pStyle w:val="PageHeading"/>
      </w:pPr>
      <w:bookmarkStart w:id="1" w:name="_Toc215062069"/>
      <w:bookmarkStart w:id="2" w:name="_Toc222998588"/>
      <w:r>
        <w:t>MOTIVAZIONE</w:t>
      </w:r>
      <w:bookmarkEnd w:id="1"/>
      <w:bookmarkEnd w:id="2"/>
    </w:p>
    <w:p w14:paraId="081F9546" w14:textId="77777777" w:rsidR="00DC4473" w:rsidRPr="00A403F1" w:rsidRDefault="00DC4473" w:rsidP="00DC4473">
      <w:pPr>
        <w:widowControl/>
      </w:pPr>
      <w:r>
        <w:t xml:space="preserve">Il nuovo protocollo è stato negoziato al fine di attuare l'accordo di partenariato per una pesca sostenibile (APPS) tra l'Unione e le Isole Cook, in vigore dal 10 maggio 2017. Il protocollo copre un periodo di sette anni e mira ad aggiornare il quadro di cooperazione tra l'Unione e le Isole Cook tenendo conto delle priorità della politica comune della pesca (PCP) e di quelle delle Isole Cook. Il protocollo di attuazione rafforzerà inoltre il partenariato strategico dell'Unione con le Isole Cook e promuoverà una politica di pesca sostenibile e lo sfruttamento responsabile delle risorse alieutiche nelle acque delle Isole Cook. </w:t>
      </w:r>
    </w:p>
    <w:p w14:paraId="3EAE50A2" w14:textId="77777777" w:rsidR="00DC4473" w:rsidRPr="00A403F1" w:rsidRDefault="00DC4473" w:rsidP="00DC4473">
      <w:pPr>
        <w:widowControl/>
      </w:pPr>
    </w:p>
    <w:p w14:paraId="40582527" w14:textId="77777777" w:rsidR="00DC4473" w:rsidRPr="00A403F1" w:rsidRDefault="00DC4473" w:rsidP="00DC4473">
      <w:pPr>
        <w:widowControl/>
      </w:pPr>
      <w:r>
        <w:t xml:space="preserve">La relatrice sottolinea l'importanza del protocollo per contribuire alla gestione sostenibile della pesca ed è pertanto importante che l'attuazione sia effettuata avvalendosi delle migliori consulenze scientifiche disponibili e che la cooperazione scientifica costituisca una parte importante del partenariato costante con le Isole Cook. </w:t>
      </w:r>
    </w:p>
    <w:p w14:paraId="10961BE4" w14:textId="77777777" w:rsidR="00DC4473" w:rsidRPr="00A403F1" w:rsidRDefault="00DC4473" w:rsidP="00DC4473">
      <w:pPr>
        <w:widowControl/>
      </w:pPr>
    </w:p>
    <w:p w14:paraId="69B8C1AF" w14:textId="77777777" w:rsidR="00DC4473" w:rsidRPr="00A403F1" w:rsidRDefault="00DC4473" w:rsidP="00DC4473">
      <w:pPr>
        <w:widowControl/>
      </w:pPr>
      <w:r>
        <w:t>La relatrice ritiene inoltre importante che le nostre relazioni in materia di pesca con le Isole Cook siano attuate in modo coerente con gli altri settori di cooperazione tra la nostra Unione e le Isole Cook. È importante puntare a garantire sinergie in tutti gli aspetti del nostro partenariato con le Isole Cook, che comprende altre questioni strategiche quali la sostenibilità ambientale, la resilienza ai cambiamenti climatici e una più ampia cooperazione economica.</w:t>
      </w:r>
    </w:p>
    <w:p w14:paraId="6FEB37D4" w14:textId="77777777" w:rsidR="00DC4473" w:rsidRPr="00A403F1" w:rsidRDefault="00DC4473" w:rsidP="00DC4473">
      <w:pPr>
        <w:widowControl/>
      </w:pPr>
    </w:p>
    <w:p w14:paraId="2DC9B761" w14:textId="77777777" w:rsidR="00DC4473" w:rsidRPr="00A403F1" w:rsidRDefault="00DC4473" w:rsidP="00DC4473">
      <w:pPr>
        <w:widowControl/>
      </w:pPr>
      <w:r>
        <w:t xml:space="preserve">Il protocollo fornirà possibilità di pesca per 4 tonniere con reti a circuizione e 40 giorni di pesca all'anno nelle zone di pesca delle Isole Cook. Il protocollo e l'accesso a tali possibilità di pesca nelle zone di pesca delle Isole Cook sono importanti per le navi dell'UE che operano nella zona. Rispetto al precedente protocollo vi è una riduzione dei giorni di pesca, per un migliore allineamento al tasso di utilizzo dell'ultimo protocollo. Il protocollo prevede una contropartita finanziaria annua per le Isole Cook pari a 460 000 EUR, di cui 165 000 EUR per l'accesso alle risorse alieutiche e 295 000 EUR per sostenere lo sviluppo della politica settoriale della pesca delle Isole Cook. </w:t>
      </w:r>
    </w:p>
    <w:p w14:paraId="2E8CC55A" w14:textId="77777777" w:rsidR="00DC4473" w:rsidRPr="00A403F1" w:rsidRDefault="00DC4473" w:rsidP="00DC4473">
      <w:pPr>
        <w:widowControl/>
      </w:pPr>
    </w:p>
    <w:p w14:paraId="697BE19D" w14:textId="77777777" w:rsidR="00DC4473" w:rsidRPr="00A403F1" w:rsidRDefault="00DC4473" w:rsidP="00DC4473">
      <w:pPr>
        <w:widowControl/>
      </w:pPr>
      <w:r>
        <w:t xml:space="preserve">La relatrice propone che il Parlamento dia la sua approvazione al nuovo protocollo. Essa è importante sia per i pescherecci dell'UE che operano nella zona, sia per rafforzare il partenariato strategico tra l'Unione e le Isole Cook. Data la situazione geopolitica nella zona, è importante che l'Unione mantenga solidi partenariati con i paesi partner della regione, nonché una cooperazione più approfondita e una governance rafforzata degli oceani nell'Oceano Pacifico centrale e occidentale, in particolare attraverso il lavoro in seno alle organizzazioni regionali di gestione della pesca come la WCPFC. </w:t>
      </w:r>
    </w:p>
    <w:p w14:paraId="508B2EA8" w14:textId="77777777" w:rsidR="00DC4473" w:rsidRPr="00A403F1" w:rsidRDefault="00DC4473" w:rsidP="00DC4473">
      <w:pPr>
        <w:widowControl/>
      </w:pPr>
    </w:p>
    <w:p w14:paraId="0689CF15" w14:textId="77777777" w:rsidR="00DC4473" w:rsidRPr="00A403F1" w:rsidRDefault="00DC4473" w:rsidP="00DC4473">
      <w:pPr>
        <w:widowControl/>
      </w:pPr>
      <w:r>
        <w:t>La relatrice esprime particolare preoccupazione per le attività e l'ampia influenza della Cina nella regione e ritiene importante che l'Unione operi con diligenza per sostenere i nostri partenariati nella regione e per prenderne in considerazione di nuovi, al fine di rafforzare l'influenza dell'UE e contribuire a una struttura di governance degli oceani più forte e basata su regole.</w:t>
      </w:r>
    </w:p>
    <w:p w14:paraId="6FDA0941" w14:textId="77777777" w:rsidR="00DC4473" w:rsidRPr="00A403F1" w:rsidRDefault="00DC4473" w:rsidP="00DC4473">
      <w:pPr>
        <w:widowControl/>
      </w:pPr>
    </w:p>
    <w:p w14:paraId="1AA1FE66" w14:textId="1736E536" w:rsidR="00DC4473" w:rsidRPr="00A403F1" w:rsidRDefault="00DC4473" w:rsidP="00DC4473">
      <w:pPr>
        <w:widowControl/>
      </w:pPr>
      <w:r>
        <w:t>La relatrice sottolinea che il sostegno settoriale offerto dal nuovo protocollo contribuirà all'attuazione della politica in materia di pesca delle Isole Cook, nonché allo sviluppo del settore nazionale e dell'economia della pesca del paese, promuovendo la crescita legata alle attività economiche connesse alla pesca, comprese le infrastrutture associate, e garantendo condizioni di lavoro dignitose. Il sostegno contribuirà inoltre al piano globale delle Isole Cook per la pesca, la sorveglianza e la lotta contro la pesca illegale, nonché al sostegno del settore della pesca artigianale del paese.</w:t>
      </w:r>
    </w:p>
    <w:p w14:paraId="53A9453A" w14:textId="77777777" w:rsidR="00DC4473" w:rsidRPr="00A403F1" w:rsidRDefault="00DC4473" w:rsidP="00DC4473">
      <w:pPr>
        <w:widowControl/>
      </w:pPr>
    </w:p>
    <w:p w14:paraId="1FD1A86D" w14:textId="77777777" w:rsidR="00DC4473" w:rsidRPr="00A403F1" w:rsidRDefault="00DC4473" w:rsidP="00DC4473">
      <w:pPr>
        <w:widowControl/>
      </w:pPr>
      <w:r>
        <w:t>La relatrice sottolinea inoltre l'importanza del rispetto dei diritti e delle prerogative del Parlamento europeo da parte della Commissione e del Consiglio in sede di attuazione ed eventuale rinnovo dell'accordo o del protocollo. A tale riguardo è importante che il Parlamento sia pienamente e tempestivamente informato, in ogni fase, in merito alle procedure relative al protocollo e all'accordo.</w:t>
      </w:r>
    </w:p>
    <w:p w14:paraId="33A712A1" w14:textId="77777777" w:rsidR="00CA2620" w:rsidRPr="00A403F1" w:rsidRDefault="00CA2620" w:rsidP="00CA2620">
      <w:pPr>
        <w:widowControl/>
      </w:pPr>
    </w:p>
    <w:p w14:paraId="4DF96EEF" w14:textId="64E7D282" w:rsidR="00CA2620" w:rsidRPr="00A403F1" w:rsidRDefault="00CA2620">
      <w:pPr>
        <w:widowControl/>
      </w:pPr>
      <w:r>
        <w:br w:type="page"/>
      </w:r>
    </w:p>
    <w:p w14:paraId="2C83A104" w14:textId="77777777" w:rsidR="00CA2620" w:rsidRPr="00A403F1" w:rsidRDefault="00CA2620" w:rsidP="00CA2620">
      <w:pPr>
        <w:widowControl/>
      </w:pPr>
    </w:p>
    <w:p w14:paraId="76006AB3" w14:textId="5B00D468" w:rsidR="00833F59" w:rsidRPr="00A403F1" w:rsidRDefault="00B11AF8">
      <w:pPr>
        <w:pStyle w:val="PageHeading"/>
        <w:rPr>
          <w:noProof/>
        </w:rPr>
      </w:pPr>
      <w:bookmarkStart w:id="3" w:name="_Toc221622520"/>
      <w:bookmarkStart w:id="4" w:name="FootprintPageRR"/>
      <w:bookmarkStart w:id="5" w:name="_Toc222998589"/>
      <w:r>
        <w:t>ALLEGATO: DICHIARAZIONE DEI CONTRIBUTI</w:t>
      </w:r>
      <w:bookmarkEnd w:id="3"/>
      <w:bookmarkEnd w:id="5"/>
    </w:p>
    <w:p w14:paraId="6921B075" w14:textId="32DDFF4F" w:rsidR="00833F59" w:rsidRPr="00A403F1" w:rsidRDefault="00833F59">
      <w:pPr>
        <w:pStyle w:val="Normal24a"/>
        <w:spacing w:after="240"/>
      </w:pPr>
      <w:r>
        <w:rPr>
          <w:rStyle w:val="HideTWBExt"/>
        </w:rPr>
        <w:t>&lt;FootprintIntro&gt;</w:t>
      </w:r>
      <w:r>
        <w:t>La relatrice dichiara, sotto la sua esclusiva responsabilità, di non aver incluso nella sua relazione alcun contributo di rappresentanti di interessi che rientrano nell'ambito di applicazione dell'accordo interistituzionale su un registro per la trasparenza obbligatorio</w:t>
      </w:r>
      <w:r w:rsidR="00B11AF8" w:rsidRPr="000418D3">
        <w:rPr>
          <w:rStyle w:val="FootnoteReference"/>
        </w:rPr>
        <w:footnoteReference w:id="1"/>
      </w:r>
      <w:r>
        <w:t>, o di rappresentanti delle pubbliche autorità di paesi terzi, incluse le loro missioni diplomatiche e ambasciate, da enumerare nel presente allegato in virtù dell'allegato I, articolo 8, del regolamento.</w:t>
      </w:r>
      <w:r>
        <w:rPr>
          <w:rStyle w:val="HideTWBExt"/>
        </w:rPr>
        <w:t>&lt;/FootprintIntro&gt;</w:t>
      </w:r>
    </w:p>
    <w:p w14:paraId="62EAB30B" w14:textId="369B696F" w:rsidR="00833F59" w:rsidRPr="00A403F1" w:rsidRDefault="00833F59">
      <w:pPr>
        <w:pStyle w:val="Footprint12b"/>
      </w:pPr>
    </w:p>
    <w:p w14:paraId="73CCACCB" w14:textId="77777777" w:rsidR="00833F59" w:rsidRPr="00A403F1" w:rsidRDefault="00833F59" w:rsidP="00833F59"/>
    <w:bookmarkEnd w:id="4"/>
    <w:p w14:paraId="7B876D16" w14:textId="09FAC10C" w:rsidR="00363B94" w:rsidRPr="00A403F1" w:rsidRDefault="00363B94" w:rsidP="00822206"/>
    <w:sectPr w:rsidR="00363B94" w:rsidRPr="00A403F1" w:rsidSect="00833F5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A9B79" w14:textId="77777777" w:rsidR="001867A9" w:rsidRPr="00A403F1" w:rsidRDefault="001867A9">
      <w:r w:rsidRPr="00A403F1">
        <w:separator/>
      </w:r>
    </w:p>
  </w:endnote>
  <w:endnote w:type="continuationSeparator" w:id="0">
    <w:p w14:paraId="0F281F64" w14:textId="77777777" w:rsidR="001867A9" w:rsidRPr="00A403F1" w:rsidRDefault="001867A9">
      <w:r w:rsidRPr="00A403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BC8EB" w14:textId="77777777" w:rsidR="0017360C" w:rsidRPr="008D41B6" w:rsidRDefault="0017360C" w:rsidP="0017360C">
    <w:pPr>
      <w:pStyle w:val="EPFooter"/>
      <w:rPr>
        <w:lang w:val="fr-BE"/>
      </w:rPr>
    </w:pPr>
    <w:r w:rsidRPr="008D41B6">
      <w:rPr>
        <w:lang w:val="fr-BE"/>
      </w:rPr>
      <w:t>PE</w:t>
    </w:r>
    <w:r w:rsidRPr="008D41B6">
      <w:rPr>
        <w:rStyle w:val="HideTWBExt"/>
        <w:lang w:val="fr-BE"/>
      </w:rPr>
      <w:t>&lt;NoPE&gt;</w:t>
    </w:r>
    <w:r w:rsidRPr="008D41B6">
      <w:rPr>
        <w:lang w:val="fr-BE"/>
      </w:rPr>
      <w:t>779.323</w:t>
    </w:r>
    <w:r w:rsidRPr="008D41B6">
      <w:rPr>
        <w:rStyle w:val="HideTWBExt"/>
        <w:lang w:val="fr-BE"/>
      </w:rPr>
      <w:t>&lt;/NoPE&gt;&lt;Version&gt;</w:t>
    </w:r>
    <w:r w:rsidRPr="008D41B6">
      <w:rPr>
        <w:lang w:val="fr-BE"/>
      </w:rPr>
      <w:t>v02-00</w:t>
    </w:r>
    <w:r w:rsidRPr="008D41B6">
      <w:rPr>
        <w:rStyle w:val="HideTWBExt"/>
        <w:lang w:val="fr-BE"/>
      </w:rPr>
      <w:t>&lt;/Version&gt;</w:t>
    </w:r>
    <w:r w:rsidRPr="008D41B6">
      <w:rPr>
        <w:lang w:val="fr-BE"/>
      </w:rPr>
      <w:tab/>
    </w:r>
    <w:r w:rsidRPr="00A403F1">
      <w:fldChar w:fldCharType="begin"/>
    </w:r>
    <w:r w:rsidRPr="008D41B6">
      <w:rPr>
        <w:lang w:val="fr-BE"/>
      </w:rPr>
      <w:instrText xml:space="preserve"> PAGE  \* MERGEFORMAT </w:instrText>
    </w:r>
    <w:r w:rsidRPr="00A403F1">
      <w:fldChar w:fldCharType="separate"/>
    </w:r>
    <w:r w:rsidRPr="008D41B6">
      <w:rPr>
        <w:noProof/>
        <w:lang w:val="fr-BE"/>
      </w:rPr>
      <w:t>2</w:t>
    </w:r>
    <w:r w:rsidRPr="00A403F1">
      <w:fldChar w:fldCharType="end"/>
    </w:r>
    <w:r w:rsidRPr="008D41B6">
      <w:rPr>
        <w:lang w:val="fr-BE"/>
      </w:rPr>
      <w:t>/</w:t>
    </w:r>
    <w:r w:rsidR="008D41B6">
      <w:fldChar w:fldCharType="begin"/>
    </w:r>
    <w:r w:rsidR="008D41B6" w:rsidRPr="008D41B6">
      <w:rPr>
        <w:lang w:val="fr-BE"/>
      </w:rPr>
      <w:instrText xml:space="preserve"> NUMPAGES  \* MERGEFORMAT </w:instrText>
    </w:r>
    <w:r w:rsidR="008D41B6">
      <w:fldChar w:fldCharType="separate"/>
    </w:r>
    <w:r w:rsidRPr="008D41B6">
      <w:rPr>
        <w:noProof/>
        <w:lang w:val="fr-BE"/>
      </w:rPr>
      <w:t>8</w:t>
    </w:r>
    <w:r w:rsidR="008D41B6">
      <w:rPr>
        <w:noProof/>
      </w:rPr>
      <w:fldChar w:fldCharType="end"/>
    </w:r>
    <w:r w:rsidRPr="008D41B6">
      <w:rPr>
        <w:lang w:val="fr-BE"/>
      </w:rPr>
      <w:tab/>
    </w:r>
    <w:r w:rsidRPr="008D41B6">
      <w:rPr>
        <w:rStyle w:val="HideTWBExt"/>
        <w:lang w:val="fr-BE"/>
      </w:rPr>
      <w:t>&lt;PathFdR&gt;</w:t>
    </w:r>
    <w:r w:rsidRPr="008D41B6">
      <w:rPr>
        <w:lang w:val="fr-BE"/>
      </w:rPr>
      <w:t>PR\1338043IT.docx</w:t>
    </w:r>
    <w:r w:rsidRPr="008D41B6">
      <w:rPr>
        <w:rStyle w:val="HideTWBExt"/>
        <w:lang w:val="fr-BE"/>
      </w:rPr>
      <w:t>&lt;/PathFdR&gt;</w:t>
    </w:r>
  </w:p>
  <w:p w14:paraId="237BE682" w14:textId="1C12CBCB" w:rsidR="0085501C" w:rsidRPr="00A403F1" w:rsidRDefault="0017360C" w:rsidP="0017360C">
    <w:pPr>
      <w:pStyle w:val="EPFooter2"/>
    </w:pPr>
    <w:r w:rsidRPr="00A403F1">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AA3B" w14:textId="77777777" w:rsidR="0017360C" w:rsidRPr="008D41B6" w:rsidRDefault="0017360C" w:rsidP="0017360C">
    <w:pPr>
      <w:pStyle w:val="EPFooter"/>
      <w:rPr>
        <w:lang w:val="en-GB"/>
      </w:rPr>
    </w:pPr>
    <w:r w:rsidRPr="008D41B6">
      <w:rPr>
        <w:rStyle w:val="HideTWBExt"/>
        <w:lang w:val="en-GB"/>
      </w:rPr>
      <w:t>&lt;PathFdR&gt;</w:t>
    </w:r>
    <w:r w:rsidRPr="008D41B6">
      <w:rPr>
        <w:lang w:val="en-GB"/>
      </w:rPr>
      <w:t>PR\1338043IT.docx</w:t>
    </w:r>
    <w:r w:rsidRPr="008D41B6">
      <w:rPr>
        <w:rStyle w:val="HideTWBExt"/>
        <w:lang w:val="en-GB"/>
      </w:rPr>
      <w:t>&lt;/PathFdR&gt;</w:t>
    </w:r>
    <w:r w:rsidRPr="008D41B6">
      <w:rPr>
        <w:lang w:val="en-GB"/>
      </w:rPr>
      <w:tab/>
    </w:r>
    <w:r w:rsidRPr="00A403F1">
      <w:fldChar w:fldCharType="begin"/>
    </w:r>
    <w:r w:rsidRPr="008D41B6">
      <w:rPr>
        <w:lang w:val="en-GB"/>
      </w:rPr>
      <w:instrText xml:space="preserve"> PAGE  \* MERGEFORMAT </w:instrText>
    </w:r>
    <w:r w:rsidRPr="00A403F1">
      <w:fldChar w:fldCharType="separate"/>
    </w:r>
    <w:r w:rsidRPr="008D41B6">
      <w:rPr>
        <w:noProof/>
        <w:lang w:val="en-GB"/>
      </w:rPr>
      <w:t>7</w:t>
    </w:r>
    <w:r w:rsidRPr="00A403F1">
      <w:fldChar w:fldCharType="end"/>
    </w:r>
    <w:r w:rsidRPr="008D41B6">
      <w:rPr>
        <w:lang w:val="en-GB"/>
      </w:rPr>
      <w:t>/</w:t>
    </w:r>
    <w:r w:rsidR="008D41B6">
      <w:fldChar w:fldCharType="begin"/>
    </w:r>
    <w:r w:rsidR="008D41B6" w:rsidRPr="008D41B6">
      <w:rPr>
        <w:lang w:val="en-GB"/>
      </w:rPr>
      <w:instrText xml:space="preserve"> NUMPAGES  \* MERGEFORMAT </w:instrText>
    </w:r>
    <w:r w:rsidR="008D41B6">
      <w:fldChar w:fldCharType="separate"/>
    </w:r>
    <w:r w:rsidRPr="008D41B6">
      <w:rPr>
        <w:noProof/>
        <w:lang w:val="en-GB"/>
      </w:rPr>
      <w:t>8</w:t>
    </w:r>
    <w:r w:rsidR="008D41B6">
      <w:rPr>
        <w:noProof/>
      </w:rPr>
      <w:fldChar w:fldCharType="end"/>
    </w:r>
    <w:r w:rsidRPr="008D41B6">
      <w:rPr>
        <w:lang w:val="en-GB"/>
      </w:rPr>
      <w:tab/>
      <w:t>PE</w:t>
    </w:r>
    <w:r w:rsidRPr="008D41B6">
      <w:rPr>
        <w:rStyle w:val="HideTWBExt"/>
        <w:lang w:val="en-GB"/>
      </w:rPr>
      <w:t>&lt;NoPE&gt;</w:t>
    </w:r>
    <w:r w:rsidRPr="008D41B6">
      <w:rPr>
        <w:lang w:val="en-GB"/>
      </w:rPr>
      <w:t>779.323</w:t>
    </w:r>
    <w:r w:rsidRPr="008D41B6">
      <w:rPr>
        <w:rStyle w:val="HideTWBExt"/>
        <w:lang w:val="en-GB"/>
      </w:rPr>
      <w:t>&lt;/NoPE&gt;&lt;Version&gt;</w:t>
    </w:r>
    <w:r w:rsidRPr="008D41B6">
      <w:rPr>
        <w:lang w:val="en-GB"/>
      </w:rPr>
      <w:t>v02-00</w:t>
    </w:r>
    <w:r w:rsidRPr="008D41B6">
      <w:rPr>
        <w:rStyle w:val="HideTWBExt"/>
        <w:lang w:val="en-GB"/>
      </w:rPr>
      <w:t>&lt;/Version&gt;</w:t>
    </w:r>
  </w:p>
  <w:p w14:paraId="30371901" w14:textId="7587F13F" w:rsidR="0085501C" w:rsidRPr="008D41B6" w:rsidRDefault="0017360C" w:rsidP="0017360C">
    <w:pPr>
      <w:pStyle w:val="EPFooter2"/>
      <w:rPr>
        <w:lang w:val="en-GB"/>
      </w:rPr>
    </w:pPr>
    <w:r w:rsidRPr="008D41B6">
      <w:rPr>
        <w:lang w:val="en-GB"/>
      </w:rPr>
      <w:tab/>
    </w:r>
    <w:r w:rsidRPr="008D41B6">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AFEC9" w14:textId="77777777" w:rsidR="0017360C" w:rsidRPr="00A403F1" w:rsidRDefault="0017360C" w:rsidP="0017360C">
    <w:pPr>
      <w:pStyle w:val="EPFooter"/>
    </w:pPr>
    <w:r w:rsidRPr="00A403F1">
      <w:rPr>
        <w:rStyle w:val="HideTWBExt"/>
      </w:rPr>
      <w:t>&lt;PathFdR&gt;</w:t>
    </w:r>
    <w:r w:rsidRPr="00A403F1">
      <w:t>PR\1338043IT.docx</w:t>
    </w:r>
    <w:r w:rsidRPr="00A403F1">
      <w:rPr>
        <w:rStyle w:val="HideTWBExt"/>
      </w:rPr>
      <w:t>&lt;/PathFdR&gt;</w:t>
    </w:r>
    <w:r w:rsidRPr="00A403F1">
      <w:tab/>
    </w:r>
    <w:r w:rsidRPr="00A403F1">
      <w:tab/>
      <w:t>PE</w:t>
    </w:r>
    <w:r w:rsidRPr="00A403F1">
      <w:rPr>
        <w:rStyle w:val="HideTWBExt"/>
      </w:rPr>
      <w:t>&lt;NoPE&gt;</w:t>
    </w:r>
    <w:r w:rsidRPr="00A403F1">
      <w:t>779.323</w:t>
    </w:r>
    <w:r w:rsidRPr="00A403F1">
      <w:rPr>
        <w:rStyle w:val="HideTWBExt"/>
      </w:rPr>
      <w:t>&lt;/NoPE&gt;&lt;Version&gt;</w:t>
    </w:r>
    <w:r w:rsidRPr="00A403F1">
      <w:t>v02-00</w:t>
    </w:r>
    <w:r w:rsidRPr="00A403F1">
      <w:rPr>
        <w:rStyle w:val="HideTWBExt"/>
      </w:rPr>
      <w:t>&lt;/Version&gt;</w:t>
    </w:r>
  </w:p>
  <w:p w14:paraId="7E4B2BA3" w14:textId="4489CC34" w:rsidR="0085501C" w:rsidRPr="00A403F1" w:rsidRDefault="0017360C" w:rsidP="0017360C">
    <w:pPr>
      <w:pStyle w:val="EPFooter2"/>
    </w:pPr>
    <w:r w:rsidRPr="00A403F1">
      <w:t>IT</w:t>
    </w:r>
    <w:r w:rsidRPr="00A403F1">
      <w:tab/>
    </w:r>
    <w:r w:rsidRPr="00A403F1">
      <w:rPr>
        <w:b w:val="0"/>
        <w:i/>
        <w:color w:val="C0C0C0"/>
        <w:sz w:val="22"/>
      </w:rPr>
      <w:t>Unita nella diversità</w:t>
    </w:r>
    <w:r w:rsidRPr="00A403F1">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AC257" w14:textId="77777777" w:rsidR="001867A9" w:rsidRPr="00A403F1" w:rsidRDefault="001867A9">
      <w:r w:rsidRPr="00A403F1">
        <w:separator/>
      </w:r>
    </w:p>
  </w:footnote>
  <w:footnote w:type="continuationSeparator" w:id="0">
    <w:p w14:paraId="38C32F75" w14:textId="77777777" w:rsidR="001867A9" w:rsidRPr="00A403F1" w:rsidRDefault="001867A9">
      <w:r w:rsidRPr="00A403F1">
        <w:continuationSeparator/>
      </w:r>
    </w:p>
  </w:footnote>
  <w:footnote w:id="1">
    <w:p w14:paraId="09983C9D" w14:textId="4CE4ADD9" w:rsidR="00B11AF8" w:rsidRPr="000418D3" w:rsidRDefault="00B11AF8" w:rsidP="00B11AF8">
      <w:pPr>
        <w:pStyle w:val="FootnoteText"/>
      </w:pPr>
      <w:r>
        <w:rPr>
          <w:rStyle w:val="FootnoteReference"/>
        </w:rPr>
        <w:footnoteRef/>
      </w:r>
      <w:r>
        <w:t xml:space="preserve"> Accordo interistituzionale del 20 maggio 2021 tra il Parlamento europeo, il Consiglio dell'Unione europea e la Commissione europea su un registro per la trasparenza obbligatorio (GU L 207 dell'11.6.2021, pag. 1, ELI: </w:t>
      </w:r>
      <w:hyperlink r:id="rId1" w:history="1">
        <w:r>
          <w:rPr>
            <w:rStyle w:val="Hyperlink"/>
            <w:sz w:val="24"/>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EC8C6" w14:textId="77777777" w:rsidR="002F6F34" w:rsidRDefault="002F6F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38AEF" w14:textId="77777777" w:rsidR="002F6F34" w:rsidRDefault="002F6F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4E0C3" w14:textId="77777777" w:rsidR="002F6F34" w:rsidRDefault="002F6F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305506433">
    <w:abstractNumId w:val="9"/>
  </w:num>
  <w:num w:numId="2" w16cid:durableId="15082995">
    <w:abstractNumId w:val="9"/>
  </w:num>
  <w:num w:numId="3" w16cid:durableId="1843811809">
    <w:abstractNumId w:val="7"/>
  </w:num>
  <w:num w:numId="4" w16cid:durableId="2023629893">
    <w:abstractNumId w:val="7"/>
  </w:num>
  <w:num w:numId="5" w16cid:durableId="1751652903">
    <w:abstractNumId w:val="6"/>
  </w:num>
  <w:num w:numId="6" w16cid:durableId="1953592515">
    <w:abstractNumId w:val="6"/>
  </w:num>
  <w:num w:numId="7" w16cid:durableId="177930385">
    <w:abstractNumId w:val="5"/>
  </w:num>
  <w:num w:numId="8" w16cid:durableId="1168012410">
    <w:abstractNumId w:val="5"/>
  </w:num>
  <w:num w:numId="9" w16cid:durableId="1256785529">
    <w:abstractNumId w:val="4"/>
  </w:num>
  <w:num w:numId="10" w16cid:durableId="1929995864">
    <w:abstractNumId w:val="4"/>
  </w:num>
  <w:num w:numId="11" w16cid:durableId="1869949910">
    <w:abstractNumId w:val="8"/>
  </w:num>
  <w:num w:numId="12" w16cid:durableId="1984578943">
    <w:abstractNumId w:val="8"/>
  </w:num>
  <w:num w:numId="13" w16cid:durableId="2129275611">
    <w:abstractNumId w:val="3"/>
  </w:num>
  <w:num w:numId="14" w16cid:durableId="1992103063">
    <w:abstractNumId w:val="3"/>
  </w:num>
  <w:num w:numId="15" w16cid:durableId="212428344">
    <w:abstractNumId w:val="2"/>
  </w:num>
  <w:num w:numId="16" w16cid:durableId="625550044">
    <w:abstractNumId w:val="2"/>
  </w:num>
  <w:num w:numId="17" w16cid:durableId="1276668048">
    <w:abstractNumId w:val="1"/>
  </w:num>
  <w:num w:numId="18" w16cid:durableId="1422531717">
    <w:abstractNumId w:val="1"/>
  </w:num>
  <w:num w:numId="19" w16cid:durableId="1206792984">
    <w:abstractNumId w:val="0"/>
  </w:num>
  <w:num w:numId="20" w16cid:durableId="1011571462">
    <w:abstractNumId w:val="0"/>
  </w:num>
  <w:num w:numId="21" w16cid:durableId="1781147547">
    <w:abstractNumId w:val="9"/>
  </w:num>
  <w:num w:numId="22" w16cid:durableId="1197159176">
    <w:abstractNumId w:val="7"/>
  </w:num>
  <w:num w:numId="23" w16cid:durableId="406460904">
    <w:abstractNumId w:val="6"/>
  </w:num>
  <w:num w:numId="24" w16cid:durableId="1902522280">
    <w:abstractNumId w:val="5"/>
  </w:num>
  <w:num w:numId="25" w16cid:durableId="245308596">
    <w:abstractNumId w:val="4"/>
  </w:num>
  <w:num w:numId="26" w16cid:durableId="1541018812">
    <w:abstractNumId w:val="8"/>
  </w:num>
  <w:num w:numId="27" w16cid:durableId="1866208154">
    <w:abstractNumId w:val="3"/>
  </w:num>
  <w:num w:numId="28" w16cid:durableId="1266574944">
    <w:abstractNumId w:val="2"/>
  </w:num>
  <w:num w:numId="29" w16cid:durableId="747536273">
    <w:abstractNumId w:val="1"/>
  </w:num>
  <w:num w:numId="30" w16cid:durableId="16542432">
    <w:abstractNumId w:val="0"/>
  </w:num>
  <w:num w:numId="31" w16cid:durableId="1833905665">
    <w:abstractNumId w:val="9"/>
  </w:num>
  <w:num w:numId="32" w16cid:durableId="84424873">
    <w:abstractNumId w:val="7"/>
  </w:num>
  <w:num w:numId="33" w16cid:durableId="1530728111">
    <w:abstractNumId w:val="6"/>
  </w:num>
  <w:num w:numId="34" w16cid:durableId="761536080">
    <w:abstractNumId w:val="5"/>
  </w:num>
  <w:num w:numId="35" w16cid:durableId="249122678">
    <w:abstractNumId w:val="4"/>
  </w:num>
  <w:num w:numId="36" w16cid:durableId="1344815820">
    <w:abstractNumId w:val="8"/>
  </w:num>
  <w:num w:numId="37" w16cid:durableId="573122262">
    <w:abstractNumId w:val="3"/>
  </w:num>
  <w:num w:numId="38" w16cid:durableId="1764646416">
    <w:abstractNumId w:val="2"/>
  </w:num>
  <w:num w:numId="39" w16cid:durableId="527641860">
    <w:abstractNumId w:val="1"/>
  </w:num>
  <w:num w:numId="40" w16cid:durableId="181432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2"/>
    <w:docVar w:name="CIT1MNU" w:val=" 4"/>
    <w:docVar w:name="CIT2MNU" w:val=" 4"/>
    <w:docVar w:name="CIT3MNU" w:val=" 4"/>
    <w:docVar w:name="COMKEY" w:val="PECH"/>
    <w:docVar w:name="CONSENTMNU" w:val=" 1"/>
    <w:docVar w:name="CONTRIBUTIONMNU" w:val=" 2"/>
    <w:docVar w:name="DOCDT" w:val="05/12/2025"/>
    <w:docVar w:name="LastEditedSection" w:val=" 1"/>
    <w:docVar w:name="NVAR1" w:val="0"/>
    <w:docVar w:name="strDocTypeID" w:val="PR_NLE-AP_Agreement"/>
    <w:docVar w:name="strSubDir" w:val="1338"/>
    <w:docVar w:name="TITLEMNU" w:val=" 2"/>
    <w:docVar w:name="TXTAUTHOR" w:val="Oihane Agirregoitia Martínez"/>
    <w:docVar w:name="TXTLANGUE" w:val="IT"/>
    <w:docVar w:name="TXTLANGUEMIN" w:val="it"/>
    <w:docVar w:name="TXTNRC" w:val="xxxxx/2025"/>
    <w:docVar w:name="TXTNRCOUNC" w:val="xxxxx/2025"/>
    <w:docVar w:name="TXTNRNLE" w:val="2025/0287"/>
    <w:docVar w:name="TXTNRPE" w:val="779.323"/>
    <w:docVar w:name="TXTPEorAP" w:val="PE"/>
    <w:docVar w:name="TXTROUTE" w:val="PR\1338043IT.docx"/>
    <w:docVar w:name="TXTTITLE" w:val="on the conclusion, on behalf of the Union, of the Protocol on the implementation of the Sustainable Fisheries Partnership Agreement between the European Union and the Government of the Cook Islands (2025-2032)"/>
    <w:docVar w:name="TXTVERSION" w:val="02-00"/>
  </w:docVars>
  <w:rsids>
    <w:rsidRoot w:val="00324200"/>
    <w:rsid w:val="00001D52"/>
    <w:rsid w:val="0000443F"/>
    <w:rsid w:val="000053E3"/>
    <w:rsid w:val="000322CB"/>
    <w:rsid w:val="0003530D"/>
    <w:rsid w:val="0006167F"/>
    <w:rsid w:val="00061EFE"/>
    <w:rsid w:val="00095D8B"/>
    <w:rsid w:val="000A2F5D"/>
    <w:rsid w:val="000A2F73"/>
    <w:rsid w:val="000C123D"/>
    <w:rsid w:val="000C3BD3"/>
    <w:rsid w:val="000D78AF"/>
    <w:rsid w:val="0017360C"/>
    <w:rsid w:val="00180664"/>
    <w:rsid w:val="001867A9"/>
    <w:rsid w:val="001874D8"/>
    <w:rsid w:val="001D02E3"/>
    <w:rsid w:val="001D73E9"/>
    <w:rsid w:val="001F7BBE"/>
    <w:rsid w:val="0021049A"/>
    <w:rsid w:val="0022685A"/>
    <w:rsid w:val="002A7EA4"/>
    <w:rsid w:val="002E2E20"/>
    <w:rsid w:val="002F5A83"/>
    <w:rsid w:val="002F6F34"/>
    <w:rsid w:val="003072BE"/>
    <w:rsid w:val="00324200"/>
    <w:rsid w:val="00337C92"/>
    <w:rsid w:val="00363B94"/>
    <w:rsid w:val="003B598C"/>
    <w:rsid w:val="003F10A4"/>
    <w:rsid w:val="004174FC"/>
    <w:rsid w:val="00460BD6"/>
    <w:rsid w:val="004859B3"/>
    <w:rsid w:val="004C083C"/>
    <w:rsid w:val="004E1650"/>
    <w:rsid w:val="005027B1"/>
    <w:rsid w:val="0053367A"/>
    <w:rsid w:val="00544D48"/>
    <w:rsid w:val="005877C0"/>
    <w:rsid w:val="005A6B14"/>
    <w:rsid w:val="005D0B97"/>
    <w:rsid w:val="005E52C5"/>
    <w:rsid w:val="005F5D6C"/>
    <w:rsid w:val="006132CE"/>
    <w:rsid w:val="00613F2E"/>
    <w:rsid w:val="00697218"/>
    <w:rsid w:val="006A1A75"/>
    <w:rsid w:val="006A2CF5"/>
    <w:rsid w:val="006F1B6F"/>
    <w:rsid w:val="006F3406"/>
    <w:rsid w:val="00732B33"/>
    <w:rsid w:val="00791637"/>
    <w:rsid w:val="0080122F"/>
    <w:rsid w:val="00822206"/>
    <w:rsid w:val="00833F59"/>
    <w:rsid w:val="008368CB"/>
    <w:rsid w:val="0085501C"/>
    <w:rsid w:val="00861E41"/>
    <w:rsid w:val="00877649"/>
    <w:rsid w:val="00887349"/>
    <w:rsid w:val="0089017F"/>
    <w:rsid w:val="00893FBD"/>
    <w:rsid w:val="008B75A4"/>
    <w:rsid w:val="008D23C6"/>
    <w:rsid w:val="008D3030"/>
    <w:rsid w:val="008D41B6"/>
    <w:rsid w:val="008E3848"/>
    <w:rsid w:val="008E6772"/>
    <w:rsid w:val="00924EE0"/>
    <w:rsid w:val="009612AA"/>
    <w:rsid w:val="009E39A7"/>
    <w:rsid w:val="00A403F1"/>
    <w:rsid w:val="00A415B7"/>
    <w:rsid w:val="00AD0D8C"/>
    <w:rsid w:val="00AD5D0C"/>
    <w:rsid w:val="00AF29DE"/>
    <w:rsid w:val="00B11AF8"/>
    <w:rsid w:val="00B31D18"/>
    <w:rsid w:val="00B42885"/>
    <w:rsid w:val="00B50C20"/>
    <w:rsid w:val="00B55A6C"/>
    <w:rsid w:val="00B6769C"/>
    <w:rsid w:val="00BB22CC"/>
    <w:rsid w:val="00BB41C8"/>
    <w:rsid w:val="00BE5E72"/>
    <w:rsid w:val="00BF0A0F"/>
    <w:rsid w:val="00BF2E15"/>
    <w:rsid w:val="00BF7638"/>
    <w:rsid w:val="00BF7F55"/>
    <w:rsid w:val="00C05DD8"/>
    <w:rsid w:val="00C15447"/>
    <w:rsid w:val="00C35D01"/>
    <w:rsid w:val="00C50606"/>
    <w:rsid w:val="00C701CE"/>
    <w:rsid w:val="00CA2620"/>
    <w:rsid w:val="00CB5651"/>
    <w:rsid w:val="00CC20CB"/>
    <w:rsid w:val="00CF44DF"/>
    <w:rsid w:val="00D04E0B"/>
    <w:rsid w:val="00D62DA0"/>
    <w:rsid w:val="00D6543C"/>
    <w:rsid w:val="00DC4473"/>
    <w:rsid w:val="00DF594D"/>
    <w:rsid w:val="00E14FEE"/>
    <w:rsid w:val="00E33244"/>
    <w:rsid w:val="00E71368"/>
    <w:rsid w:val="00E93816"/>
    <w:rsid w:val="00EA59ED"/>
    <w:rsid w:val="00EF48F2"/>
    <w:rsid w:val="00EF4DC5"/>
    <w:rsid w:val="00F04010"/>
    <w:rsid w:val="00F30176"/>
    <w:rsid w:val="00F94472"/>
    <w:rsid w:val="00FA494A"/>
    <w:rsid w:val="00FC699E"/>
    <w:rsid w:val="00FD14C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6E085"/>
  <w15:chartTrackingRefBased/>
  <w15:docId w15:val="{91F33ECB-1423-4FDC-BFEF-9DFA62AE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833F59"/>
    <w:pPr>
      <w:tabs>
        <w:tab w:val="right" w:pos="454"/>
        <w:tab w:val="left" w:pos="737"/>
      </w:tabs>
      <w:ind w:left="737" w:hanging="737"/>
    </w:pPr>
    <w:rPr>
      <w:snapToGrid w:val="0"/>
      <w:sz w:val="18"/>
      <w:lang w:eastAsia="en-US"/>
    </w:rPr>
  </w:style>
  <w:style w:type="paragraph" w:customStyle="1" w:styleId="Lgendetitre">
    <w:name w:val="Légende titre"/>
    <w:basedOn w:val="Normal"/>
    <w:rsid w:val="00833F59"/>
    <w:pPr>
      <w:spacing w:before="240" w:after="240"/>
    </w:pPr>
    <w:rPr>
      <w:b/>
      <w:i/>
      <w:snapToGrid w:val="0"/>
      <w:lang w:eastAsia="en-US"/>
    </w:rPr>
  </w:style>
  <w:style w:type="paragraph" w:customStyle="1" w:styleId="Lgendestandard">
    <w:name w:val="Légende standard"/>
    <w:basedOn w:val="Normal"/>
    <w:rsid w:val="00833F59"/>
    <w:rPr>
      <w:sz w:val="18"/>
    </w:rPr>
  </w:style>
  <w:style w:type="paragraph" w:styleId="FootnoteText">
    <w:name w:val="footnote text"/>
    <w:basedOn w:val="Normal"/>
    <w:link w:val="FootnoteTextChar"/>
    <w:rsid w:val="00833F59"/>
    <w:rPr>
      <w:sz w:val="20"/>
    </w:rPr>
  </w:style>
  <w:style w:type="character" w:customStyle="1" w:styleId="FootnoteTextChar">
    <w:name w:val="Footnote Text Char"/>
    <w:basedOn w:val="DefaultParagraphFont"/>
    <w:link w:val="FootnoteText"/>
    <w:rsid w:val="00833F59"/>
  </w:style>
  <w:style w:type="character" w:styleId="FootnoteReference">
    <w:name w:val="footnote reference"/>
    <w:basedOn w:val="DefaultParagraphFont"/>
    <w:rsid w:val="00833F59"/>
    <w:rPr>
      <w:vertAlign w:val="superscript"/>
    </w:rPr>
  </w:style>
  <w:style w:type="paragraph" w:customStyle="1" w:styleId="Normal24a">
    <w:name w:val="Normal24a"/>
    <w:basedOn w:val="Normal"/>
    <w:rsid w:val="00833F59"/>
    <w:pPr>
      <w:spacing w:after="480"/>
    </w:pPr>
  </w:style>
  <w:style w:type="paragraph" w:customStyle="1" w:styleId="NormalBoldCenter">
    <w:name w:val="NormalBoldCenter"/>
    <w:basedOn w:val="Normal"/>
    <w:rsid w:val="00833F59"/>
    <w:pPr>
      <w:jc w:val="center"/>
    </w:pPr>
    <w:rPr>
      <w:b/>
    </w:rPr>
  </w:style>
  <w:style w:type="paragraph" w:customStyle="1" w:styleId="Footprint12b">
    <w:name w:val="Footprint12b"/>
    <w:basedOn w:val="Normal"/>
    <w:rsid w:val="00833F59"/>
    <w:pPr>
      <w:spacing w:before="240"/>
    </w:pPr>
    <w:rPr>
      <w:szCs w:val="24"/>
    </w:rPr>
  </w:style>
  <w:style w:type="paragraph" w:customStyle="1" w:styleId="NormalSingle">
    <w:name w:val="NormalSingle"/>
    <w:basedOn w:val="Normal"/>
    <w:qFormat/>
    <w:rsid w:val="00833F59"/>
    <w:rPr>
      <w:szCs w:val="24"/>
    </w:rPr>
  </w:style>
  <w:style w:type="character" w:styleId="Hyperlink">
    <w:name w:val="Hyperlink"/>
    <w:basedOn w:val="DefaultParagraphFont"/>
    <w:rsid w:val="00833F59"/>
    <w:rPr>
      <w:color w:val="0563C1" w:themeColor="hyperlink"/>
      <w:u w:val="single"/>
    </w:rPr>
  </w:style>
  <w:style w:type="character" w:styleId="UnresolvedMention">
    <w:name w:val="Unresolved Mention"/>
    <w:basedOn w:val="DefaultParagraphFont"/>
    <w:uiPriority w:val="99"/>
    <w:semiHidden/>
    <w:unhideWhenUsed/>
    <w:rsid w:val="00833F59"/>
    <w:rPr>
      <w:color w:val="605E5C"/>
      <w:shd w:val="clear" w:color="auto" w:fill="E1DFDD"/>
    </w:rPr>
  </w:style>
  <w:style w:type="paragraph" w:styleId="Footer">
    <w:name w:val="footer"/>
    <w:basedOn w:val="Normal"/>
    <w:link w:val="FooterChar"/>
    <w:semiHidden/>
    <w:rsid w:val="00CA2620"/>
    <w:pPr>
      <w:tabs>
        <w:tab w:val="center" w:pos="4513"/>
        <w:tab w:val="right" w:pos="9026"/>
      </w:tabs>
    </w:pPr>
  </w:style>
  <w:style w:type="character" w:customStyle="1" w:styleId="FooterChar">
    <w:name w:val="Footer Char"/>
    <w:basedOn w:val="DefaultParagraphFont"/>
    <w:link w:val="Footer"/>
    <w:semiHidden/>
    <w:rsid w:val="00CA2620"/>
    <w:rPr>
      <w:sz w:val="24"/>
    </w:rPr>
  </w:style>
  <w:style w:type="paragraph" w:styleId="Revision">
    <w:name w:val="Revision"/>
    <w:hidden/>
    <w:uiPriority w:val="99"/>
    <w:semiHidden/>
    <w:rsid w:val="000353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571966">
      <w:bodyDiv w:val="1"/>
      <w:marLeft w:val="0"/>
      <w:marRight w:val="0"/>
      <w:marTop w:val="0"/>
      <w:marBottom w:val="0"/>
      <w:divBdr>
        <w:top w:val="none" w:sz="0" w:space="0" w:color="auto"/>
        <w:left w:val="none" w:sz="0" w:space="0" w:color="auto"/>
        <w:bottom w:val="none" w:sz="0" w:space="0" w:color="auto"/>
        <w:right w:val="none" w:sz="0" w:space="0" w:color="auto"/>
      </w:divBdr>
    </w:div>
    <w:div w:id="537552171">
      <w:bodyDiv w:val="1"/>
      <w:marLeft w:val="0"/>
      <w:marRight w:val="0"/>
      <w:marTop w:val="0"/>
      <w:marBottom w:val="0"/>
      <w:divBdr>
        <w:top w:val="none" w:sz="0" w:space="0" w:color="auto"/>
        <w:left w:val="none" w:sz="0" w:space="0" w:color="auto"/>
        <w:bottom w:val="none" w:sz="0" w:space="0" w:color="auto"/>
        <w:right w:val="none" w:sz="0" w:space="0" w:color="auto"/>
      </w:divBdr>
    </w:div>
    <w:div w:id="645281662">
      <w:bodyDiv w:val="1"/>
      <w:marLeft w:val="0"/>
      <w:marRight w:val="0"/>
      <w:marTop w:val="0"/>
      <w:marBottom w:val="0"/>
      <w:divBdr>
        <w:top w:val="none" w:sz="0" w:space="0" w:color="auto"/>
        <w:left w:val="none" w:sz="0" w:space="0" w:color="auto"/>
        <w:bottom w:val="none" w:sz="0" w:space="0" w:color="auto"/>
        <w:right w:val="none" w:sz="0" w:space="0" w:color="auto"/>
      </w:divBdr>
    </w:div>
    <w:div w:id="913661428">
      <w:bodyDiv w:val="1"/>
      <w:marLeft w:val="0"/>
      <w:marRight w:val="0"/>
      <w:marTop w:val="0"/>
      <w:marBottom w:val="0"/>
      <w:divBdr>
        <w:top w:val="none" w:sz="0" w:space="0" w:color="auto"/>
        <w:left w:val="none" w:sz="0" w:space="0" w:color="auto"/>
        <w:bottom w:val="none" w:sz="0" w:space="0" w:color="auto"/>
        <w:right w:val="none" w:sz="0" w:space="0" w:color="auto"/>
      </w:divBdr>
    </w:div>
    <w:div w:id="1055130694">
      <w:bodyDiv w:val="1"/>
      <w:marLeft w:val="0"/>
      <w:marRight w:val="0"/>
      <w:marTop w:val="0"/>
      <w:marBottom w:val="0"/>
      <w:divBdr>
        <w:top w:val="none" w:sz="0" w:space="0" w:color="auto"/>
        <w:left w:val="none" w:sz="0" w:space="0" w:color="auto"/>
        <w:bottom w:val="none" w:sz="0" w:space="0" w:color="auto"/>
        <w:right w:val="none" w:sz="0" w:space="0" w:color="auto"/>
      </w:divBdr>
    </w:div>
    <w:div w:id="1366128256">
      <w:bodyDiv w:val="1"/>
      <w:marLeft w:val="0"/>
      <w:marRight w:val="0"/>
      <w:marTop w:val="0"/>
      <w:marBottom w:val="0"/>
      <w:divBdr>
        <w:top w:val="none" w:sz="0" w:space="0" w:color="auto"/>
        <w:left w:val="none" w:sz="0" w:space="0" w:color="auto"/>
        <w:bottom w:val="none" w:sz="0" w:space="0" w:color="auto"/>
        <w:right w:val="none" w:sz="0" w:space="0" w:color="auto"/>
      </w:divBdr>
    </w:div>
    <w:div w:id="1735155584">
      <w:bodyDiv w:val="1"/>
      <w:marLeft w:val="0"/>
      <w:marRight w:val="0"/>
      <w:marTop w:val="0"/>
      <w:marBottom w:val="0"/>
      <w:divBdr>
        <w:top w:val="none" w:sz="0" w:space="0" w:color="auto"/>
        <w:left w:val="none" w:sz="0" w:space="0" w:color="auto"/>
        <w:bottom w:val="none" w:sz="0" w:space="0" w:color="auto"/>
        <w:right w:val="none" w:sz="0" w:space="0" w:color="auto"/>
      </w:divBdr>
    </w:div>
    <w:div w:id="1804539820">
      <w:bodyDiv w:val="1"/>
      <w:marLeft w:val="0"/>
      <w:marRight w:val="0"/>
      <w:marTop w:val="0"/>
      <w:marBottom w:val="0"/>
      <w:divBdr>
        <w:top w:val="none" w:sz="0" w:space="0" w:color="auto"/>
        <w:left w:val="none" w:sz="0" w:space="0" w:color="auto"/>
        <w:bottom w:val="none" w:sz="0" w:space="0" w:color="auto"/>
        <w:right w:val="none" w:sz="0" w:space="0" w:color="auto"/>
      </w:divBdr>
    </w:div>
    <w:div w:id="1840539478">
      <w:bodyDiv w:val="1"/>
      <w:marLeft w:val="0"/>
      <w:marRight w:val="0"/>
      <w:marTop w:val="0"/>
      <w:marBottom w:val="0"/>
      <w:divBdr>
        <w:top w:val="none" w:sz="0" w:space="0" w:color="auto"/>
        <w:left w:val="none" w:sz="0" w:space="0" w:color="auto"/>
        <w:bottom w:val="none" w:sz="0" w:space="0" w:color="auto"/>
        <w:right w:val="none" w:sz="0" w:space="0" w:color="auto"/>
      </w:divBdr>
    </w:div>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 w:id="2106724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1076</Words>
  <Characters>6416</Characters>
  <Application>Microsoft Office Word</Application>
  <DocSecurity>0</DocSecurity>
  <Lines>145</Lines>
  <Paragraphs>60</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NENICKOVA Sylva</dc:creator>
  <cp:keywords/>
  <dc:description/>
  <cp:lastModifiedBy>SPADETTO Carla</cp:lastModifiedBy>
  <cp:revision>2</cp:revision>
  <cp:lastPrinted>2002-12-11T09:25:00Z</cp:lastPrinted>
  <dcterms:created xsi:type="dcterms:W3CDTF">2026-02-26T10:43:00Z</dcterms:created>
  <dcterms:modified xsi:type="dcterms:W3CDTF">2026-02-26T10:43:00Z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10.2.0 Build [20251118]</vt:lpwstr>
  </property>
  <property fmtid="{D5CDD505-2E9C-101B-9397-08002B2CF9AE}" pid="4" name="LastEdited with">
    <vt:lpwstr>10.2.1 Build [20260110]</vt:lpwstr>
  </property>
  <property fmtid="{D5CDD505-2E9C-101B-9397-08002B2CF9AE}" pid="5" name="&lt;FdR&gt;">
    <vt:lpwstr>1338043</vt:lpwstr>
  </property>
  <property fmtid="{D5CDD505-2E9C-101B-9397-08002B2CF9AE}" pid="6" name="&lt;Type&gt;">
    <vt:lpwstr>PR</vt:lpwstr>
  </property>
  <property fmtid="{D5CDD505-2E9C-101B-9397-08002B2CF9AE}" pid="7" name="&lt;ModelCod&gt;">
    <vt:lpwstr>\\eiciBRUpr1\pdocep$\DocEP\DOCS\General\PR\PR_Leg\NLE\PR_NLE-AP_Agreement.dotx(12/08/2024 16:05:00)</vt:lpwstr>
  </property>
  <property fmtid="{D5CDD505-2E9C-101B-9397-08002B2CF9AE}" pid="8" name="&lt;ModelTra&gt;">
    <vt:lpwstr>\\eiciBRUpr1\pdocep$\DocEP\TRANSFIL\EN\PR_NLE-AP_Agreement.EN(04/10/2024 11:39:01)</vt:lpwstr>
  </property>
  <property fmtid="{D5CDD505-2E9C-101B-9397-08002B2CF9AE}" pid="9" name="&lt;Model&gt;">
    <vt:lpwstr>PR_NLE-AP_Agreement</vt:lpwstr>
  </property>
  <property fmtid="{D5CDD505-2E9C-101B-9397-08002B2CF9AE}" pid="10" name="FooterPath">
    <vt:lpwstr>PR\1338043IT.docx</vt:lpwstr>
  </property>
  <property fmtid="{D5CDD505-2E9C-101B-9397-08002B2CF9AE}" pid="11" name="PE number">
    <vt:lpwstr>779.323</vt:lpwstr>
  </property>
  <property fmtid="{D5CDD505-2E9C-101B-9397-08002B2CF9AE}" pid="12" name="SendToEpades">
    <vt:lpwstr>OK - 2026/02/23 16:29</vt:lpwstr>
  </property>
  <property fmtid="{D5CDD505-2E9C-101B-9397-08002B2CF9AE}" pid="13" name="OriLang">
    <vt:lpwstr>EN</vt:lpwstr>
  </property>
  <property fmtid="{D5CDD505-2E9C-101B-9397-08002B2CF9AE}" pid="14" name="Bookout">
    <vt:lpwstr>OK - 2026/02/26 11:42</vt:lpwstr>
  </property>
  <property fmtid="{D5CDD505-2E9C-101B-9397-08002B2CF9AE}" pid="15" name="SDLStudio">
    <vt:lpwstr/>
  </property>
</Properties>
</file>