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41805" w:rsidRPr="004D70E1" w14:paraId="731BB3AF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AAEAB1" w14:textId="77777777" w:rsidR="00EE0A27" w:rsidRPr="004D70E1" w:rsidRDefault="0038214E" w:rsidP="00C85D0F">
            <w:pPr>
              <w:pStyle w:val="EPName"/>
            </w:pPr>
            <w:r w:rsidRPr="004D70E1">
              <w:t>Parlament Ewropew</w:t>
            </w:r>
          </w:p>
          <w:p w14:paraId="2EFA82A9" w14:textId="77777777" w:rsidR="00EE0A27" w:rsidRPr="004D70E1" w:rsidRDefault="0038214E" w:rsidP="00C85D0F">
            <w:pPr>
              <w:pStyle w:val="EPTerm"/>
            </w:pPr>
            <w:r w:rsidRPr="004D70E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B73589F" w14:textId="77777777" w:rsidR="00EE0A27" w:rsidRPr="004D70E1" w:rsidRDefault="0038214E" w:rsidP="00C85D0F">
            <w:pPr>
              <w:pStyle w:val="EPLogo"/>
            </w:pPr>
            <w:r w:rsidRPr="004D70E1">
              <w:rPr>
                <w:noProof/>
                <w:lang w:eastAsia="ja-JP"/>
              </w:rPr>
              <w:drawing>
                <wp:inline distT="0" distB="0" distL="0" distR="0" wp14:anchorId="63E8906E" wp14:editId="6BF9AE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93E4F" w14:textId="77777777" w:rsidR="00E3537C" w:rsidRPr="004D70E1" w:rsidRDefault="00E3537C" w:rsidP="00E3537C">
      <w:pPr>
        <w:pStyle w:val="LineTop"/>
      </w:pPr>
    </w:p>
    <w:p w14:paraId="2B680862" w14:textId="77777777" w:rsidR="00E3537C" w:rsidRPr="004D70E1" w:rsidRDefault="0038214E" w:rsidP="00E3537C">
      <w:pPr>
        <w:pStyle w:val="EPBody"/>
      </w:pPr>
      <w:r w:rsidRPr="004D70E1">
        <w:rPr>
          <w:rStyle w:val="HideTWBExt"/>
        </w:rPr>
        <w:t>&lt;</w:t>
      </w:r>
      <w:r w:rsidRPr="004D70E1">
        <w:rPr>
          <w:rStyle w:val="HideTWBExt"/>
          <w:i w:val="0"/>
        </w:rPr>
        <w:t>Commission</w:t>
      </w:r>
      <w:r w:rsidRPr="004D70E1">
        <w:rPr>
          <w:rStyle w:val="HideTWBExt"/>
        </w:rPr>
        <w:t>&gt;</w:t>
      </w:r>
      <w:r w:rsidRPr="004D70E1">
        <w:rPr>
          <w:rStyle w:val="HideTWBInt"/>
          <w:color w:val="auto"/>
        </w:rPr>
        <w:t>{PECH}</w:t>
      </w:r>
      <w:r w:rsidRPr="004D70E1">
        <w:t>Kumitat għas-Sajd</w:t>
      </w:r>
      <w:r w:rsidRPr="004D70E1">
        <w:rPr>
          <w:rStyle w:val="HideTWBExt"/>
        </w:rPr>
        <w:t>&lt;/</w:t>
      </w:r>
      <w:r w:rsidRPr="004D70E1">
        <w:rPr>
          <w:rStyle w:val="HideTWBExt"/>
          <w:i w:val="0"/>
        </w:rPr>
        <w:t>Commission</w:t>
      </w:r>
      <w:r w:rsidRPr="004D70E1">
        <w:rPr>
          <w:rStyle w:val="HideTWBExt"/>
        </w:rPr>
        <w:t>&gt;</w:t>
      </w:r>
    </w:p>
    <w:p w14:paraId="51166D78" w14:textId="77777777" w:rsidR="00E3537C" w:rsidRPr="004D70E1" w:rsidRDefault="00E3537C" w:rsidP="00E3537C">
      <w:pPr>
        <w:pStyle w:val="LineBottom"/>
      </w:pPr>
    </w:p>
    <w:p w14:paraId="64727493" w14:textId="77777777" w:rsidR="00100069" w:rsidRPr="004D70E1" w:rsidRDefault="0038214E">
      <w:pPr>
        <w:pStyle w:val="CoverReference"/>
      </w:pPr>
      <w:r w:rsidRPr="004D70E1">
        <w:rPr>
          <w:rStyle w:val="HideTWBExt"/>
          <w:b w:val="0"/>
        </w:rPr>
        <w:t>&lt;RefProc&gt;</w:t>
      </w:r>
      <w:r w:rsidRPr="004D70E1">
        <w:t>2026/2074</w:t>
      </w:r>
      <w:r w:rsidRPr="004D70E1">
        <w:rPr>
          <w:rStyle w:val="HideTWBExt"/>
          <w:b w:val="0"/>
        </w:rPr>
        <w:t>&lt;/RefProc&gt;&lt;RefTypeProc&gt;</w:t>
      </w:r>
      <w:r w:rsidRPr="004D70E1">
        <w:t>(INI)</w:t>
      </w:r>
      <w:r w:rsidRPr="004D70E1">
        <w:rPr>
          <w:rStyle w:val="HideTWBExt"/>
          <w:b w:val="0"/>
        </w:rPr>
        <w:t>&lt;/RefTypeProc&gt;</w:t>
      </w:r>
    </w:p>
    <w:p w14:paraId="15EF1F65" w14:textId="77777777" w:rsidR="00100069" w:rsidRPr="004D70E1" w:rsidRDefault="0038214E">
      <w:pPr>
        <w:pStyle w:val="CoverDate"/>
      </w:pPr>
      <w:r w:rsidRPr="004D70E1">
        <w:rPr>
          <w:rStyle w:val="HideTWBExt"/>
        </w:rPr>
        <w:t>&lt;Date&gt;</w:t>
      </w:r>
      <w:r w:rsidRPr="004D70E1">
        <w:rPr>
          <w:rStyle w:val="HideTWBInt"/>
          <w:color w:val="auto"/>
        </w:rPr>
        <w:t>{17/06/2026}</w:t>
      </w:r>
      <w:r w:rsidRPr="004D70E1">
        <w:t>17.6.2026</w:t>
      </w:r>
      <w:r w:rsidRPr="004D70E1">
        <w:rPr>
          <w:rStyle w:val="HideTWBExt"/>
        </w:rPr>
        <w:t>&lt;/Date&gt;</w:t>
      </w:r>
    </w:p>
    <w:p w14:paraId="11942010" w14:textId="77777777" w:rsidR="00100069" w:rsidRPr="004D70E1" w:rsidRDefault="0038214E">
      <w:pPr>
        <w:pStyle w:val="CoverDocType24a"/>
      </w:pPr>
      <w:r w:rsidRPr="004D70E1">
        <w:rPr>
          <w:rStyle w:val="HideTWBExt"/>
          <w:b w:val="0"/>
        </w:rPr>
        <w:t>&lt;TitreType&gt;</w:t>
      </w:r>
      <w:r w:rsidRPr="004D70E1">
        <w:t>ABBOZZ TA’ RAPPORT</w:t>
      </w:r>
      <w:r w:rsidRPr="004D70E1">
        <w:rPr>
          <w:rStyle w:val="HideTWBExt"/>
          <w:b w:val="0"/>
        </w:rPr>
        <w:t>&lt;/TitreType&gt;</w:t>
      </w:r>
    </w:p>
    <w:p w14:paraId="7A9ECC64" w14:textId="77777777" w:rsidR="00100069" w:rsidRPr="004D70E1" w:rsidRDefault="0038214E">
      <w:pPr>
        <w:pStyle w:val="CoverNormal"/>
      </w:pPr>
      <w:r w:rsidRPr="004D70E1">
        <w:rPr>
          <w:rStyle w:val="HideTWBExt"/>
        </w:rPr>
        <w:t>&lt;Titre&gt;</w:t>
      </w:r>
      <w:r w:rsidRPr="004D70E1">
        <w:t xml:space="preserve">dwar </w:t>
      </w:r>
      <w:bookmarkStart w:id="0" w:name="_Hlk232585794"/>
      <w:r w:rsidRPr="004D70E1">
        <w:t xml:space="preserve">il-pjan </w:t>
      </w:r>
      <w:r w:rsidRPr="004D70E1">
        <w:t xml:space="preserve">pluriennali għas-sajd li jisfrutta l-istokkijiet demersali fil-Punent tal-Baħar Mediterran </w:t>
      </w:r>
      <w:bookmarkEnd w:id="0"/>
      <w:r w:rsidRPr="004D70E1">
        <w:rPr>
          <w:rStyle w:val="HideTWBExt"/>
        </w:rPr>
        <w:t>&lt;/Titre&gt;</w:t>
      </w:r>
    </w:p>
    <w:p w14:paraId="39141C94" w14:textId="77777777" w:rsidR="00100069" w:rsidRPr="004D70E1" w:rsidRDefault="0038214E">
      <w:pPr>
        <w:pStyle w:val="CoverNormal24a"/>
      </w:pPr>
      <w:r w:rsidRPr="004D70E1">
        <w:rPr>
          <w:rStyle w:val="HideTWBExt"/>
        </w:rPr>
        <w:t>&lt;DocRef&gt;</w:t>
      </w:r>
      <w:r w:rsidRPr="004D70E1">
        <w:t>(2026/2074(INI))</w:t>
      </w:r>
      <w:r w:rsidRPr="004D70E1">
        <w:rPr>
          <w:rStyle w:val="HideTWBExt"/>
        </w:rPr>
        <w:t>&lt;/DocRef&gt;</w:t>
      </w:r>
    </w:p>
    <w:p w14:paraId="5399242B" w14:textId="77777777" w:rsidR="00100069" w:rsidRPr="004D70E1" w:rsidRDefault="0038214E">
      <w:pPr>
        <w:pStyle w:val="CoverNormal24a"/>
      </w:pPr>
      <w:r w:rsidRPr="004D70E1">
        <w:rPr>
          <w:rStyle w:val="HideTWBExt"/>
        </w:rPr>
        <w:t>&lt;Commission&gt;</w:t>
      </w:r>
      <w:r w:rsidRPr="004D70E1">
        <w:rPr>
          <w:rStyle w:val="HideTWBInt"/>
          <w:color w:val="auto"/>
        </w:rPr>
        <w:t>{PECH}</w:t>
      </w:r>
      <w:r w:rsidRPr="004D70E1">
        <w:t>Kumitat għas-Sajd</w:t>
      </w:r>
      <w:r w:rsidRPr="004D70E1">
        <w:rPr>
          <w:rStyle w:val="HideTWBExt"/>
        </w:rPr>
        <w:t>&lt;/Commission&gt;</w:t>
      </w:r>
    </w:p>
    <w:p w14:paraId="350D6D9F" w14:textId="77777777" w:rsidR="00100069" w:rsidRPr="004D70E1" w:rsidRDefault="0038214E">
      <w:pPr>
        <w:pStyle w:val="CoverNormal24a"/>
      </w:pPr>
      <w:r w:rsidRPr="004D70E1">
        <w:t xml:space="preserve">Rapporteur: </w:t>
      </w:r>
      <w:r w:rsidRPr="004D70E1">
        <w:rPr>
          <w:rStyle w:val="HideTWBExt"/>
        </w:rPr>
        <w:t>&lt;Depute&gt;</w:t>
      </w:r>
      <w:r w:rsidRPr="004D70E1">
        <w:t>Carmen Crespo Díaz</w:t>
      </w:r>
      <w:r w:rsidRPr="004D70E1">
        <w:rPr>
          <w:rStyle w:val="HideTWBExt"/>
        </w:rPr>
        <w:t>&lt;/Depute&gt;</w:t>
      </w:r>
    </w:p>
    <w:p w14:paraId="5F334B18" w14:textId="77777777" w:rsidR="00E155CA" w:rsidRPr="004D70E1" w:rsidRDefault="00E155CA" w:rsidP="00E155CA">
      <w:pPr>
        <w:pStyle w:val="CoverNormal"/>
      </w:pPr>
    </w:p>
    <w:p w14:paraId="4DD4CBDB" w14:textId="77777777" w:rsidR="00100069" w:rsidRPr="004D70E1" w:rsidRDefault="0038214E" w:rsidP="002544DF">
      <w:pPr>
        <w:widowControl/>
        <w:tabs>
          <w:tab w:val="center" w:pos="4677"/>
        </w:tabs>
      </w:pPr>
      <w:r w:rsidRPr="004D70E1">
        <w:br w:type="page"/>
      </w:r>
      <w:r w:rsidRPr="004D70E1">
        <w:lastRenderedPageBreak/>
        <w:t>PR_INI_ImplReport</w:t>
      </w:r>
    </w:p>
    <w:p w14:paraId="779D7F3A" w14:textId="77777777" w:rsidR="00100069" w:rsidRPr="004D70E1" w:rsidRDefault="0038214E">
      <w:pPr>
        <w:pStyle w:val="TOCHeading"/>
      </w:pPr>
      <w:r w:rsidRPr="004D70E1">
        <w:t>WERREJ</w:t>
      </w:r>
    </w:p>
    <w:p w14:paraId="7026B8C5" w14:textId="77777777" w:rsidR="00100069" w:rsidRPr="004D70E1" w:rsidRDefault="0038214E">
      <w:pPr>
        <w:pStyle w:val="TOCPage"/>
      </w:pPr>
      <w:r w:rsidRPr="004D70E1">
        <w:t>Paġna</w:t>
      </w:r>
    </w:p>
    <w:p w14:paraId="4DD20455" w14:textId="714BBF16" w:rsidR="0038214E" w:rsidRDefault="0038214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4D70E1">
        <w:rPr>
          <w:b/>
        </w:rPr>
        <w:fldChar w:fldCharType="begin"/>
      </w:r>
      <w:r w:rsidRPr="004D70E1">
        <w:rPr>
          <w:b/>
        </w:rPr>
        <w:instrText xml:space="preserve"> TOC \t "</w:instrText>
      </w:r>
      <w:r w:rsidRPr="004D70E1">
        <w:instrText>PageHeading</w:instrText>
      </w:r>
      <w:r w:rsidR="004D6299" w:rsidRPr="004D70E1">
        <w:rPr>
          <w:b/>
        </w:rPr>
        <w:instrText>;</w:instrText>
      </w:r>
      <w:r w:rsidRPr="004D70E1">
        <w:rPr>
          <w:b/>
        </w:rPr>
        <w:instrText xml:space="preserve">1" </w:instrText>
      </w:r>
      <w:r w:rsidRPr="004D70E1">
        <w:rPr>
          <w:b/>
        </w:rPr>
        <w:fldChar w:fldCharType="separate"/>
      </w:r>
      <w:r>
        <w:rPr>
          <w:noProof/>
        </w:rPr>
        <w:t>NOTA SPJEGATTIVA – SOMMARJU TAL-FATTI U S-SEJBIET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_Toc233871834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CFD1669" w14:textId="39C18592" w:rsidR="0038214E" w:rsidRDefault="0038214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_Toc233871835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4517257" w14:textId="114E4222" w:rsidR="0038214E" w:rsidRDefault="0038214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_Toc233871836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78E16F50" w14:textId="239C564A" w:rsidR="00E155CA" w:rsidRPr="004D70E1" w:rsidRDefault="0038214E" w:rsidP="00A10B87">
      <w:r w:rsidRPr="004D70E1">
        <w:rPr>
          <w:b/>
        </w:rPr>
        <w:fldChar w:fldCharType="end"/>
      </w:r>
    </w:p>
    <w:p w14:paraId="7B784758" w14:textId="77777777" w:rsidR="00D63CD1" w:rsidRPr="004D70E1" w:rsidRDefault="0038214E">
      <w:pPr>
        <w:pStyle w:val="PageHeading"/>
      </w:pPr>
      <w:r w:rsidRPr="004D70E1">
        <w:br w:type="page"/>
      </w:r>
      <w:bookmarkStart w:id="1" w:name="_Toc26759888"/>
      <w:bookmarkStart w:id="2" w:name="_Toc86200285"/>
      <w:bookmarkStart w:id="3" w:name="_Toc233871834"/>
      <w:r w:rsidRPr="004D70E1">
        <w:lastRenderedPageBreak/>
        <w:t>NOTA SPJEGATTIVA – SOMMARJU TAL-FATTI U S-SEJBIET</w:t>
      </w:r>
      <w:bookmarkEnd w:id="3"/>
    </w:p>
    <w:p w14:paraId="505601C4" w14:textId="77777777" w:rsidR="00783C25" w:rsidRPr="004D70E1" w:rsidRDefault="0038214E" w:rsidP="00783C25">
      <w:pPr>
        <w:pStyle w:val="Normal12a"/>
        <w:rPr>
          <w:bCs/>
        </w:rPr>
      </w:pPr>
      <w:bookmarkStart w:id="4" w:name="_Hlk232586093"/>
      <w:r w:rsidRPr="004D70E1">
        <w:t>Is-sajd fil-Mediterran huwa parti mill-istorja, mill-kultura u mill-identità tal-Ewropa. Għal sekli sħaħ, il-komunitajiet kostali tal-Mediterran bnew l-iżvilupp ekonomiku u soċjali tagħhom madwar attività tas-sajd li mhux biss tiżgura ikel ta’ kwalità għal miljuni ta’ ċittadini Ewropej, iżda tikkontribwixxi wkoll għall-koeżjoni territorjali, għall-impjiegi u għall-preservazzjoni ta’ għarfien u tradizzjonijiet b’għeruq fondi.</w:t>
      </w:r>
    </w:p>
    <w:p w14:paraId="0E8E8D5B" w14:textId="77777777" w:rsidR="00783C25" w:rsidRPr="004D70E1" w:rsidRDefault="0038214E" w:rsidP="00783C25">
      <w:pPr>
        <w:pStyle w:val="Normal12a"/>
        <w:rPr>
          <w:bCs/>
        </w:rPr>
      </w:pPr>
      <w:r w:rsidRPr="004D70E1">
        <w:t>L-adozzjoni tar-Regolament (UE) 2019/1022 li jistabbilixxi pjan pluriennali għall-istokkijiet tal-ħut demersali fil-Punent tal-Baħar Mediterran indirizzat il-ħtieġa li jiġi żgurat l-irkupru ta’ ċerti stokkijiet tal-ħut taħt pressjoni. L-objettiv li jinkiseb sfruttament sostenibbli tar-riżorsi tal-baħar huwa kondiviż mis-settur, mill-Istati Membri u mill-istituzzjonijiet Ewropej. Madankollu, wara aktar minn ħames snin ta’ implimentazzjoni, l-esperjenza miksuba turi li l-qafas regolatorju attwali għandu limit</w:t>
      </w:r>
      <w:r w:rsidRPr="004D70E1">
        <w:t>azzjonijiet sinifikanti li jeħtieġu reviżjoni fil-fond u urġenti, sabiex jiġi avvanzat l-għan komuni tal-UE li żżid il-kompetittività b’mod ġenerali.</w:t>
      </w:r>
    </w:p>
    <w:p w14:paraId="0DD184AC" w14:textId="77777777" w:rsidR="00783C25" w:rsidRPr="004D70E1" w:rsidRDefault="0038214E" w:rsidP="00783C25">
      <w:pPr>
        <w:pStyle w:val="Normal12a"/>
        <w:rPr>
          <w:bCs/>
        </w:rPr>
      </w:pPr>
      <w:r w:rsidRPr="004D70E1">
        <w:t>Matul dan il-perjodu, il-flotta tal-Mediterran għamlet sforzi straordinarji biex tadatta ruħha. Is-sajjieda aċċettaw tnaqqis suċċessiv fl-isforz tas-sajd, ġarrbu spejjeż ekonomiċi sinifikanti u investew riżorsi sinifikanti biex itejbu s-sostenibbiltà tal-attività tagħhom. L-adozzjoni ta’ rkaptu aktar selettiv, l-inkorporazzjoni tal-“flying doors”, l-użu ta’ malji aktar selettivi u titjib tekniku ieħor juru l-impenn tas-settur li jikkonserva r-riżorsi u jnaqqas l-impatt ambjentali tiegħu sabiex ikun jista’ j</w:t>
      </w:r>
      <w:r w:rsidRPr="004D70E1">
        <w:t>kompli bl-attività tiegħu, li jsostni eluf ta’ kumpaniji tas-sajd fil-Mediterran, li l-maġġoranza tagħhom jappartjenu għal familji ħaddiema.</w:t>
      </w:r>
    </w:p>
    <w:p w14:paraId="39DB7F32" w14:textId="77777777" w:rsidR="00783C25" w:rsidRPr="004D70E1" w:rsidRDefault="0038214E" w:rsidP="00783C25">
      <w:pPr>
        <w:pStyle w:val="Normal12a"/>
        <w:rPr>
          <w:bCs/>
        </w:rPr>
      </w:pPr>
      <w:r w:rsidRPr="004D70E1">
        <w:t>Dawn l-isforzi għenu biex jiġu ġġenerati riżultati pożittivi għal ċerti stokkijiet. Madankollu, l-implimentazzjoni prattika tal-pjan żvelat ukoll diffikultajiet ekonomiċi u soċjali sinifikanti. F’ħafna każijiet, it-tnaqqis kontinwu fil-jiem tas-sajd ġab l-attività tal-bastimenti qrib jew saħansitra taħt il-limiti minimi ta’ profittabbiltà, u dan ikkomprometta l-vijabbiltà tal-intrapriżi tas-sajd, it-tiġdid ġenerazzjonali u ż-żamma tal-impjiegi fil-komunitajiet kostali.</w:t>
      </w:r>
    </w:p>
    <w:p w14:paraId="34AB6A4C" w14:textId="77777777" w:rsidR="00783C25" w:rsidRPr="004D70E1" w:rsidRDefault="0038214E" w:rsidP="00783C25">
      <w:pPr>
        <w:pStyle w:val="Normal12a"/>
        <w:rPr>
          <w:bCs/>
        </w:rPr>
      </w:pPr>
      <w:r w:rsidRPr="004D70E1">
        <w:t>Din l-evalwazzjoni tenfasizza li l-metodoloġija applikata bħalissa skont il-qafas ta’ pjan pluriennali tkompli tagħti piż predominanti lill-indikaturi bijoloġiċi, mingħajr ma tintegra biżżejjed il-konsegwenzi soċjoekonomiċi li jirriżultaw minn deċiżjonijiet ta’ ġestjoni. Il-Politika Komuni tas-Sajd hija bbażata fuq tliet pilastri inseparabbli: is-sostenibbiltà ambjentali, is-sostenibbiltà ekonomika u s-sostenibbiltà soċjali; L-ebda wieħed minnhom ma jista’ jiġi żviluppat waħdu.</w:t>
      </w:r>
    </w:p>
    <w:p w14:paraId="2F19A3E0" w14:textId="77777777" w:rsidR="00783C25" w:rsidRPr="004D70E1" w:rsidRDefault="0038214E" w:rsidP="00783C25">
      <w:pPr>
        <w:pStyle w:val="Normal12a"/>
        <w:rPr>
          <w:bCs/>
        </w:rPr>
      </w:pPr>
      <w:r w:rsidRPr="004D70E1">
        <w:t>Ir-rapporteur tqis partikolarment inkwetanti l-implimentazzjoni tal-kunċett tal-“istokk l-aktar vulnerabbli”, li wasslet għal sistema riġida ta’ ġestjoni tal-isforzi bbażata fuq il-loġika tal-hekk imsejħa “speċijiet bi kwota limitanti”. Dan l-approċċ ma jirriflettix b’mod adegwat ir-realtà tas-sajd imħallat fil-Mediterran, ikkaratterizzat mill-qbid simultanju ta’ diversi speċijiet u diversità operattiva kbira bejn ir-reġjuni u s-segmenti tal-flotta.</w:t>
      </w:r>
    </w:p>
    <w:p w14:paraId="05B0A00C" w14:textId="77777777" w:rsidR="00783C25" w:rsidRPr="004D70E1" w:rsidRDefault="0038214E" w:rsidP="00F34F71">
      <w:pPr>
        <w:pStyle w:val="Normal12a"/>
        <w:spacing w:before="240"/>
        <w:rPr>
          <w:bCs/>
        </w:rPr>
      </w:pPr>
      <w:r w:rsidRPr="004D70E1">
        <w:t>Għalhekk, ir-rapport jipproponi riforma ambizzjuża tar-Regolament biex l-operat tiegħu jiġi adattat għall-karatteristiċi reali tas-sajd fil-Mediterran. L-emendi proposti jenfasizzaw it-tħassir tad-definizzjoni tal-“istokk l-aktar vulnerabbli”, l-inkorporazzjoni espliċita tal-kriterji soċjoekonomiċi fit-teħid tad-deċiżjonijiet u fl-allokazzjoni tal-jiem tas-sajd, kif ukoll ir-riforma tal-Artikolu 4 biex tiġi rikonoxxuta bis-sħiħ in-natura mħallta ta’ dan is-sajd.</w:t>
      </w:r>
    </w:p>
    <w:p w14:paraId="63F88D67" w14:textId="77777777" w:rsidR="00783C25" w:rsidRPr="004D70E1" w:rsidRDefault="0038214E" w:rsidP="00783C25">
      <w:pPr>
        <w:pStyle w:val="Normal12a"/>
        <w:rPr>
          <w:bCs/>
        </w:rPr>
      </w:pPr>
      <w:r w:rsidRPr="004D70E1">
        <w:t xml:space="preserve">Qed jiġi propost ukoll li jiġu introdotti mekkaniżmi ta’ flessibbiltà li diġà jeżistu fi pjanijiet </w:t>
      </w:r>
      <w:r w:rsidRPr="004D70E1">
        <w:lastRenderedPageBreak/>
        <w:t>pluriennali oħra tal-Unjoni Ewropea, inklużi stabilizzaturi li jillimitaw it-tnaqqis annwali fl-isforz tas-sajd, il-trasferimenti bejn sena u oħra u sistemi ta’ ġestjoni aktar prevedibbli li jippermettu lill-kumpaniji jippjanaw l-attività u l-investimenti tagħhom fuq terminu medju u twil.</w:t>
      </w:r>
    </w:p>
    <w:p w14:paraId="5155863A" w14:textId="77777777" w:rsidR="00783C25" w:rsidRPr="004D70E1" w:rsidRDefault="0038214E" w:rsidP="00783C25">
      <w:pPr>
        <w:pStyle w:val="Normal12a"/>
        <w:rPr>
          <w:bCs/>
        </w:rPr>
      </w:pPr>
      <w:r w:rsidRPr="004D70E1">
        <w:t>Is-sitwazzjoni partikolari ta’ ċertu sajd teħtieġ ukoll attenzjoni speċifika. Is-sajd għall-gambli ħomor huwa eżempju ewlieni ta’ regolamentazzjoni kumplessa żżejjed, peress li huwa soġġett kemm għal sistema ta’ kwoti kif ukoll għal limitazzjonijiet fuq il-jiem tas-sajd. Din ir-restrizzjoni doppja ħolqot diffikultajiet ekonomiċi u operazzjonali sinifikanti, u għalhekk ir-rapport jitlob li titneħħa b’urġenza.</w:t>
      </w:r>
    </w:p>
    <w:p w14:paraId="590B48CB" w14:textId="77777777" w:rsidR="00783C25" w:rsidRPr="004D70E1" w:rsidRDefault="0038214E" w:rsidP="00783C25">
      <w:pPr>
        <w:pStyle w:val="Normal12a"/>
        <w:rPr>
          <w:bCs/>
        </w:rPr>
      </w:pPr>
      <w:r w:rsidRPr="004D70E1">
        <w:t>It-titjib tal-governanza tas-sajd fil-Mediterran jeħtieġ ukoll it-tisħiħ tal-bażi xjentifika li fuqha jserrħu d-deċiżjonijiet. Id-disponibbiltà ta’ data affidabbli, il-koordinazzjoni bejn il-korpi xjentifiċi nazzjonali, Ewropej u reġjonali, u l-kooperazzjoni mal-Kummissjoni Ġenerali tas-Sajd għall-Mediterran huma elementi essenzjali biex jiġu żgurati deċiżjonijiet trasparenti u infurmati. Bl-istess mod, jeħtieġ li jiġu vvalutati kif xieraq l-effetti reali tal-miżuri diġà adottati qabel ma jiġi kkunsidrat ak</w:t>
      </w:r>
      <w:r w:rsidRPr="004D70E1">
        <w:t>tar tnaqqis fl-opportunitajiet tas-sajd.</w:t>
      </w:r>
    </w:p>
    <w:p w14:paraId="20F478E7" w14:textId="77777777" w:rsidR="00783C25" w:rsidRPr="004D70E1" w:rsidRDefault="0038214E" w:rsidP="00783C25">
      <w:pPr>
        <w:pStyle w:val="Normal12a"/>
        <w:rPr>
          <w:bCs/>
        </w:rPr>
      </w:pPr>
      <w:r w:rsidRPr="004D70E1">
        <w:t>Is-sostenibbiltà tas-sajd fil-Mediterran ma tiddependix biss fuq il-flotot Ewropej. Il-persistenza ta’ attivitajiet tas-sajd illegali, mhux irrappurtat u mhux irregolat fil-baċir tal-Mediterran, kif ukoll id-differenzi fil-livell ta’ konformità bejn il-pajjiżi kostali, joħolqu sitwazzjonijiet ta’ kompetizzjoni żleali u jipperikolaw l-isforzi li jsiru mis-sajjieda Ewropej. Ir-rapport għalhekk jirrakkomanda t-tisħiħ tal-kooperazzjoni reġjonali, ir-rwol tal-Kummissjoni Ġenerali tas-Sajd għall-Mediterran u l-ka</w:t>
      </w:r>
      <w:r w:rsidRPr="004D70E1">
        <w:t>paċitajiet ta’ kontroll, spezzjoni u sorveljanza kemm tal-Istati Membri kif ukoll tal-Aġenzija Ewropea għall-Kontroll tas-Sajd.</w:t>
      </w:r>
    </w:p>
    <w:p w14:paraId="5DCEF1A2" w14:textId="77777777" w:rsidR="00783C25" w:rsidRPr="004D70E1" w:rsidRDefault="0038214E" w:rsidP="00783C25">
      <w:pPr>
        <w:pStyle w:val="Normal12a"/>
        <w:rPr>
          <w:bCs/>
        </w:rPr>
      </w:pPr>
      <w:r w:rsidRPr="004D70E1">
        <w:t>Is-sajd huwa wkoll settur strateġiku għall-Unjoni Ewropea. F’kuntest ġeopolitiku kkaratterizzat mill-importanza dejjem tikber tal-awtonomija strateġika u s-sigurtà tal-ikel, il-produzzjoni Ewropea tas-sajd tirrappreżenta assi essenzjali li jeħtieġ li jiġi protett u msaħħaħ. Iż-żamma ta’ flotta moderna, kompetittiva u sostenibbli hija prerekwiżit biex titnaqqas id-dipendenza fuq l-importazzjonijiet minn pajjiżi terzi u tiġi żgurata l-provvista ta’ prodotti tas-sajd ta’ kwalità għolja lill-konsumaturi Ewropej</w:t>
      </w:r>
      <w:r w:rsidRPr="004D70E1">
        <w:t>.</w:t>
      </w:r>
    </w:p>
    <w:p w14:paraId="6718CB23" w14:textId="77777777" w:rsidR="00783C25" w:rsidRPr="004D70E1" w:rsidRDefault="0038214E" w:rsidP="00783C25">
      <w:pPr>
        <w:pStyle w:val="Normal12a"/>
        <w:rPr>
          <w:bCs/>
        </w:rPr>
      </w:pPr>
      <w:r w:rsidRPr="004D70E1">
        <w:t>Fl-aħħar nett, ir-rapporteur tqis li huwa imperattiv li r-reviżjoni futura tal-pjan pluriennali tal-Punent tal-Baħar Mediterran tkun parti minn sforz usa’ biex tiġi ssimplifikata u mmodernizzata l-Politika Komuni tas-Sajd. Ir-regolamentazzjoni Ewropea trid tkompli tiżgura s-sostenibbiltà tar-riżorsi, iżda trid tkun ukoll aktar komprensibbli, proporzjonata u adattata għar-realtà operazzjonali tas-settur. Il-kompetittività tal-flotta Ewropea, it-tiġdid ġenerazzjonali, l-innovazzjoni u l-profittabbiltà ekonomi</w:t>
      </w:r>
      <w:r w:rsidRPr="004D70E1">
        <w:t>ka jridu jerġgħu jkunu fil-qalba tal-politiki tas-sajd tal-Unjoni.</w:t>
      </w:r>
    </w:p>
    <w:p w14:paraId="3D35DE26" w14:textId="77777777" w:rsidR="00D63CD1" w:rsidRPr="004D70E1" w:rsidRDefault="0038214E" w:rsidP="00D63CD1">
      <w:pPr>
        <w:pStyle w:val="Normal12a"/>
        <w:rPr>
          <w:bCs/>
        </w:rPr>
      </w:pPr>
      <w:r w:rsidRPr="004D70E1">
        <w:t>Dan ir-rapport għandu l-għan li jikkontribwixxi għal dak l-objettiv permezz ta’ proposta bbilanċjata li tgħaqqad is-sostenibbiltà ambjentali, il-vijabbiltà ekonomika u l-koeżjoni soċjali, filwaqt li jiżgura futur għas-sajd tal-Mediterran u l-komunitajiet li jiddependu minnu.</w:t>
      </w:r>
      <w:bookmarkEnd w:id="4"/>
    </w:p>
    <w:p w14:paraId="569828E0" w14:textId="77777777" w:rsidR="00534771" w:rsidRPr="004D70E1" w:rsidRDefault="00534771" w:rsidP="00EE28D2"/>
    <w:p w14:paraId="266507BF" w14:textId="77777777" w:rsidR="00534771" w:rsidRPr="004D70E1" w:rsidRDefault="00534771" w:rsidP="00D63CD1">
      <w:pPr>
        <w:pStyle w:val="PageHeading"/>
        <w:sectPr w:rsidR="00534771" w:rsidRPr="004D70E1" w:rsidSect="004D70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CE6F338" w14:textId="77777777" w:rsidR="00100069" w:rsidRPr="004D70E1" w:rsidRDefault="0038214E" w:rsidP="00D63CD1">
      <w:pPr>
        <w:pStyle w:val="PageHeading"/>
      </w:pPr>
      <w:bookmarkStart w:id="5" w:name="_Toc233871835"/>
      <w:bookmarkEnd w:id="1"/>
      <w:bookmarkEnd w:id="2"/>
      <w:r w:rsidRPr="004D70E1">
        <w:lastRenderedPageBreak/>
        <w:t>MOZZJONI GĦAL RIŻOLUZZJONI TAL-PARLAMENT EWROPEW</w:t>
      </w:r>
      <w:bookmarkEnd w:id="5"/>
    </w:p>
    <w:p w14:paraId="130D741A" w14:textId="77777777" w:rsidR="00100069" w:rsidRPr="004D70E1" w:rsidRDefault="0038214E">
      <w:pPr>
        <w:pStyle w:val="NormalBold"/>
      </w:pPr>
      <w:r w:rsidRPr="004D70E1">
        <w:t xml:space="preserve">dwar il-pjan </w:t>
      </w:r>
      <w:r w:rsidRPr="004D70E1">
        <w:t>pluriennali għas-sajd li jisfrutta l-istokkijiet demersali fil-Punent tal-Baħar Mediterran</w:t>
      </w:r>
    </w:p>
    <w:p w14:paraId="062BCB3C" w14:textId="77777777" w:rsidR="00100069" w:rsidRPr="004D70E1" w:rsidRDefault="0038214E" w:rsidP="000C53D8">
      <w:pPr>
        <w:pStyle w:val="NormalBold"/>
      </w:pPr>
      <w:r w:rsidRPr="004D70E1">
        <w:t>(2026/2074(INI))</w:t>
      </w:r>
    </w:p>
    <w:p w14:paraId="592082B4" w14:textId="77777777" w:rsidR="00100069" w:rsidRPr="004D70E1" w:rsidRDefault="0038214E" w:rsidP="000C53D8">
      <w:pPr>
        <w:pStyle w:val="EPComma"/>
      </w:pPr>
      <w:r w:rsidRPr="004D70E1">
        <w:rPr>
          <w:i/>
        </w:rPr>
        <w:t>Il-Parlament Ewropew</w:t>
      </w:r>
      <w:r w:rsidRPr="004D70E1">
        <w:t>,</w:t>
      </w:r>
    </w:p>
    <w:p w14:paraId="4F431F49" w14:textId="77777777" w:rsidR="00100069" w:rsidRPr="004D70E1" w:rsidRDefault="0038214E">
      <w:pPr>
        <w:pStyle w:val="NormalHanging12a"/>
      </w:pPr>
      <w:r w:rsidRPr="004D70E1">
        <w:t>–</w:t>
      </w:r>
      <w:r w:rsidRPr="004D70E1">
        <w:tab/>
        <w:t>wara li kkunsidra l-pjan pluriennali għas-sajd li jisfrutta l-istokkijiet demersali fil-Punent tal-Baħar Mediterran,</w:t>
      </w:r>
    </w:p>
    <w:p w14:paraId="5D1422F0" w14:textId="77777777" w:rsidR="00783C25" w:rsidRPr="004D70E1" w:rsidRDefault="0038214E" w:rsidP="00783C25">
      <w:pPr>
        <w:pStyle w:val="NormalHanging12a"/>
        <w:rPr>
          <w:bCs/>
          <w:iCs/>
        </w:rPr>
      </w:pPr>
      <w:r w:rsidRPr="004D70E1">
        <w:t>–</w:t>
      </w:r>
      <w:r w:rsidRPr="004D70E1">
        <w:tab/>
      </w:r>
      <w:r w:rsidRPr="004D70E1">
        <w:t>wara li kkunsidra l-Artikolu 3(3) tat-Trattat dwar l-Unjoni Ewropea, l-Artikoli 4, 43(3) u 191 tat-Trattat dwar il-Funzjonament tal-Unjoni Ewropea (TFUE), u l-Artikolu 35 u 37 tal-Karta tad-Drittijiet Fundamentali tal-Unjoni Ewropea,</w:t>
      </w:r>
    </w:p>
    <w:p w14:paraId="688D2ED9" w14:textId="77777777" w:rsidR="00783C25" w:rsidRPr="004D70E1" w:rsidRDefault="0038214E" w:rsidP="00783C25">
      <w:pPr>
        <w:pStyle w:val="NormalHanging12a"/>
      </w:pPr>
      <w:r w:rsidRPr="004D70E1">
        <w:t>–</w:t>
      </w:r>
      <w:r w:rsidRPr="004D70E1">
        <w:tab/>
        <w:t>wara li kkunsidra 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(il-PKS),</w:t>
      </w:r>
    </w:p>
    <w:p w14:paraId="0B4B169F" w14:textId="77777777" w:rsidR="00783C25" w:rsidRPr="004D70E1" w:rsidRDefault="0038214E" w:rsidP="00783C25">
      <w:pPr>
        <w:pStyle w:val="NormalHanging12a"/>
      </w:pPr>
      <w:r w:rsidRPr="004D70E1">
        <w:t>–</w:t>
      </w:r>
      <w:r w:rsidRPr="004D70E1">
        <w:tab/>
        <w:t>wara li kkunsidra ir-Regolament (UE) 2019/1022 tal-Parlament Ewropew u tal-Kunsill tal-20 ta’ Ġunju 2019 li jistabbilixxi pjan pluriennali għas-sajd li jisfrutta l-istokkijiet tal-ħut tal-qiegħ fil-Punent tal-Mediterran u li jemenda r-Regolament (UE) Nru 508/2014,</w:t>
      </w:r>
    </w:p>
    <w:p w14:paraId="5AAF98CB" w14:textId="77777777" w:rsidR="00783C25" w:rsidRPr="004D70E1" w:rsidRDefault="0038214E" w:rsidP="00783C25">
      <w:pPr>
        <w:pStyle w:val="NormalHanging12a"/>
        <w:rPr>
          <w:bCs/>
          <w:iCs/>
        </w:rPr>
      </w:pPr>
      <w:r w:rsidRPr="004D70E1">
        <w:t>–</w:t>
      </w:r>
      <w:r w:rsidRPr="004D70E1">
        <w:tab/>
        <w:t xml:space="preserve">wara li kkunsidra r-Regolament (UE) 2019/1241 tal-Parlament Ewropew u tal-Kunsill tal-20 ta’ Ġunju 2019 dwar il-konservazzjoni ta’ riżorsi tas-sajd u l-protezzjoni ta’ ekosistemi tal-baħar permezz ta’ miżuri tekniċi, li jemenda r-Regolamenti tal-Kunsill (KE) Nru 1967/2006, (KE) Nru 1224/2009 u r-Regolamenti (UE) Nru 1380/2013, (UE) 2016/1139, (UE) 2018/973, (UE) 2019/472 u (UE) 2019/1022 tal-Parlament Ewropew u tal-Kunsill, u li jħassar ir-Regolamenti tal-Kunsill (KE) Nru 894/97, (KE) Nru 850/98, (KE) Nru </w:t>
      </w:r>
      <w:r w:rsidRPr="004D70E1">
        <w:t>2549/2000, (KE) Nru 254/2002, (KE) Nru 812/2004 u (KE) Nru 2187/2005,</w:t>
      </w:r>
    </w:p>
    <w:p w14:paraId="1D858515" w14:textId="77777777" w:rsidR="00783C25" w:rsidRPr="004D70E1" w:rsidRDefault="0038214E" w:rsidP="00783C25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r-Regolament (UE) 2023/2053 tal-Parlament Ewropew u tal-Kunsill tat-13 ta' Settembru 2023 li jistabbilixxi pjan ta' ġestjoni pluriennali għat-tonn fil-Lvant tal-Atlantiku u fil-Mediterran, li jemenda r-Regolamenti (KE) Nru 1936/2001, (UE) 2017/2107, u (UE) 2019/833 u li jħassar ir-Regolament (UE) 2016/1627,</w:t>
      </w:r>
    </w:p>
    <w:p w14:paraId="264F283C" w14:textId="77777777" w:rsidR="00783C25" w:rsidRPr="004D70E1" w:rsidRDefault="0038214E" w:rsidP="00783C25">
      <w:pPr>
        <w:pStyle w:val="NormalHanging12a"/>
      </w:pPr>
      <w:r w:rsidRPr="004D70E1">
        <w:t>–</w:t>
      </w:r>
      <w:r w:rsidRPr="004D70E1">
        <w:tab/>
        <w:t>wara li kkunsidra r-Regolament (UE) 2023/2842 tal-Parlament Ewropew u tal-Kunsill tat-22 ta’ Novembru 2023 li jemenda r-Regolament tal-Kunsill (KE) Nru 1224/2009, u li jemenda r-Regolamenti tal-Kunsill (KE) Nru 1967/2006 u (KE) Nru 1005/2008 u r-Regolamenti (UE) 2016/1139, (UE) 2017/2403 u (UE) 2019/473 tal-Parlament Ewropew u tal-Kunsill fir-rigward tal-kontroll tas-sajd,</w:t>
      </w:r>
    </w:p>
    <w:p w14:paraId="45C742B7" w14:textId="77777777" w:rsidR="00783C25" w:rsidRPr="004D70E1" w:rsidRDefault="0038214E" w:rsidP="00783C25">
      <w:pPr>
        <w:pStyle w:val="NormalHanging12a"/>
      </w:pPr>
      <w:r w:rsidRPr="004D70E1">
        <w:t>–</w:t>
      </w:r>
      <w:r w:rsidRPr="004D70E1">
        <w:tab/>
        <w:t>wara li kkunsidra r-rapport dwar l-istat tas-sajd fil-Mediterran u fil-Baħar l-Iswed mill-Kummissjoni Ġenerali tas-Sajd għall-Mediterran (GFCM) tal-Organizzazzjoni tal-Ikel u l-Agrikoltura tan-Nazzjonijiet Uniti (FAO),</w:t>
      </w:r>
    </w:p>
    <w:p w14:paraId="085733CF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lastRenderedPageBreak/>
        <w:t>–</w:t>
      </w:r>
      <w:r w:rsidRPr="004D70E1">
        <w:tab/>
        <w:t>wara li kkunsidra d-Direttiva 2008/56/KE tal-Parlament Ewropew u tal-Kunsill tas-17 ta’ Ġunju 2008 li tistabbilixxi Qafas għal Azzjoni Komunitarja fil-qasam tal-Politika tal-Ambjent Marin (id-Direttiva Kwadru dwar l-Istrateġija Marina),</w:t>
      </w:r>
    </w:p>
    <w:p w14:paraId="146B5110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d-Direttiva 2014/89/UE tal-Parlament Ewropew u tal-Kunsill tat-23 ta’ Lulju 2014 li tistabbilixxi qafas għal ippjanar tal-ispazju marittimu (Direttiva dwar l-Ippjanar tal-Ispazju Marittimu),</w:t>
      </w:r>
    </w:p>
    <w:p w14:paraId="74118383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r-rapport tal-Kumitat Xjentifiku, Tekniku u Ekonomiku għas-Sajd (STECF) tal-10 ta’ Diċembru 2020 intitolat “Dimensjoni Soċjali tal-PKS” (STECF 20</w:t>
      </w:r>
      <w:r w:rsidRPr="004D70E1">
        <w:noBreakHyphen/>
        <w:t>14),</w:t>
      </w:r>
    </w:p>
    <w:p w14:paraId="5EEF3B57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r-Riżoluzzjoni tal-11 ta’ Mejju 2023 intitolata “Lejn settur tal-algi tal-UE b’saħħtu u sostenibbli”.</w:t>
      </w:r>
    </w:p>
    <w:p w14:paraId="1AC45119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r-Riżoluzzjoni tiegħu tad-19 ta’ Jannar 2023 dwar is-sitwazzjoni tas-sajd fuq skala żgħira fl-UE u l-prospettivi futuri,</w:t>
      </w:r>
    </w:p>
    <w:p w14:paraId="7867F369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r-Riżoluzzjoni tiegħu tat-18 ta’ Jannar 2024 dwar is-sitwazzjoni attwali tal-implimentazzjoni tal-Politika Komuni tas-Sajd u l-prospettivi futuri,</w:t>
      </w:r>
    </w:p>
    <w:p w14:paraId="46F2005A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l-komunikazzjoni tal-Kummissjoni tal-5 ta’ Ġunju 2025 intitolata “Il-Patt Ewropew għall-Oċeani” (COM(2025)0281),</w:t>
      </w:r>
    </w:p>
    <w:p w14:paraId="4D044440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r-rapport ta’ Enrico Letta ta’ April 2024 intitolat “Much more than a Market” (Ħafna aktar minn suq),</w:t>
      </w:r>
    </w:p>
    <w:p w14:paraId="37BB36FF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r-rapport ta’ Mario Draghi tad-9 ta’ Settembru 2024 intitolat “The future of European competitiveness” (Il-futur tal-kompetittività Ewropea),</w:t>
      </w:r>
    </w:p>
    <w:p w14:paraId="2439B61F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l-Linji Gwida Politiċi għall-Kummissjoni Ewropea 2024</w:t>
      </w:r>
      <w:r w:rsidRPr="004D70E1">
        <w:noBreakHyphen/>
        <w:t>2029 li jmiss tat-18 ta’ Lulju 2024,</w:t>
      </w:r>
    </w:p>
    <w:p w14:paraId="550C82CD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l-komunikazzjoni tal-Kummissjoni tad-29 ta’ Jannar 2025 intitolata “Boxxla għall-Kompetittività tal-UE” (COM(2025)0030),</w:t>
      </w:r>
    </w:p>
    <w:p w14:paraId="5C02CD82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 xml:space="preserve">wara li </w:t>
      </w:r>
      <w:r w:rsidRPr="004D70E1">
        <w:t>kkunsidra l-komunikazzjoni tal-Kummissjoni tal-16 ta’ Ottubru 2025 intitolata “Patt għall-Mediterran: Baħar Wieħed, Patt Wieħed, Futur Wieħed”,</w:t>
      </w:r>
    </w:p>
    <w:p w14:paraId="7292E8AA" w14:textId="77777777" w:rsidR="00783C25" w:rsidRPr="004D70E1" w:rsidRDefault="0038214E" w:rsidP="00556A0C">
      <w:pPr>
        <w:pStyle w:val="NormalHanging12a"/>
        <w:rPr>
          <w:bCs/>
          <w:iCs/>
        </w:rPr>
      </w:pPr>
      <w:r w:rsidRPr="004D70E1">
        <w:t>–</w:t>
      </w:r>
      <w:r w:rsidRPr="004D70E1">
        <w:tab/>
        <w:t>wara li kkunsidra l-komunikazzjoni tal-Kummissjoni tas-6 ta’ Ġunju intitolata “Is-sajd sostenibbli fl-UE: is-sitwazzjoni attwali u l-orjentazzjonijiet għall-2026 "(COM (2025)0296),</w:t>
      </w:r>
    </w:p>
    <w:p w14:paraId="08F4A5F1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l-Artikolu 55 tar-Regoli ta’ Proċedura tiegħu, kif ukoll l-Artikolu 1(1)(e), u l-Anness 3 tad-Deċiżjoni tal-Konferenza tal-Presidenti tat-12 ta’ Diċembru 2002 dwar il-proċedura għall-għoti ta’ awtorizzazzjoni għat-tfassil ta’ rapporti fuq inizjattiva proprja,</w:t>
      </w:r>
    </w:p>
    <w:p w14:paraId="2C8EBC7C" w14:textId="77777777" w:rsidR="00783C25" w:rsidRPr="004D70E1" w:rsidRDefault="0038214E" w:rsidP="00556A0C">
      <w:pPr>
        <w:pStyle w:val="NormalHanging12a"/>
      </w:pPr>
      <w:r w:rsidRPr="004D70E1">
        <w:t>–</w:t>
      </w:r>
      <w:r w:rsidRPr="004D70E1">
        <w:tab/>
        <w:t>wara li kkunsidra r-rapport tal-Kumitat għas-Sajd (A10</w:t>
      </w:r>
      <w:r w:rsidRPr="004D70E1">
        <w:noBreakHyphen/>
        <w:t>0000/2026),</w:t>
      </w:r>
    </w:p>
    <w:p w14:paraId="7AE1A1C8" w14:textId="77777777" w:rsidR="00783C25" w:rsidRPr="004D70E1" w:rsidRDefault="0038214E" w:rsidP="00556A0C">
      <w:pPr>
        <w:pStyle w:val="NormalHanging12a"/>
      </w:pPr>
      <w:r w:rsidRPr="004D70E1">
        <w:t>A.</w:t>
      </w:r>
      <w:r w:rsidRPr="004D70E1">
        <w:tab/>
        <w:t xml:space="preserve">billi l-Baħar Mediterran huwa wieħed mir-reġjuni tal-baħar l-aktar diversi fid-dinja, li jsostni lill-komunitajiet u l-ekonomiji kostali li ilhom dipendenti fuq is-sajd għal </w:t>
      </w:r>
      <w:r w:rsidRPr="004D70E1">
        <w:lastRenderedPageBreak/>
        <w:t>millennji sħaħ, benniena ta’ ċivilizzazzjonijiet u pilastru fundamentali tal-identità kulturali, storika u ekonomika tal-Ewropa;</w:t>
      </w:r>
    </w:p>
    <w:p w14:paraId="3D087376" w14:textId="77777777" w:rsidR="00556A0C" w:rsidRPr="004D70E1" w:rsidRDefault="0038214E" w:rsidP="00556A0C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4D70E1">
        <w:t>B.</w:t>
      </w:r>
      <w:r w:rsidRPr="004D70E1">
        <w:tab/>
        <w:t>billi s-settur tas-sajd tal-Mediterran huwa essenzjali għall-impjiegi, għall-koeżjoni territorjali u għas-sigurtà tal-ikel fl-Unjoni;</w:t>
      </w:r>
    </w:p>
    <w:p w14:paraId="08424ED0" w14:textId="77777777" w:rsidR="00556A0C" w:rsidRPr="004D70E1" w:rsidRDefault="0038214E" w:rsidP="00556A0C">
      <w:pPr>
        <w:pStyle w:val="NormalHanging12a"/>
      </w:pPr>
      <w:r w:rsidRPr="004D70E1">
        <w:t>C.</w:t>
      </w:r>
      <w:r w:rsidRPr="004D70E1">
        <w:tab/>
        <w:t>billi, matul l-aħħar seba’ snin, il-flotot tas-sajd fil-Mediterran kienu soġġetti għal tnaqqis sinifikanti fl-isforz tas-sajd, u billi f’xi segmenti, bħall-flotta Spanjola tal-bastimenti tat-tkarkir, tali tnaqqis qabeż l-44 %;</w:t>
      </w:r>
    </w:p>
    <w:p w14:paraId="72D625FA" w14:textId="77777777" w:rsidR="00556A0C" w:rsidRPr="004D70E1" w:rsidRDefault="0038214E" w:rsidP="00556A0C">
      <w:pPr>
        <w:pStyle w:val="NormalHanging12a"/>
      </w:pPr>
      <w:bookmarkStart w:id="6" w:name="_Hlk232249914"/>
      <w:r w:rsidRPr="004D70E1">
        <w:t>D.</w:t>
      </w:r>
      <w:r w:rsidRPr="004D70E1">
        <w:tab/>
        <w:t>billi l-flotta tas-sajd, speċjalment dik tal-Mediterran, għamlet sforzi sinifikanti biex tadatta ruħha u tintroduċi prattiki innovattivi aktar sostenibbli</w:t>
      </w:r>
      <w:bookmarkEnd w:id="6"/>
      <w:r w:rsidRPr="004D70E1">
        <w:t>, b’mod partikolari fis-segment tat-tkarkir;</w:t>
      </w:r>
    </w:p>
    <w:p w14:paraId="1C7BCC4D" w14:textId="77777777" w:rsidR="00556A0C" w:rsidRPr="004D70E1" w:rsidRDefault="0038214E" w:rsidP="00556A0C">
      <w:pPr>
        <w:pStyle w:val="NormalHanging12a"/>
      </w:pPr>
      <w:r w:rsidRPr="004D70E1">
        <w:t>E.</w:t>
      </w:r>
      <w:r w:rsidRPr="004D70E1">
        <w:tab/>
        <w:t>billi l-miżuri ta’ kumpens applikati għall-flotta tal-Mediterran ikkontribwew biex jittaffu parzjalment l-effetti soċjoekonomiċi tat-tnaqqis fl-isforz tas-sajd, għalkemm jirriżultaw insuffiċjenti biex jiżguraw il-vijabbiltà fit-tul tas-settur;</w:t>
      </w:r>
    </w:p>
    <w:p w14:paraId="54596FC7" w14:textId="77777777" w:rsidR="00556A0C" w:rsidRPr="004D70E1" w:rsidRDefault="0038214E" w:rsidP="00556A0C">
      <w:pPr>
        <w:pStyle w:val="NormalHanging12a"/>
      </w:pPr>
      <w:r w:rsidRPr="004D70E1">
        <w:t>F.</w:t>
      </w:r>
      <w:r w:rsidRPr="004D70E1">
        <w:tab/>
        <w:t>billi l-STECF u l-GFCM indikaw il-persistenza ta’ lakuni sinifikanti fid-data xjentifika dwar l-istokkijiet demersali fil-Mediterran, u dan jagħmilha diffiċli li dawn jiġu vvalutati kif xieraq;</w:t>
      </w:r>
    </w:p>
    <w:p w14:paraId="0621FBEA" w14:textId="77777777" w:rsidR="00556A0C" w:rsidRPr="004D70E1" w:rsidRDefault="0038214E" w:rsidP="00556A0C">
      <w:pPr>
        <w:pStyle w:val="NormalHanging12a"/>
      </w:pPr>
      <w:r w:rsidRPr="004D70E1">
        <w:t>G.</w:t>
      </w:r>
      <w:r w:rsidRPr="004D70E1">
        <w:tab/>
        <w:t>billi r-rabta tal-isforz tas-sajd mal-aktar stokk vulnerabbli fil-fatt ġġenerat “speċijiet bi kwota limitanti”, b’effetti sproporzjonati fuq is-sajd imħallat u l-vijabbiltà ekonomika tas-settur;</w:t>
      </w:r>
    </w:p>
    <w:p w14:paraId="60C9F295" w14:textId="77777777" w:rsidR="00556A0C" w:rsidRPr="004D70E1" w:rsidRDefault="0038214E" w:rsidP="00556A0C">
      <w:pPr>
        <w:pStyle w:val="NormalHanging12a"/>
      </w:pPr>
      <w:r w:rsidRPr="004D70E1">
        <w:t>H.</w:t>
      </w:r>
      <w:r w:rsidRPr="004D70E1">
        <w:tab/>
        <w:t>billi, wara ħames snin ta’ implimentazzjoni, il-pjan pluriennali tal-Punent tal-Mediterran ta riżultati varji, b’sinjali pożittivi ta’ rkupru għal ċerti stokkijiet, bħall-gamblu abjad, filwaqt li oħrajn, b’mod partikolari l-merluzz bħala l-istokk l-aktar vulnerabbli, jirkupraw aktar bil-mod;</w:t>
      </w:r>
    </w:p>
    <w:p w14:paraId="3E6C2F45" w14:textId="77777777" w:rsidR="00556A0C" w:rsidRPr="004D70E1" w:rsidRDefault="0038214E" w:rsidP="00556A0C">
      <w:pPr>
        <w:pStyle w:val="NormalHanging12a"/>
      </w:pPr>
      <w:r w:rsidRPr="004D70E1">
        <w:t>I.</w:t>
      </w:r>
      <w:r w:rsidRPr="004D70E1">
        <w:tab/>
        <w:t>billi l-pjan pluriennali tal-Punent tal-Mediterran huwa nieqes mill-mekkaniżmi ta’ flessibbiltà u stabbilizzazzjoni bejn sena u oħra li jinsabu fi pjanijiet pluriennali oħra tal-Unjoni, u dan joħloq inċertezza legali u imprevedibbiltà ekonomika;</w:t>
      </w:r>
    </w:p>
    <w:p w14:paraId="575E4E8B" w14:textId="77777777" w:rsidR="00556A0C" w:rsidRPr="004D70E1" w:rsidRDefault="0038214E" w:rsidP="00556A0C">
      <w:pPr>
        <w:pStyle w:val="NormalHanging12a"/>
      </w:pPr>
      <w:r w:rsidRPr="004D70E1">
        <w:t>J.</w:t>
      </w:r>
      <w:r w:rsidRPr="004D70E1">
        <w:tab/>
        <w:t>billi n-natura tas-sajd imħallat tal-Mediterran, fejn jinqabdu diversi speċijiet fl-istess ħin, tirrikjedi miżuri ta’ ġestjoni adattivi li jqisu s-selettività tal-flotta, l-innovazzjoni tal-irkaptu u r-reżiljenza soċjoekonomika;</w:t>
      </w:r>
    </w:p>
    <w:p w14:paraId="57F81A96" w14:textId="77777777" w:rsidR="00556A0C" w:rsidRPr="004D70E1" w:rsidRDefault="0038214E" w:rsidP="00556A0C">
      <w:pPr>
        <w:pStyle w:val="NormalHanging12a"/>
      </w:pPr>
      <w:r w:rsidRPr="004D70E1">
        <w:t>K.</w:t>
      </w:r>
      <w:r w:rsidRPr="004D70E1">
        <w:tab/>
        <w:t>billi s-sajd illegali, mhux irrappurtat u mhux irregolat (IUU) u l-attivitajiet tal-flotot ta’ pajjiżi mhux tal-UE fil-Mediterran għadhom mhux ikkontrollati biżżejjed, b’effetti negattivi fuq l-istokkijiet tas-sajd u l-kompetittività tal-flotta Ewropea;</w:t>
      </w:r>
    </w:p>
    <w:p w14:paraId="6420E281" w14:textId="77777777" w:rsidR="00556A0C" w:rsidRPr="004D70E1" w:rsidRDefault="0038214E" w:rsidP="00556A0C">
      <w:pPr>
        <w:pStyle w:val="NormalHanging12a"/>
      </w:pPr>
      <w:bookmarkStart w:id="7" w:name="_Hlk232249365"/>
      <w:r w:rsidRPr="004D70E1">
        <w:t>L.</w:t>
      </w:r>
      <w:r w:rsidRPr="004D70E1">
        <w:tab/>
        <w:t>billi s-settur tas-sajd jeħtieġ li jsir aktar attraenti sabiex jiġi żgurat it-tiġdid ġenerazzjonali, tittejjeb il-kompetittività tiegħu u tiġi żgurata l-vijabbiltà tiegħu;</w:t>
      </w:r>
    </w:p>
    <w:bookmarkEnd w:id="7"/>
    <w:p w14:paraId="5C9E4BEC" w14:textId="77777777" w:rsidR="00556A0C" w:rsidRPr="004D70E1" w:rsidRDefault="0038214E" w:rsidP="00556A0C">
      <w:pPr>
        <w:pStyle w:val="NormalHanging12a"/>
      </w:pPr>
      <w:r w:rsidRPr="004D70E1">
        <w:t>M.</w:t>
      </w:r>
      <w:r w:rsidRPr="004D70E1">
        <w:tab/>
        <w:t>billi l-Fond Ewropew għall-Affarijiet Marittimi, is-Sajd u l-Akkwakultura huwa essenzjali għat-titjib tas-sostenibbiltà u l-kompetittività tas-settur tas-sajd u tal-akkwakultura, għall-appoġġ tal-Gruppi ta’ Azzjoni Lokali tas-Sajd u għat-tisħiħ tal-iżvilupp tal-komunitajiet kostali, u għalhekk għandu jinżamm bħala fond iddedikat b’finanzjament adegwat;</w:t>
      </w:r>
    </w:p>
    <w:p w14:paraId="3FD38D80" w14:textId="77777777" w:rsidR="00556A0C" w:rsidRPr="004D70E1" w:rsidRDefault="0038214E" w:rsidP="00556A0C">
      <w:pPr>
        <w:pStyle w:val="NormalHanging12a"/>
        <w:rPr>
          <w:b/>
          <w:bCs/>
          <w:i/>
          <w:iCs/>
        </w:rPr>
      </w:pPr>
      <w:r w:rsidRPr="004D70E1">
        <w:rPr>
          <w:b/>
          <w:i/>
        </w:rPr>
        <w:lastRenderedPageBreak/>
        <w:t>Riforma tal-pjan pluriennali għall-Punent tal-Mediterran</w:t>
      </w:r>
    </w:p>
    <w:p w14:paraId="31E84F80" w14:textId="77777777" w:rsidR="00556A0C" w:rsidRPr="004D70E1" w:rsidRDefault="0038214E" w:rsidP="00556A0C">
      <w:pPr>
        <w:pStyle w:val="NormalHanging12a"/>
      </w:pPr>
      <w:r w:rsidRPr="004D70E1">
        <w:t>1.</w:t>
      </w:r>
      <w:r w:rsidRPr="004D70E1">
        <w:tab/>
        <w:t>Iħeġġeġ lill-Kummissjoni tippreżenta, sal-1 ta’ Diċembru 2026, proposta leġiżlattiva għal riforma komprensiva tar-Regolament (UE) 2019/1022, billi temenda l-aspetti li ġejjin:</w:t>
      </w:r>
    </w:p>
    <w:p w14:paraId="383EBFD6" w14:textId="77777777" w:rsidR="00556A0C" w:rsidRPr="004D70E1" w:rsidRDefault="0038214E" w:rsidP="005E5B74">
      <w:pPr>
        <w:pStyle w:val="NormalHanging12a"/>
        <w:ind w:left="1437" w:hanging="870"/>
      </w:pPr>
      <w:r w:rsidRPr="004D70E1">
        <w:t>(A)</w:t>
      </w:r>
      <w:r w:rsidRPr="004D70E1">
        <w:tab/>
        <w:t>tissostitwixxi r-regoli eżistenti dwar it-tnaqqis tal-isforz fl-Artikolu 4(3) b’approċċ speċifiku għall-ġestjoni tas-sajd imħallat, kif applikat fi pjanijiet pluriennali oħra, filwaqt li telimina l-limitazzjoni tal-jiem tas-sajd minħabba “speċijiet bi kwota limitanti”;</w:t>
      </w:r>
    </w:p>
    <w:p w14:paraId="5A524284" w14:textId="77777777" w:rsidR="00556A0C" w:rsidRPr="004D70E1" w:rsidRDefault="0038214E" w:rsidP="005E5B74">
      <w:pPr>
        <w:pStyle w:val="NormalHanging12a"/>
        <w:ind w:left="1437" w:hanging="870"/>
      </w:pPr>
      <w:r w:rsidRPr="004D70E1">
        <w:t>(B)</w:t>
      </w:r>
      <w:r w:rsidRPr="004D70E1">
        <w:tab/>
        <w:t>tintroduċi mekkaniżmi ta’ flessibbiltà adattiva, bħat-trasferiment minn sena għal oħra ta’ mill-inqas 10 % tal-opportunitajiet tas-sajd u tistabbilixxi ċikli biennali ta’ ġestjoni tal-isforzi, biex tipprovdi prevedibbiltà fit-tul għas-sajjieda u għas-setturi tal-ipproċessar;</w:t>
      </w:r>
    </w:p>
    <w:p w14:paraId="20CEB0A0" w14:textId="77777777" w:rsidR="00556A0C" w:rsidRPr="004D70E1" w:rsidRDefault="0038214E" w:rsidP="005E5B74">
      <w:pPr>
        <w:pStyle w:val="NormalHanging12a"/>
        <w:ind w:left="1437" w:hanging="870"/>
      </w:pPr>
      <w:r w:rsidRPr="004D70E1">
        <w:t>(C)</w:t>
      </w:r>
      <w:r w:rsidRPr="004D70E1">
        <w:tab/>
        <w:t xml:space="preserve">tiddisponi minn stabbilizzaturi li </w:t>
      </w:r>
      <w:r w:rsidRPr="004D70E1">
        <w:t>jillimitaw it-tnaqqis u ż-żidiet fil-jiem għal 20 %, dment li jinqabeż punt minimu ta’ ekwilibriju, billi tinkludi b’mod espliċitu l-impatt soċjoekonomiku fit-teħid tad-deċiżjonijiet (l-Artikolu 3);</w:t>
      </w:r>
    </w:p>
    <w:p w14:paraId="345AA877" w14:textId="77777777" w:rsidR="00556A0C" w:rsidRPr="004D70E1" w:rsidRDefault="0038214E" w:rsidP="00556A0C">
      <w:pPr>
        <w:pStyle w:val="NormalHanging12a"/>
      </w:pPr>
      <w:r w:rsidRPr="004D70E1">
        <w:t>2.</w:t>
      </w:r>
      <w:r w:rsidRPr="004D70E1">
        <w:tab/>
        <w:t>Jilqa’ b’sodisfazzjon is-sejħa għal data għal valutazzjoni tal-impatt ippubblikata mill-Kummissjoni fis-26 ta’ Mejju 2026 dwar il-pjan pluriennali, kif ukoll l-impenn tagħha li tivvaluta l-effetti soċjoekonomiċi tal-miżuri implimentati;</w:t>
      </w:r>
    </w:p>
    <w:p w14:paraId="14FDBBDE" w14:textId="77777777" w:rsidR="00556A0C" w:rsidRPr="004D70E1" w:rsidRDefault="0038214E" w:rsidP="00556A0C">
      <w:pPr>
        <w:pStyle w:val="NormalHanging12a"/>
      </w:pPr>
      <w:bookmarkStart w:id="8" w:name="_Hlk232250351"/>
      <w:r w:rsidRPr="004D70E1">
        <w:t>3.</w:t>
      </w:r>
      <w:r w:rsidRPr="004D70E1">
        <w:tab/>
        <w:t>Jistieden lill-Kummissjoni twettaq konsultazzjonijiet obbligatorji mal-partijiet ikkonċernati rilevanti kollha, b’mod partikolari l-Kunsill Konsultattiv tal-Mediterran, il-korpi xjentifiċi reġjonali, l-organizzazzjonijiet tas-sajjieda u l-industriji tal-ipproċessar, qabel ma tadotta aktar restrizzjonijiet;</w:t>
      </w:r>
    </w:p>
    <w:bookmarkEnd w:id="8"/>
    <w:p w14:paraId="651CF6EF" w14:textId="77777777" w:rsidR="00556A0C" w:rsidRPr="004D70E1" w:rsidRDefault="0038214E" w:rsidP="00556A0C">
      <w:pPr>
        <w:pStyle w:val="NormalHanging12a"/>
      </w:pPr>
      <w:r w:rsidRPr="004D70E1">
        <w:t>4.</w:t>
      </w:r>
      <w:r w:rsidRPr="004D70E1">
        <w:tab/>
        <w:t>Jistieden lill-Kummissjoni tirrieżamina b’urġenza s-sitwazzjoni speċifika tas-sajd għall-gamblu aħmar, l-unika speċi soġġetta simultanjament għal żewġ miżuri koerċittivi bħas-sistema tal-kwoti u l-limitazzjonijiet fuq il-jiem tas-sajd, sabiex jiġi eliminat piż regolatorju doppju li kellu impatt partikolarment serju fuq il-vijabbiltà ekonomika u operazzjonali ta’ dan is-sajd fil-Punent tal-Mediterran;</w:t>
      </w:r>
    </w:p>
    <w:p w14:paraId="233A0D03" w14:textId="77777777" w:rsidR="00556A0C" w:rsidRPr="004D70E1" w:rsidRDefault="0038214E" w:rsidP="005E5B74">
      <w:pPr>
        <w:pStyle w:val="NormalHanging12a"/>
        <w:ind w:left="0" w:firstLine="0"/>
        <w:rPr>
          <w:b/>
          <w:bCs/>
          <w:i/>
          <w:iCs/>
        </w:rPr>
      </w:pPr>
      <w:r w:rsidRPr="004D70E1">
        <w:rPr>
          <w:b/>
          <w:bCs/>
          <w:i/>
          <w:iCs/>
        </w:rPr>
        <w:t>It-tisħiħ tal-governanza tas-sajd fil-Mediterran:</w:t>
      </w:r>
      <w:r w:rsidRPr="004D70E1">
        <w:rPr>
          <w:b/>
          <w:i/>
        </w:rPr>
        <w:t xml:space="preserve"> xjenza, monitoraġġ u kooperazzjoni reġjonali</w:t>
      </w:r>
    </w:p>
    <w:p w14:paraId="0511EBEF" w14:textId="77777777" w:rsidR="00556A0C" w:rsidRPr="004D70E1" w:rsidRDefault="0038214E" w:rsidP="00556A0C">
      <w:pPr>
        <w:pStyle w:val="NormalHanging12a"/>
      </w:pPr>
      <w:bookmarkStart w:id="9" w:name="_Hlk232250426"/>
      <w:r w:rsidRPr="004D70E1">
        <w:t>5.</w:t>
      </w:r>
      <w:r w:rsidRPr="004D70E1">
        <w:tab/>
        <w:t xml:space="preserve">Jistieden </w:t>
      </w:r>
      <w:r w:rsidRPr="004D70E1">
        <w:t>lill-Kummissjoni u lill-Istati Membri jsaħħu l-koordinazzjoni tar-riċerka xjentifika dwar is-sajd bl-aktar data aġġornata fil-livell Ewropew, nazzjonali u reġjonali, itejbu l-interoperabbiltà u l-iskambju bejn il-bażijiet tad-data tal-UE, tal-GFCM u tal-istituti tekniċi nazzjonali;</w:t>
      </w:r>
    </w:p>
    <w:p w14:paraId="1B94DA03" w14:textId="77777777" w:rsidR="00556A0C" w:rsidRPr="004D70E1" w:rsidRDefault="0038214E" w:rsidP="00556A0C">
      <w:pPr>
        <w:pStyle w:val="NormalHanging12a"/>
      </w:pPr>
      <w:bookmarkStart w:id="10" w:name="_Hlk232251342"/>
      <w:bookmarkEnd w:id="9"/>
      <w:r w:rsidRPr="004D70E1">
        <w:t>6.</w:t>
      </w:r>
      <w:r w:rsidRPr="004D70E1">
        <w:tab/>
        <w:t>Jinsab imħasseb ħafna dwar ir-rapporti ta’ sajd IUU minn pajjiżi mhux tal-UE fl-ilmijiet tal-Mediterran, inklużi ż-żoni ekonomiċi esklużivi tal-Istati Membri; jissottolinja l-ħtieġa li jiġi stabbilit Uffiċċju Ewropew għall-Kontroll tal-Importazzjonijiet sabiex jiġi evitat li prodotti IUU jidħlu fis-suq intern;</w:t>
      </w:r>
    </w:p>
    <w:p w14:paraId="387C62AF" w14:textId="77777777" w:rsidR="00556A0C" w:rsidRPr="004D70E1" w:rsidRDefault="0038214E" w:rsidP="00556A0C">
      <w:pPr>
        <w:pStyle w:val="NormalHanging12a"/>
      </w:pPr>
      <w:bookmarkStart w:id="11" w:name="_Hlk232250512"/>
      <w:bookmarkEnd w:id="10"/>
      <w:r w:rsidRPr="004D70E1">
        <w:t>7.</w:t>
      </w:r>
      <w:r w:rsidRPr="004D70E1">
        <w:tab/>
        <w:t>Iħeġġeġ lill-Kummissjoni ssaħħaħ il-kooperazzjoni reġjonali billi tintegra l-pjan pluriennali tal-Punent tal-Mediterran fil-qafas usa’ tal-politika tal-viċinat tal-Unjoni; jilqa’ l-objettivi tal-Patt għall-Mediterran biex tissaħħaħ il-kooperazzjoni dwar il-</w:t>
      </w:r>
      <w:r w:rsidRPr="004D70E1">
        <w:lastRenderedPageBreak/>
        <w:t>governanza, il-kontroll, l-ispezzjoni, il-monitoraġġ u s-sorveljanza tas-sajd fid-dawl tas-sajd IUU;</w:t>
      </w:r>
    </w:p>
    <w:bookmarkEnd w:id="11"/>
    <w:p w14:paraId="16E292E4" w14:textId="77777777" w:rsidR="00556A0C" w:rsidRPr="004D70E1" w:rsidRDefault="0038214E" w:rsidP="00556A0C">
      <w:pPr>
        <w:pStyle w:val="NormalHanging12a"/>
        <w:rPr>
          <w:b/>
          <w:bCs/>
          <w:i/>
          <w:iCs/>
        </w:rPr>
      </w:pPr>
      <w:r w:rsidRPr="004D70E1">
        <w:rPr>
          <w:b/>
          <w:i/>
        </w:rPr>
        <w:t>Niżguraw appoġġ ekwu għas-sajd tal-Mediterran</w:t>
      </w:r>
    </w:p>
    <w:p w14:paraId="0D29FAF7" w14:textId="77777777" w:rsidR="00556A0C" w:rsidRPr="004D70E1" w:rsidRDefault="0038214E" w:rsidP="00556A0C">
      <w:pPr>
        <w:pStyle w:val="NormalHanging12a"/>
      </w:pPr>
      <w:bookmarkStart w:id="12" w:name="_Hlk232250717"/>
      <w:r w:rsidRPr="004D70E1">
        <w:t>8.</w:t>
      </w:r>
      <w:r w:rsidRPr="004D70E1">
        <w:tab/>
        <w:t>Jappella lill-Kummissjoni u lill-Istati Membri biex jallokaw baġit delimitat ta’ mill-inqas EUR 7 290 miljun biex jappoġġjaw il-modernizzazzjoni u t-tiġdid tal-flotta (inkluż l-irkaptu selettiv, il-magni b’emissjonijiet baxxi, il-monitoraġġ diġitali), il-waqfien temporanju u l-programmi ta’ diversifikazzjoni ekonomika;</w:t>
      </w:r>
    </w:p>
    <w:bookmarkEnd w:id="12"/>
    <w:p w14:paraId="1E8D89CF" w14:textId="77777777" w:rsidR="00556A0C" w:rsidRPr="004D70E1" w:rsidRDefault="0038214E" w:rsidP="00556A0C">
      <w:pPr>
        <w:pStyle w:val="NormalHanging12a"/>
      </w:pPr>
      <w:r w:rsidRPr="004D70E1">
        <w:t>9.</w:t>
      </w:r>
      <w:r w:rsidRPr="004D70E1">
        <w:tab/>
        <w:t>Iħeġġeġ lill-Kummissjoni Ewropea tippreżenta pakkett leġiżlattiv ta’ simplifikazzjoni biex tiżgura l-kompetittività tal-Politika Komuni tas-Sajd, inkluża reviżjoni mmirata tar-regolament dwar il-pjan pluriennali għall-istokkijiet tal-ħut demersali fil-Punent tal-Mediterran, li jinkorpora l-modifiki u l-adattamenti identifikati f’dan ir-rapport;</w:t>
      </w:r>
    </w:p>
    <w:p w14:paraId="36EC86E4" w14:textId="77777777" w:rsidR="00556A0C" w:rsidRPr="004D70E1" w:rsidRDefault="0038214E" w:rsidP="00556A0C">
      <w:pPr>
        <w:pStyle w:val="NormalHanging12a"/>
      </w:pPr>
      <w:r w:rsidRPr="004D70E1">
        <w:t>10.</w:t>
      </w:r>
      <w:r w:rsidRPr="004D70E1">
        <w:tab/>
        <w:t xml:space="preserve">Jitlob lill-Kummissjoni, qabel ma tintroduċi aktar tnaqqis fl-opportunitajiet tas-sajd, tippermetti biżżejjed żmien għall-miżuri li diġà ttieħdu biex jipproduċu riżultati </w:t>
      </w:r>
      <w:bookmarkStart w:id="13" w:name="_Hlk232096158"/>
      <w:r w:rsidRPr="004D70E1">
        <w:t xml:space="preserve">li jistgħu jitkejlu </w:t>
      </w:r>
      <w:bookmarkEnd w:id="13"/>
      <w:r w:rsidRPr="004D70E1">
        <w:t>u jkunu soġġetti għal valutazzjoni xierqa tal-impatti bijoloġiċi, ekonomiċi u soċjali tagħhom;</w:t>
      </w:r>
    </w:p>
    <w:p w14:paraId="2AFFB79D" w14:textId="77777777" w:rsidR="002643FA" w:rsidRPr="004D70E1" w:rsidRDefault="0038214E" w:rsidP="00556A0C">
      <w:pPr>
        <w:pStyle w:val="NormalHanging12a"/>
      </w:pPr>
      <w:r w:rsidRPr="004D70E1">
        <w:t>11.</w:t>
      </w:r>
      <w:r w:rsidRPr="004D70E1">
        <w:tab/>
        <w:t>Jagħti istruzzjonijiet lill-President tiegħu biex tgħaddi din ir-riżoluzzjoni lill-Kunsill u lill-Kummissjoni.</w:t>
      </w:r>
    </w:p>
    <w:p w14:paraId="2F33D342" w14:textId="77777777" w:rsidR="005E5B74" w:rsidRPr="004D70E1" w:rsidRDefault="005E5B74">
      <w:pPr>
        <w:widowControl/>
        <w:sectPr w:rsidR="005E5B74" w:rsidRPr="004D70E1" w:rsidSect="005E5B74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23C60EB" w14:textId="77777777" w:rsidR="005E5B74" w:rsidRPr="004D70E1" w:rsidRDefault="0038214E" w:rsidP="007041CC">
      <w:pPr>
        <w:pStyle w:val="PageHeading"/>
        <w:rPr>
          <w:noProof/>
        </w:rPr>
      </w:pPr>
      <w:bookmarkStart w:id="14" w:name="FootprintPageRR"/>
      <w:bookmarkStart w:id="15" w:name="_Toc233871836"/>
      <w:r w:rsidRPr="004D70E1">
        <w:lastRenderedPageBreak/>
        <w:t>ANNESS: DIKJARAZZJONI TAL-KONTRIBUT</w:t>
      </w:r>
      <w:bookmarkEnd w:id="15"/>
    </w:p>
    <w:p w14:paraId="115EFE53" w14:textId="77777777" w:rsidR="005E5B74" w:rsidRPr="004D70E1" w:rsidRDefault="0038214E" w:rsidP="00B31C6A">
      <w:pPr>
        <w:pStyle w:val="Normal24a"/>
        <w:spacing w:after="240"/>
      </w:pPr>
      <w:r w:rsidRPr="004D70E1">
        <w:rPr>
          <w:rStyle w:val="HideTWBExt"/>
        </w:rPr>
        <w:t>&lt;FootprintIntro&gt;</w:t>
      </w:r>
      <w:r w:rsidRPr="004D70E1">
        <w:t>F’konformità mal-Artikolu 8 tal-Anness I tar-Regoli ta’ Proċedura, ir-rapporteur tiddikjara li fir-rapport tagħha inkludiet kontribut dwar kwistjonijiet li għandhom x’jaqsmu mas-suġġett tal-fajl li rċeviet, għat-tħejjija tal-abbozz ta’ rapport, mingħand ir-rappreżentanti ta’ gruppi ta’ interess li jaqgħu fil-kamp ta’ applikazzjoni tal-Ftehim Interistituzzjonali dwar Reġistru Obbligatorju ta’ Trasparenza</w:t>
      </w:r>
      <w:r w:rsidRPr="004D70E1">
        <w:rPr>
          <w:rStyle w:val="FootnoteReference"/>
        </w:rPr>
        <w:footnoteReference w:id="1"/>
      </w:r>
      <w:r w:rsidRPr="004D70E1">
        <w:t xml:space="preserve"> li ġejjin, jew mingħand ir-rappreżentanti ta’ awtoritajiet pubbliċi ta’ pajjiżi terzi, inklużi l-missjonijiet diplomatiċi u l-ambaxxati tagħhom, li ġejjin:</w:t>
      </w:r>
      <w:r w:rsidRPr="004D70E1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41805" w:rsidRPr="004D70E1" w14:paraId="78E6F0E0" w14:textId="77777777" w:rsidTr="00A81CDF">
        <w:tc>
          <w:tcPr>
            <w:tcW w:w="9060" w:type="dxa"/>
            <w:shd w:val="clear" w:color="auto" w:fill="auto"/>
          </w:tcPr>
          <w:p w14:paraId="044F7FD0" w14:textId="77777777" w:rsidR="005E5B74" w:rsidRPr="004D70E1" w:rsidRDefault="0038214E" w:rsidP="00F42F07">
            <w:pPr>
              <w:pStyle w:val="NormalBoldCenter"/>
            </w:pPr>
            <w:r w:rsidRPr="004D70E1"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741805" w:rsidRPr="004D70E1" w14:paraId="622FCFD6" w14:textId="77777777" w:rsidTr="00D9066B">
        <w:trPr>
          <w:trHeight w:val="232"/>
        </w:trPr>
        <w:tc>
          <w:tcPr>
            <w:tcW w:w="9060" w:type="dxa"/>
            <w:shd w:val="clear" w:color="auto" w:fill="auto"/>
          </w:tcPr>
          <w:p w14:paraId="4EB3C8EB" w14:textId="77777777" w:rsidR="005E5B74" w:rsidRPr="004D70E1" w:rsidRDefault="0038214E" w:rsidP="00D9066B">
            <w:pPr>
              <w:pStyle w:val="NormalSingle"/>
            </w:pPr>
            <w:r w:rsidRPr="004D70E1">
              <w:t>Europêche</w:t>
            </w:r>
          </w:p>
        </w:tc>
      </w:tr>
      <w:tr w:rsidR="00741805" w:rsidRPr="004D70E1" w14:paraId="7D64C140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5F45373B" w14:textId="77777777" w:rsidR="00D9066B" w:rsidRPr="004D70E1" w:rsidRDefault="0038214E" w:rsidP="00D9066B">
            <w:pPr>
              <w:pStyle w:val="NormalSingle"/>
            </w:pPr>
            <w:r w:rsidRPr="004D70E1">
              <w:t>EBFA</w:t>
            </w:r>
          </w:p>
        </w:tc>
      </w:tr>
      <w:tr w:rsidR="00741805" w:rsidRPr="004D70E1" w14:paraId="204D4F5F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1D56A6E5" w14:textId="77777777" w:rsidR="00D9066B" w:rsidRPr="004D70E1" w:rsidRDefault="0038214E" w:rsidP="00D9066B">
            <w:pPr>
              <w:pStyle w:val="NormalSingle"/>
            </w:pPr>
            <w:r w:rsidRPr="004D70E1">
              <w:t>CEPESCA</w:t>
            </w:r>
          </w:p>
        </w:tc>
      </w:tr>
      <w:tr w:rsidR="00741805" w:rsidRPr="004D70E1" w14:paraId="590D80F2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50EAC17C" w14:textId="77777777" w:rsidR="00D9066B" w:rsidRPr="004D70E1" w:rsidRDefault="0038214E" w:rsidP="00D9066B">
            <w:pPr>
              <w:pStyle w:val="NormalSingle"/>
            </w:pPr>
            <w:r w:rsidRPr="004D70E1">
              <w:t>FNCP</w:t>
            </w:r>
          </w:p>
        </w:tc>
      </w:tr>
      <w:tr w:rsidR="00741805" w:rsidRPr="004D70E1" w14:paraId="2AF29512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7618A804" w14:textId="77777777" w:rsidR="00D9066B" w:rsidRPr="004D70E1" w:rsidRDefault="0038214E" w:rsidP="00D9066B">
            <w:pPr>
              <w:pStyle w:val="NormalSingle"/>
            </w:pPr>
            <w:r w:rsidRPr="004D70E1">
              <w:t>FAAPE – Federación Andaluza de Asociaciones Pesqueras</w:t>
            </w:r>
          </w:p>
        </w:tc>
      </w:tr>
      <w:tr w:rsidR="00741805" w:rsidRPr="004D70E1" w14:paraId="35D3E405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374D9181" w14:textId="77777777" w:rsidR="00D9066B" w:rsidRPr="004D70E1" w:rsidRDefault="0038214E" w:rsidP="00D9066B">
            <w:pPr>
              <w:pStyle w:val="NormalSingle"/>
            </w:pPr>
            <w:r w:rsidRPr="004D70E1">
              <w:t>FACOPE</w:t>
            </w:r>
          </w:p>
        </w:tc>
      </w:tr>
      <w:tr w:rsidR="00741805" w:rsidRPr="004D70E1" w14:paraId="4233DB11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1CDF6BB6" w14:textId="77777777" w:rsidR="00D9066B" w:rsidRPr="004D70E1" w:rsidRDefault="0038214E" w:rsidP="00D9066B">
            <w:pPr>
              <w:pStyle w:val="NormalSingle"/>
            </w:pPr>
            <w:r w:rsidRPr="004D70E1">
              <w:t>Coldiretti Pesca</w:t>
            </w:r>
          </w:p>
        </w:tc>
      </w:tr>
      <w:tr w:rsidR="00741805" w:rsidRPr="004D70E1" w14:paraId="5FED7A9C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5A67EC9F" w14:textId="77777777" w:rsidR="00D9066B" w:rsidRPr="004D70E1" w:rsidRDefault="0038214E" w:rsidP="00D9066B">
            <w:pPr>
              <w:pStyle w:val="NormalSingle"/>
            </w:pPr>
            <w:r w:rsidRPr="004D70E1">
              <w:t>AndMuPes</w:t>
            </w:r>
          </w:p>
        </w:tc>
      </w:tr>
      <w:tr w:rsidR="00741805" w:rsidRPr="004D70E1" w14:paraId="02890DF9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34858D43" w14:textId="77777777" w:rsidR="00D9066B" w:rsidRPr="004D70E1" w:rsidRDefault="0038214E" w:rsidP="00D9066B">
            <w:pPr>
              <w:pStyle w:val="NormalSingle"/>
            </w:pPr>
            <w:r w:rsidRPr="004D70E1">
              <w:t>FENAPA</w:t>
            </w:r>
          </w:p>
        </w:tc>
      </w:tr>
      <w:tr w:rsidR="00741805" w:rsidRPr="004D70E1" w14:paraId="47837430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5EE9B9A2" w14:textId="77777777" w:rsidR="00D9066B" w:rsidRPr="004D70E1" w:rsidRDefault="0038214E" w:rsidP="00D9066B">
            <w:pPr>
              <w:pStyle w:val="NormalSingle"/>
            </w:pPr>
            <w:r w:rsidRPr="004D70E1">
              <w:t>EJF</w:t>
            </w:r>
          </w:p>
        </w:tc>
      </w:tr>
      <w:tr w:rsidR="00741805" w:rsidRPr="004D70E1" w14:paraId="2BAA53A5" w14:textId="77777777" w:rsidTr="00A81CDF">
        <w:trPr>
          <w:trHeight w:val="232"/>
        </w:trPr>
        <w:tc>
          <w:tcPr>
            <w:tcW w:w="9060" w:type="dxa"/>
            <w:shd w:val="clear" w:color="auto" w:fill="auto"/>
          </w:tcPr>
          <w:p w14:paraId="190D3B58" w14:textId="77777777" w:rsidR="00D9066B" w:rsidRPr="004D70E1" w:rsidRDefault="0038214E" w:rsidP="00D9066B">
            <w:pPr>
              <w:pStyle w:val="NormalSingle"/>
            </w:pPr>
            <w:r w:rsidRPr="004D70E1">
              <w:t>EBCD</w:t>
            </w:r>
          </w:p>
        </w:tc>
      </w:tr>
      <w:tr w:rsidR="00741805" w:rsidRPr="004D70E1" w14:paraId="7EE210A1" w14:textId="77777777" w:rsidTr="00A81CDF">
        <w:tc>
          <w:tcPr>
            <w:tcW w:w="9060" w:type="dxa"/>
            <w:shd w:val="clear" w:color="auto" w:fill="auto"/>
          </w:tcPr>
          <w:p w14:paraId="4057AF04" w14:textId="77777777" w:rsidR="005E5B74" w:rsidRPr="004D70E1" w:rsidRDefault="0038214E" w:rsidP="001666EA">
            <w:pPr>
              <w:pStyle w:val="NormalBoldCenter"/>
            </w:pPr>
            <w:r w:rsidRPr="004D70E1">
              <w:t xml:space="preserve">2. </w:t>
            </w:r>
            <w:r w:rsidRPr="004D70E1">
              <w:t>Rappreżentanti ta’ awtoritajiet pubbliċi ta’ pajjiżi terzi, inklużi l-missjonijiet diplomatiċi u l-ambaxxati tagħhom</w:t>
            </w:r>
          </w:p>
        </w:tc>
      </w:tr>
      <w:tr w:rsidR="00741805" w:rsidRPr="004D70E1" w14:paraId="6EDAF1AB" w14:textId="77777777" w:rsidTr="00A81CDF">
        <w:tc>
          <w:tcPr>
            <w:tcW w:w="9060" w:type="dxa"/>
            <w:shd w:val="clear" w:color="auto" w:fill="auto"/>
          </w:tcPr>
          <w:p w14:paraId="41A4EB12" w14:textId="77777777" w:rsidR="005E5B74" w:rsidRPr="004D70E1" w:rsidRDefault="0038214E" w:rsidP="00C6630E">
            <w:r w:rsidRPr="004D70E1">
              <w:t>Xejn</w:t>
            </w:r>
          </w:p>
        </w:tc>
      </w:tr>
    </w:tbl>
    <w:p w14:paraId="60762F0C" w14:textId="77777777" w:rsidR="005E5B74" w:rsidRPr="004D70E1" w:rsidRDefault="0038214E" w:rsidP="00086351">
      <w:pPr>
        <w:pStyle w:val="Footprint12b"/>
      </w:pPr>
      <w:r w:rsidRPr="004D70E1">
        <w:t>Il-lista ta’ hawn fuq hija mfassla taħt ir-responsabbiltà esklużiva tar-rapporteur.</w:t>
      </w:r>
    </w:p>
    <w:p w14:paraId="30F7B800" w14:textId="77777777" w:rsidR="005E5B74" w:rsidRPr="004D70E1" w:rsidRDefault="0038214E" w:rsidP="00B7198C">
      <w:pPr>
        <w:pStyle w:val="Footprint12b"/>
      </w:pPr>
      <w:r w:rsidRPr="004D70E1">
        <w:t xml:space="preserve">Meta persuni fiżiċi jkunu </w:t>
      </w:r>
      <w:r w:rsidRPr="004D70E1">
        <w:t>identifikati fil-lista b’isimhom, bil-funzjoni tagħhom jew bit-tnejn, ir-rapporteur tiddikjara li ppreżentat lill-persuni fiżiċi kkonċernati l-Avviż tal-Parlament Ewropew Nru 484 dwar il-Protezzjoni tad-Data (</w:t>
      </w:r>
      <w:hyperlink r:id="rId14" w:tooltip="https://www.europarl.europa.eu/data-protect/index.do" w:history="1">
        <w:r w:rsidR="005E5B74" w:rsidRPr="004D70E1">
          <w:rPr>
            <w:rStyle w:val="Hyperlink"/>
          </w:rPr>
          <w:t>https://www.europarl.europa.eu/data-protect/index.do</w:t>
        </w:r>
      </w:hyperlink>
      <w:r w:rsidRPr="004D70E1">
        <w:t>), li jistabbilixxi l-kundizzjonijiet applikabbli għall-ipproċessar tad-data personali tagħhom u d-drittijiet marbuta ma’ dak l-ipproċessar.</w:t>
      </w:r>
    </w:p>
    <w:p w14:paraId="2A5AAD45" w14:textId="77777777" w:rsidR="005E5B74" w:rsidRPr="004D70E1" w:rsidRDefault="005E5B74" w:rsidP="00646AD2">
      <w:pPr>
        <w:pStyle w:val="Footprint12b"/>
      </w:pPr>
    </w:p>
    <w:p w14:paraId="73B5FEAA" w14:textId="77777777" w:rsidR="005E5B74" w:rsidRPr="004D70E1" w:rsidRDefault="005E5B74" w:rsidP="005E5B74"/>
    <w:bookmarkEnd w:id="14"/>
    <w:p w14:paraId="27F7AE5B" w14:textId="77777777" w:rsidR="00100069" w:rsidRPr="004D70E1" w:rsidRDefault="00100069" w:rsidP="007126C9"/>
    <w:sectPr w:rsidR="00100069" w:rsidRPr="004D70E1" w:rsidSect="005E5B74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1F304" w14:textId="77777777" w:rsidR="0038214E" w:rsidRPr="004D70E1" w:rsidRDefault="0038214E">
      <w:r w:rsidRPr="004D70E1">
        <w:separator/>
      </w:r>
    </w:p>
  </w:endnote>
  <w:endnote w:type="continuationSeparator" w:id="0">
    <w:p w14:paraId="3F799472" w14:textId="77777777" w:rsidR="0038214E" w:rsidRPr="004D70E1" w:rsidRDefault="0038214E">
      <w:r w:rsidRPr="004D70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9C31" w14:textId="77777777" w:rsidR="004D70E1" w:rsidRPr="004D70E1" w:rsidRDefault="004D70E1" w:rsidP="004D70E1">
    <w:pPr>
      <w:pStyle w:val="EPFooter"/>
    </w:pPr>
    <w:r w:rsidRPr="004D70E1">
      <w:t>PE</w:t>
    </w:r>
    <w:r w:rsidRPr="004D70E1">
      <w:rPr>
        <w:rStyle w:val="HideTWBExt"/>
      </w:rPr>
      <w:t>&lt;NoPE&gt;</w:t>
    </w:r>
    <w:r w:rsidRPr="004D70E1">
      <w:t>789.948</w:t>
    </w:r>
    <w:r w:rsidRPr="004D70E1">
      <w:rPr>
        <w:rStyle w:val="HideTWBExt"/>
      </w:rPr>
      <w:t>&lt;/NoPE&gt;&lt;Version&gt;</w:t>
    </w:r>
    <w:r w:rsidRPr="004D70E1">
      <w:t>v01-00</w:t>
    </w:r>
    <w:r w:rsidRPr="004D70E1">
      <w:rPr>
        <w:rStyle w:val="HideTWBExt"/>
      </w:rPr>
      <w:t>&lt;/Version&gt;</w:t>
    </w:r>
    <w:r w:rsidRPr="004D70E1">
      <w:tab/>
    </w:r>
    <w:r w:rsidRPr="004D70E1">
      <w:fldChar w:fldCharType="begin"/>
    </w:r>
    <w:r w:rsidRPr="004D70E1">
      <w:instrText xml:space="preserve"> PAGE  \* MERGEFORMAT </w:instrText>
    </w:r>
    <w:r w:rsidRPr="004D70E1">
      <w:fldChar w:fldCharType="separate"/>
    </w:r>
    <w:r w:rsidRPr="004D70E1">
      <w:rPr>
        <w:noProof/>
      </w:rPr>
      <w:t>1</w:t>
    </w:r>
    <w:r w:rsidRPr="004D70E1">
      <w:fldChar w:fldCharType="end"/>
    </w:r>
    <w:r w:rsidRPr="004D70E1">
      <w:t>/</w:t>
    </w:r>
    <w:fldSimple w:instr=" NUMPAGES  \* MERGEFORMAT ">
      <w:r w:rsidRPr="004D70E1">
        <w:rPr>
          <w:noProof/>
        </w:rPr>
        <w:t>1</w:t>
      </w:r>
    </w:fldSimple>
    <w:r w:rsidRPr="004D70E1">
      <w:tab/>
    </w:r>
    <w:r w:rsidRPr="004D70E1">
      <w:rPr>
        <w:rStyle w:val="HideTWBExt"/>
      </w:rPr>
      <w:t>&lt;PathFdR&gt;</w:t>
    </w:r>
    <w:r w:rsidRPr="004D70E1">
      <w:t>PR\1345631MT.docx</w:t>
    </w:r>
    <w:r w:rsidRPr="004D70E1">
      <w:rPr>
        <w:rStyle w:val="HideTWBExt"/>
      </w:rPr>
      <w:t>&lt;/PathFdR&gt;</w:t>
    </w:r>
  </w:p>
  <w:p w14:paraId="683AAA1E" w14:textId="07295A16" w:rsidR="00100069" w:rsidRPr="004D70E1" w:rsidRDefault="004D70E1" w:rsidP="004D70E1">
    <w:pPr>
      <w:pStyle w:val="EPFooter2"/>
    </w:pPr>
    <w:r w:rsidRPr="004D70E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DA57" w14:textId="77777777" w:rsidR="004D70E1" w:rsidRPr="004D70E1" w:rsidRDefault="004D70E1" w:rsidP="004D70E1">
    <w:pPr>
      <w:pStyle w:val="EPFooter"/>
    </w:pPr>
    <w:r w:rsidRPr="004D70E1">
      <w:rPr>
        <w:rStyle w:val="HideTWBExt"/>
      </w:rPr>
      <w:t>&lt;PathFdR&gt;</w:t>
    </w:r>
    <w:r w:rsidRPr="004D70E1">
      <w:t>PR\1345631MT.docx</w:t>
    </w:r>
    <w:r w:rsidRPr="004D70E1">
      <w:rPr>
        <w:rStyle w:val="HideTWBExt"/>
      </w:rPr>
      <w:t>&lt;/PathFdR&gt;</w:t>
    </w:r>
    <w:r w:rsidRPr="004D70E1">
      <w:tab/>
    </w:r>
    <w:r w:rsidRPr="004D70E1">
      <w:fldChar w:fldCharType="begin"/>
    </w:r>
    <w:r w:rsidRPr="004D70E1">
      <w:instrText xml:space="preserve"> PAGE  \* MERGEFORMAT </w:instrText>
    </w:r>
    <w:r w:rsidRPr="004D70E1">
      <w:fldChar w:fldCharType="separate"/>
    </w:r>
    <w:r w:rsidRPr="004D70E1">
      <w:rPr>
        <w:noProof/>
      </w:rPr>
      <w:t>1</w:t>
    </w:r>
    <w:r w:rsidRPr="004D70E1">
      <w:fldChar w:fldCharType="end"/>
    </w:r>
    <w:r w:rsidRPr="004D70E1">
      <w:t>/</w:t>
    </w:r>
    <w:fldSimple w:instr=" NUMPAGES  \* MERGEFORMAT ">
      <w:r w:rsidRPr="004D70E1">
        <w:rPr>
          <w:noProof/>
        </w:rPr>
        <w:t>1</w:t>
      </w:r>
    </w:fldSimple>
    <w:r w:rsidRPr="004D70E1">
      <w:tab/>
      <w:t>PE</w:t>
    </w:r>
    <w:r w:rsidRPr="004D70E1">
      <w:rPr>
        <w:rStyle w:val="HideTWBExt"/>
      </w:rPr>
      <w:t>&lt;NoPE&gt;</w:t>
    </w:r>
    <w:r w:rsidRPr="004D70E1">
      <w:t>789.948</w:t>
    </w:r>
    <w:r w:rsidRPr="004D70E1">
      <w:rPr>
        <w:rStyle w:val="HideTWBExt"/>
      </w:rPr>
      <w:t>&lt;/NoPE&gt;&lt;Version&gt;</w:t>
    </w:r>
    <w:r w:rsidRPr="004D70E1">
      <w:t>v01-00</w:t>
    </w:r>
    <w:r w:rsidRPr="004D70E1">
      <w:rPr>
        <w:rStyle w:val="HideTWBExt"/>
      </w:rPr>
      <w:t>&lt;/Version&gt;</w:t>
    </w:r>
  </w:p>
  <w:p w14:paraId="308DEA49" w14:textId="71FE043E" w:rsidR="00100069" w:rsidRPr="004D70E1" w:rsidRDefault="004D70E1" w:rsidP="004D70E1">
    <w:pPr>
      <w:pStyle w:val="EPFooter2"/>
    </w:pPr>
    <w:r w:rsidRPr="004D70E1">
      <w:tab/>
    </w:r>
    <w:r w:rsidRPr="004D70E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E34E" w14:textId="77777777" w:rsidR="004D70E1" w:rsidRPr="004D70E1" w:rsidRDefault="004D70E1" w:rsidP="004D70E1">
    <w:pPr>
      <w:pStyle w:val="EPFooter"/>
    </w:pPr>
    <w:r w:rsidRPr="004D70E1">
      <w:rPr>
        <w:rStyle w:val="HideTWBExt"/>
      </w:rPr>
      <w:t>&lt;PathFdR&gt;</w:t>
    </w:r>
    <w:r w:rsidRPr="004D70E1">
      <w:t>PR\1345631MT.docx</w:t>
    </w:r>
    <w:r w:rsidRPr="004D70E1">
      <w:rPr>
        <w:rStyle w:val="HideTWBExt"/>
      </w:rPr>
      <w:t>&lt;/PathFdR&gt;</w:t>
    </w:r>
    <w:r w:rsidRPr="004D70E1">
      <w:tab/>
    </w:r>
    <w:r w:rsidRPr="004D70E1">
      <w:tab/>
      <w:t>PE</w:t>
    </w:r>
    <w:r w:rsidRPr="004D70E1">
      <w:rPr>
        <w:rStyle w:val="HideTWBExt"/>
      </w:rPr>
      <w:t>&lt;NoPE&gt;</w:t>
    </w:r>
    <w:r w:rsidRPr="004D70E1">
      <w:t>789.948</w:t>
    </w:r>
    <w:r w:rsidRPr="004D70E1">
      <w:rPr>
        <w:rStyle w:val="HideTWBExt"/>
      </w:rPr>
      <w:t>&lt;/NoPE&gt;&lt;Version&gt;</w:t>
    </w:r>
    <w:r w:rsidRPr="004D70E1">
      <w:t>v01-00</w:t>
    </w:r>
    <w:r w:rsidRPr="004D70E1">
      <w:rPr>
        <w:rStyle w:val="HideTWBExt"/>
      </w:rPr>
      <w:t>&lt;/Version&gt;</w:t>
    </w:r>
  </w:p>
  <w:p w14:paraId="4E1CD41F" w14:textId="5D9C6D33" w:rsidR="00100069" w:rsidRPr="004D70E1" w:rsidRDefault="004D70E1" w:rsidP="004D70E1">
    <w:pPr>
      <w:pStyle w:val="EPFooter2"/>
    </w:pPr>
    <w:r w:rsidRPr="004D70E1">
      <w:t>MT</w:t>
    </w:r>
    <w:r w:rsidRPr="004D70E1">
      <w:tab/>
    </w:r>
    <w:r w:rsidRPr="004D70E1">
      <w:rPr>
        <w:b w:val="0"/>
        <w:i/>
        <w:color w:val="C0C0C0"/>
        <w:sz w:val="22"/>
      </w:rPr>
      <w:t>Magħquda fid-diversità</w:t>
    </w:r>
    <w:r w:rsidRPr="004D70E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E4CE5" w14:textId="77777777" w:rsidR="004A5882" w:rsidRPr="004D70E1" w:rsidRDefault="0038214E">
      <w:r w:rsidRPr="004D70E1">
        <w:separator/>
      </w:r>
    </w:p>
  </w:footnote>
  <w:footnote w:type="continuationSeparator" w:id="0">
    <w:p w14:paraId="1404ACDE" w14:textId="77777777" w:rsidR="004A5882" w:rsidRPr="004D70E1" w:rsidRDefault="0038214E">
      <w:r w:rsidRPr="004D70E1">
        <w:continuationSeparator/>
      </w:r>
    </w:p>
  </w:footnote>
  <w:footnote w:id="1">
    <w:p w14:paraId="07F3DA75" w14:textId="77777777" w:rsidR="005E5B74" w:rsidRPr="004D70E1" w:rsidRDefault="0038214E">
      <w:pPr>
        <w:pStyle w:val="FootnoteText"/>
      </w:pPr>
      <w:r w:rsidRPr="004D70E1">
        <w:rPr>
          <w:rStyle w:val="FootnoteReference"/>
        </w:rPr>
        <w:footnoteRef/>
      </w:r>
      <w:r w:rsidRPr="004D70E1"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tooltip="http://data.europa.eu/eli/agree_interinstit/2021/611/oj" w:history="1">
        <w:r w:rsidR="005E5B74" w:rsidRPr="004D70E1">
          <w:rPr>
            <w:rStyle w:val="Hyperlink"/>
          </w:rPr>
          <w:t>http://data.europa.eu/eli/agree_interinstit/2021/611/oj</w:t>
        </w:r>
      </w:hyperlink>
      <w:r w:rsidRPr="004D70E1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E408" w14:textId="77777777" w:rsidR="0038214E" w:rsidRDefault="003821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AADA" w14:textId="77777777" w:rsidR="0038214E" w:rsidRDefault="003821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FD63" w14:textId="77777777" w:rsidR="0038214E" w:rsidRDefault="003821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C33E8E"/>
    <w:multiLevelType w:val="hybridMultilevel"/>
    <w:tmpl w:val="40288F70"/>
    <w:lvl w:ilvl="0" w:tplc="D24E78AC">
      <w:start w:val="1"/>
      <w:numFmt w:val="decimal"/>
      <w:lvlText w:val="%1."/>
      <w:lvlJc w:val="left"/>
      <w:pPr>
        <w:ind w:left="720" w:hanging="360"/>
      </w:pPr>
    </w:lvl>
    <w:lvl w:ilvl="1" w:tplc="E27AF32A">
      <w:start w:val="1"/>
      <w:numFmt w:val="lowerLetter"/>
      <w:lvlText w:val="%2."/>
      <w:lvlJc w:val="left"/>
      <w:pPr>
        <w:ind w:left="1440" w:hanging="360"/>
      </w:pPr>
    </w:lvl>
    <w:lvl w:ilvl="2" w:tplc="33A0D520">
      <w:start w:val="1"/>
      <w:numFmt w:val="lowerRoman"/>
      <w:lvlText w:val="%3."/>
      <w:lvlJc w:val="right"/>
      <w:pPr>
        <w:ind w:left="2160" w:hanging="180"/>
      </w:pPr>
    </w:lvl>
    <w:lvl w:ilvl="3" w:tplc="D7B27850">
      <w:start w:val="1"/>
      <w:numFmt w:val="decimal"/>
      <w:lvlText w:val="%4."/>
      <w:lvlJc w:val="left"/>
      <w:pPr>
        <w:ind w:left="2880" w:hanging="360"/>
      </w:pPr>
    </w:lvl>
    <w:lvl w:ilvl="4" w:tplc="0E9CF088">
      <w:start w:val="1"/>
      <w:numFmt w:val="lowerLetter"/>
      <w:lvlText w:val="%5."/>
      <w:lvlJc w:val="left"/>
      <w:pPr>
        <w:ind w:left="3600" w:hanging="360"/>
      </w:pPr>
    </w:lvl>
    <w:lvl w:ilvl="5" w:tplc="53346470">
      <w:start w:val="1"/>
      <w:numFmt w:val="lowerRoman"/>
      <w:lvlText w:val="%6."/>
      <w:lvlJc w:val="right"/>
      <w:pPr>
        <w:ind w:left="4320" w:hanging="180"/>
      </w:pPr>
    </w:lvl>
    <w:lvl w:ilvl="6" w:tplc="8AE028CC">
      <w:start w:val="1"/>
      <w:numFmt w:val="decimal"/>
      <w:lvlText w:val="%7."/>
      <w:lvlJc w:val="left"/>
      <w:pPr>
        <w:ind w:left="5040" w:hanging="360"/>
      </w:pPr>
    </w:lvl>
    <w:lvl w:ilvl="7" w:tplc="6E5C41AA">
      <w:start w:val="1"/>
      <w:numFmt w:val="lowerLetter"/>
      <w:lvlText w:val="%8."/>
      <w:lvlJc w:val="left"/>
      <w:pPr>
        <w:ind w:left="5760" w:hanging="360"/>
      </w:pPr>
    </w:lvl>
    <w:lvl w:ilvl="8" w:tplc="A5C6248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0B7C76"/>
    <w:multiLevelType w:val="hybridMultilevel"/>
    <w:tmpl w:val="CE66B128"/>
    <w:lvl w:ilvl="0" w:tplc="0EE0059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E8E2E560">
      <w:start w:val="1"/>
      <w:numFmt w:val="lowerLetter"/>
      <w:lvlText w:val="%2."/>
      <w:lvlJc w:val="left"/>
      <w:pPr>
        <w:ind w:left="1440" w:hanging="360"/>
      </w:pPr>
    </w:lvl>
    <w:lvl w:ilvl="2" w:tplc="24B21464">
      <w:start w:val="1"/>
      <w:numFmt w:val="lowerRoman"/>
      <w:lvlText w:val="%3."/>
      <w:lvlJc w:val="right"/>
      <w:pPr>
        <w:ind w:left="2160" w:hanging="180"/>
      </w:pPr>
    </w:lvl>
    <w:lvl w:ilvl="3" w:tplc="AB4AB4D2">
      <w:start w:val="1"/>
      <w:numFmt w:val="decimal"/>
      <w:lvlText w:val="%4."/>
      <w:lvlJc w:val="left"/>
      <w:pPr>
        <w:ind w:left="2880" w:hanging="360"/>
      </w:pPr>
    </w:lvl>
    <w:lvl w:ilvl="4" w:tplc="60422C78">
      <w:start w:val="1"/>
      <w:numFmt w:val="lowerLetter"/>
      <w:lvlText w:val="%5."/>
      <w:lvlJc w:val="left"/>
      <w:pPr>
        <w:ind w:left="3600" w:hanging="360"/>
      </w:pPr>
    </w:lvl>
    <w:lvl w:ilvl="5" w:tplc="493CD1B6">
      <w:start w:val="1"/>
      <w:numFmt w:val="lowerRoman"/>
      <w:lvlText w:val="%6."/>
      <w:lvlJc w:val="right"/>
      <w:pPr>
        <w:ind w:left="4320" w:hanging="180"/>
      </w:pPr>
    </w:lvl>
    <w:lvl w:ilvl="6" w:tplc="DFD445BC">
      <w:start w:val="1"/>
      <w:numFmt w:val="decimal"/>
      <w:lvlText w:val="%7."/>
      <w:lvlJc w:val="left"/>
      <w:pPr>
        <w:ind w:left="5040" w:hanging="360"/>
      </w:pPr>
    </w:lvl>
    <w:lvl w:ilvl="7" w:tplc="8BA01840">
      <w:start w:val="1"/>
      <w:numFmt w:val="lowerLetter"/>
      <w:lvlText w:val="%8."/>
      <w:lvlJc w:val="left"/>
      <w:pPr>
        <w:ind w:left="5760" w:hanging="360"/>
      </w:pPr>
    </w:lvl>
    <w:lvl w:ilvl="8" w:tplc="CD5E16C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B4B2B"/>
    <w:multiLevelType w:val="hybridMultilevel"/>
    <w:tmpl w:val="DEF62074"/>
    <w:lvl w:ilvl="0" w:tplc="15107D80">
      <w:start w:val="1"/>
      <w:numFmt w:val="upperLetter"/>
      <w:lvlText w:val="%1)"/>
      <w:lvlJc w:val="left"/>
      <w:pPr>
        <w:ind w:left="3916" w:hanging="360"/>
      </w:pPr>
    </w:lvl>
    <w:lvl w:ilvl="1" w:tplc="0EE4B76E">
      <w:start w:val="1"/>
      <w:numFmt w:val="lowerLetter"/>
      <w:lvlText w:val="%2."/>
      <w:lvlJc w:val="left"/>
      <w:pPr>
        <w:ind w:left="4636" w:hanging="360"/>
      </w:pPr>
    </w:lvl>
    <w:lvl w:ilvl="2" w:tplc="84D2F492">
      <w:start w:val="1"/>
      <w:numFmt w:val="lowerRoman"/>
      <w:lvlText w:val="%3."/>
      <w:lvlJc w:val="right"/>
      <w:pPr>
        <w:ind w:left="5356" w:hanging="180"/>
      </w:pPr>
    </w:lvl>
    <w:lvl w:ilvl="3" w:tplc="30CE95E8">
      <w:start w:val="1"/>
      <w:numFmt w:val="decimal"/>
      <w:lvlText w:val="%4."/>
      <w:lvlJc w:val="left"/>
      <w:pPr>
        <w:ind w:left="6076" w:hanging="360"/>
      </w:pPr>
    </w:lvl>
    <w:lvl w:ilvl="4" w:tplc="4C920AF0">
      <w:start w:val="1"/>
      <w:numFmt w:val="lowerLetter"/>
      <w:lvlText w:val="%5."/>
      <w:lvlJc w:val="left"/>
      <w:pPr>
        <w:ind w:left="6796" w:hanging="360"/>
      </w:pPr>
    </w:lvl>
    <w:lvl w:ilvl="5" w:tplc="140C7302">
      <w:start w:val="1"/>
      <w:numFmt w:val="lowerRoman"/>
      <w:lvlText w:val="%6."/>
      <w:lvlJc w:val="right"/>
      <w:pPr>
        <w:ind w:left="7516" w:hanging="180"/>
      </w:pPr>
    </w:lvl>
    <w:lvl w:ilvl="6" w:tplc="969C7574">
      <w:start w:val="1"/>
      <w:numFmt w:val="decimal"/>
      <w:lvlText w:val="%7."/>
      <w:lvlJc w:val="left"/>
      <w:pPr>
        <w:ind w:left="8236" w:hanging="360"/>
      </w:pPr>
    </w:lvl>
    <w:lvl w:ilvl="7" w:tplc="6480DD40">
      <w:start w:val="1"/>
      <w:numFmt w:val="lowerLetter"/>
      <w:lvlText w:val="%8."/>
      <w:lvlJc w:val="left"/>
      <w:pPr>
        <w:ind w:left="8956" w:hanging="360"/>
      </w:pPr>
    </w:lvl>
    <w:lvl w:ilvl="8" w:tplc="94F853CC">
      <w:start w:val="1"/>
      <w:numFmt w:val="lowerRoman"/>
      <w:lvlText w:val="%9."/>
      <w:lvlJc w:val="right"/>
      <w:pPr>
        <w:ind w:left="9676" w:hanging="180"/>
      </w:pPr>
    </w:lvl>
  </w:abstractNum>
  <w:abstractNum w:abstractNumId="13" w15:restartNumberingAfterBreak="0">
    <w:nsid w:val="4EDE72C6"/>
    <w:multiLevelType w:val="hybridMultilevel"/>
    <w:tmpl w:val="B1D00F6C"/>
    <w:lvl w:ilvl="0" w:tplc="2D68472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C6EB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52B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6A17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203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36D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FEF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8D2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32B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57545"/>
    <w:multiLevelType w:val="hybridMultilevel"/>
    <w:tmpl w:val="29FAD7B0"/>
    <w:lvl w:ilvl="0" w:tplc="46C431C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DA212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A0F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BCD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883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B09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C8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280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FA34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21738"/>
    <w:multiLevelType w:val="multilevel"/>
    <w:tmpl w:val="CB086E10"/>
    <w:lvl w:ilvl="0">
      <w:start w:val="1"/>
      <w:numFmt w:val="upperLetter"/>
      <w:lvlText w:val="%1."/>
      <w:lvlJc w:val="left"/>
      <w:pPr>
        <w:ind w:left="927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16" w15:restartNumberingAfterBreak="0">
    <w:nsid w:val="79905445"/>
    <w:multiLevelType w:val="hybridMultilevel"/>
    <w:tmpl w:val="15A6EBA0"/>
    <w:lvl w:ilvl="0" w:tplc="33F494E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85060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A0A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147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CC8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F831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A0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2620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42D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933528">
    <w:abstractNumId w:val="9"/>
  </w:num>
  <w:num w:numId="2" w16cid:durableId="2137327526">
    <w:abstractNumId w:val="9"/>
  </w:num>
  <w:num w:numId="3" w16cid:durableId="866796256">
    <w:abstractNumId w:val="7"/>
  </w:num>
  <w:num w:numId="4" w16cid:durableId="1625692220">
    <w:abstractNumId w:val="7"/>
  </w:num>
  <w:num w:numId="5" w16cid:durableId="1298804592">
    <w:abstractNumId w:val="6"/>
  </w:num>
  <w:num w:numId="6" w16cid:durableId="282811445">
    <w:abstractNumId w:val="6"/>
  </w:num>
  <w:num w:numId="7" w16cid:durableId="1420516085">
    <w:abstractNumId w:val="5"/>
  </w:num>
  <w:num w:numId="8" w16cid:durableId="1824734164">
    <w:abstractNumId w:val="5"/>
  </w:num>
  <w:num w:numId="9" w16cid:durableId="1960213711">
    <w:abstractNumId w:val="4"/>
  </w:num>
  <w:num w:numId="10" w16cid:durableId="326902873">
    <w:abstractNumId w:val="4"/>
  </w:num>
  <w:num w:numId="11" w16cid:durableId="170028025">
    <w:abstractNumId w:val="8"/>
  </w:num>
  <w:num w:numId="12" w16cid:durableId="1542746906">
    <w:abstractNumId w:val="8"/>
  </w:num>
  <w:num w:numId="13" w16cid:durableId="636952119">
    <w:abstractNumId w:val="3"/>
  </w:num>
  <w:num w:numId="14" w16cid:durableId="1873298712">
    <w:abstractNumId w:val="3"/>
  </w:num>
  <w:num w:numId="15" w16cid:durableId="1688214088">
    <w:abstractNumId w:val="2"/>
  </w:num>
  <w:num w:numId="16" w16cid:durableId="1452285772">
    <w:abstractNumId w:val="2"/>
  </w:num>
  <w:num w:numId="17" w16cid:durableId="2143570706">
    <w:abstractNumId w:val="1"/>
  </w:num>
  <w:num w:numId="18" w16cid:durableId="682361686">
    <w:abstractNumId w:val="1"/>
  </w:num>
  <w:num w:numId="19" w16cid:durableId="1356735497">
    <w:abstractNumId w:val="0"/>
  </w:num>
  <w:num w:numId="20" w16cid:durableId="493449835">
    <w:abstractNumId w:val="0"/>
  </w:num>
  <w:num w:numId="21" w16cid:durableId="865826542">
    <w:abstractNumId w:val="9"/>
  </w:num>
  <w:num w:numId="22" w16cid:durableId="889416361">
    <w:abstractNumId w:val="7"/>
  </w:num>
  <w:num w:numId="23" w16cid:durableId="2083915427">
    <w:abstractNumId w:val="6"/>
  </w:num>
  <w:num w:numId="24" w16cid:durableId="1481769341">
    <w:abstractNumId w:val="5"/>
  </w:num>
  <w:num w:numId="25" w16cid:durableId="914124917">
    <w:abstractNumId w:val="4"/>
  </w:num>
  <w:num w:numId="26" w16cid:durableId="1901400448">
    <w:abstractNumId w:val="8"/>
  </w:num>
  <w:num w:numId="27" w16cid:durableId="1536623580">
    <w:abstractNumId w:val="3"/>
  </w:num>
  <w:num w:numId="28" w16cid:durableId="26952890">
    <w:abstractNumId w:val="2"/>
  </w:num>
  <w:num w:numId="29" w16cid:durableId="1073117341">
    <w:abstractNumId w:val="1"/>
  </w:num>
  <w:num w:numId="30" w16cid:durableId="565989420">
    <w:abstractNumId w:val="0"/>
  </w:num>
  <w:num w:numId="31" w16cid:durableId="310209414">
    <w:abstractNumId w:val="9"/>
  </w:num>
  <w:num w:numId="32" w16cid:durableId="170530362">
    <w:abstractNumId w:val="7"/>
  </w:num>
  <w:num w:numId="33" w16cid:durableId="649292980">
    <w:abstractNumId w:val="6"/>
  </w:num>
  <w:num w:numId="34" w16cid:durableId="1766412419">
    <w:abstractNumId w:val="5"/>
  </w:num>
  <w:num w:numId="35" w16cid:durableId="456068778">
    <w:abstractNumId w:val="4"/>
  </w:num>
  <w:num w:numId="36" w16cid:durableId="1928346313">
    <w:abstractNumId w:val="8"/>
  </w:num>
  <w:num w:numId="37" w16cid:durableId="1635789126">
    <w:abstractNumId w:val="3"/>
  </w:num>
  <w:num w:numId="38" w16cid:durableId="1951814591">
    <w:abstractNumId w:val="2"/>
  </w:num>
  <w:num w:numId="39" w16cid:durableId="1492331348">
    <w:abstractNumId w:val="1"/>
  </w:num>
  <w:num w:numId="40" w16cid:durableId="1538279660">
    <w:abstractNumId w:val="0"/>
  </w:num>
  <w:num w:numId="41" w16cid:durableId="1397168274">
    <w:abstractNumId w:val="13"/>
  </w:num>
  <w:num w:numId="42" w16cid:durableId="1756323783">
    <w:abstractNumId w:val="14"/>
  </w:num>
  <w:num w:numId="43" w16cid:durableId="658269707">
    <w:abstractNumId w:val="16"/>
  </w:num>
  <w:num w:numId="44" w16cid:durableId="2043167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253518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161015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134501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PECH"/>
    <w:docVar w:name="CONTRIBUTIONMNU" w:val=" 1"/>
    <w:docVar w:name="DOCDT" w:val="17/06/2026"/>
    <w:docVar w:name="HEADINGMNU" w:val=" 2"/>
    <w:docVar w:name="LastEditedSection" w:val=" 1"/>
    <w:docVar w:name="MOTIONMNU" w:val=" 3"/>
    <w:docVar w:name="NVAR1" w:val="0"/>
    <w:docVar w:name="strDocTypeID" w:val="PR_INI_ImplReport"/>
    <w:docVar w:name="strSubDir" w:val="1345"/>
    <w:docVar w:name="TITLEMNU" w:val=" 4"/>
    <w:docVar w:name="TVTTITLE" w:val="Plan plurianual para la pesca demersal en el Mediterráneo occidental "/>
    <w:docVar w:name="TXTAUTHOR" w:val="Carmen Crespo Díaz►"/>
    <w:docVar w:name="TXTLANGUE" w:val="ES"/>
    <w:docVar w:name="TXTLANGUEMIN" w:val="es"/>
    <w:docVar w:name="TXTNRINI" w:val="2026/2074"/>
    <w:docVar w:name="TXTNRPE" w:val="789.948"/>
    <w:docVar w:name="TXTPEorAP" w:val="PE"/>
    <w:docVar w:name="TXTROUTE" w:val="PR\1345631ES.docx"/>
    <w:docVar w:name="TXTTITLE" w:val="Plan plurianual para la pesca demersal en el Mediterráneo occidental "/>
    <w:docVar w:name="TXTVERSION" w:val="01-00"/>
  </w:docVars>
  <w:rsids>
    <w:rsidRoot w:val="004A5882"/>
    <w:rsid w:val="000259EA"/>
    <w:rsid w:val="00040EAC"/>
    <w:rsid w:val="00082B65"/>
    <w:rsid w:val="00086351"/>
    <w:rsid w:val="000C53D8"/>
    <w:rsid w:val="000D26F6"/>
    <w:rsid w:val="00100069"/>
    <w:rsid w:val="00102C5B"/>
    <w:rsid w:val="001046B1"/>
    <w:rsid w:val="00153AB5"/>
    <w:rsid w:val="00164B25"/>
    <w:rsid w:val="001666EA"/>
    <w:rsid w:val="0017303E"/>
    <w:rsid w:val="00240F48"/>
    <w:rsid w:val="002544DF"/>
    <w:rsid w:val="002643FA"/>
    <w:rsid w:val="00277EDB"/>
    <w:rsid w:val="002D4D78"/>
    <w:rsid w:val="002D6782"/>
    <w:rsid w:val="00301C1C"/>
    <w:rsid w:val="00316C50"/>
    <w:rsid w:val="00367412"/>
    <w:rsid w:val="0038214E"/>
    <w:rsid w:val="003E6413"/>
    <w:rsid w:val="00480A6F"/>
    <w:rsid w:val="004A5882"/>
    <w:rsid w:val="004B4D5E"/>
    <w:rsid w:val="004C68A7"/>
    <w:rsid w:val="004D6299"/>
    <w:rsid w:val="004D70E1"/>
    <w:rsid w:val="00527DBA"/>
    <w:rsid w:val="00534771"/>
    <w:rsid w:val="00556A0C"/>
    <w:rsid w:val="005A2942"/>
    <w:rsid w:val="005E5B74"/>
    <w:rsid w:val="006272CD"/>
    <w:rsid w:val="00631924"/>
    <w:rsid w:val="00646AD2"/>
    <w:rsid w:val="007041CC"/>
    <w:rsid w:val="00705D44"/>
    <w:rsid w:val="007126C9"/>
    <w:rsid w:val="00741805"/>
    <w:rsid w:val="00783C25"/>
    <w:rsid w:val="007A4135"/>
    <w:rsid w:val="0082521C"/>
    <w:rsid w:val="00846CDA"/>
    <w:rsid w:val="008A1858"/>
    <w:rsid w:val="008C4C65"/>
    <w:rsid w:val="00915B29"/>
    <w:rsid w:val="009253E3"/>
    <w:rsid w:val="00956282"/>
    <w:rsid w:val="009A3355"/>
    <w:rsid w:val="009D7157"/>
    <w:rsid w:val="00A10B87"/>
    <w:rsid w:val="00A13471"/>
    <w:rsid w:val="00B24F54"/>
    <w:rsid w:val="00B31C6A"/>
    <w:rsid w:val="00B7198C"/>
    <w:rsid w:val="00BA2A57"/>
    <w:rsid w:val="00BB70F1"/>
    <w:rsid w:val="00BC7C60"/>
    <w:rsid w:val="00BF774C"/>
    <w:rsid w:val="00C01D30"/>
    <w:rsid w:val="00C6630E"/>
    <w:rsid w:val="00C85D0F"/>
    <w:rsid w:val="00CD5ADB"/>
    <w:rsid w:val="00D004E0"/>
    <w:rsid w:val="00D15AD6"/>
    <w:rsid w:val="00D55C21"/>
    <w:rsid w:val="00D63CD1"/>
    <w:rsid w:val="00D9066B"/>
    <w:rsid w:val="00DC527D"/>
    <w:rsid w:val="00DD2D8E"/>
    <w:rsid w:val="00E155CA"/>
    <w:rsid w:val="00E3537C"/>
    <w:rsid w:val="00E52050"/>
    <w:rsid w:val="00E61690"/>
    <w:rsid w:val="00EA1A4C"/>
    <w:rsid w:val="00EC5E45"/>
    <w:rsid w:val="00ED61D4"/>
    <w:rsid w:val="00EE0A27"/>
    <w:rsid w:val="00EE28D2"/>
    <w:rsid w:val="00F32258"/>
    <w:rsid w:val="00F34F71"/>
    <w:rsid w:val="00F42F07"/>
    <w:rsid w:val="00F42F6E"/>
    <w:rsid w:val="00F46475"/>
    <w:rsid w:val="00F5272C"/>
    <w:rsid w:val="00F81706"/>
    <w:rsid w:val="00F833E7"/>
    <w:rsid w:val="00F9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765AE"/>
  <w15:chartTrackingRefBased/>
  <w15:docId w15:val="{700D552A-6AF9-4DD1-869B-71DDA20F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D8E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277EDB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55C2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36741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55C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253E3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Subheading">
    <w:name w:val="Subheading"/>
    <w:basedOn w:val="Normal"/>
    <w:rsid w:val="0017303E"/>
    <w:pPr>
      <w:spacing w:before="480" w:after="240"/>
    </w:pPr>
    <w:rPr>
      <w:b/>
      <w:i/>
    </w:rPr>
  </w:style>
  <w:style w:type="paragraph" w:customStyle="1" w:styleId="EPFooter">
    <w:name w:val="EPFooter"/>
    <w:basedOn w:val="Normal"/>
    <w:rsid w:val="00D55C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253E3"/>
    <w:rPr>
      <w:sz w:val="24"/>
    </w:rPr>
  </w:style>
  <w:style w:type="paragraph" w:customStyle="1" w:styleId="EPComma">
    <w:name w:val="EPComma"/>
    <w:basedOn w:val="Normal"/>
    <w:rsid w:val="00D004E0"/>
    <w:pPr>
      <w:spacing w:before="480" w:after="240"/>
    </w:pPr>
  </w:style>
  <w:style w:type="paragraph" w:styleId="ListParagraph">
    <w:name w:val="List Paragraph"/>
    <w:basedOn w:val="Normal"/>
    <w:uiPriority w:val="34"/>
    <w:qFormat/>
    <w:rsid w:val="00783C25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556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56A0C"/>
    <w:rPr>
      <w:sz w:val="24"/>
      <w:lang w:val="mt-MT"/>
    </w:rPr>
  </w:style>
  <w:style w:type="paragraph" w:customStyle="1" w:styleId="Normal24a">
    <w:name w:val="Normal24a"/>
    <w:basedOn w:val="Normal"/>
    <w:rsid w:val="005E5B74"/>
    <w:pPr>
      <w:spacing w:after="480"/>
    </w:pPr>
  </w:style>
  <w:style w:type="paragraph" w:customStyle="1" w:styleId="NormalBoldCenter">
    <w:name w:val="NormalBoldCenter"/>
    <w:basedOn w:val="Normal"/>
    <w:rsid w:val="005E5B74"/>
    <w:pPr>
      <w:jc w:val="center"/>
    </w:pPr>
    <w:rPr>
      <w:b/>
    </w:rPr>
  </w:style>
  <w:style w:type="paragraph" w:customStyle="1" w:styleId="Footprint12b">
    <w:name w:val="Footprint12b"/>
    <w:basedOn w:val="Normal"/>
    <w:rsid w:val="005E5B7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E5B74"/>
    <w:rPr>
      <w:szCs w:val="24"/>
    </w:rPr>
  </w:style>
  <w:style w:type="paragraph" w:styleId="FootnoteText">
    <w:name w:val="footnote text"/>
    <w:basedOn w:val="Normal"/>
    <w:link w:val="FootnoteTextChar"/>
    <w:rsid w:val="005E5B7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E5B74"/>
    <w:rPr>
      <w:lang w:val="mt-MT"/>
    </w:rPr>
  </w:style>
  <w:style w:type="character" w:styleId="FootnoteReference">
    <w:name w:val="footnote reference"/>
    <w:basedOn w:val="DefaultParagraphFont"/>
    <w:rsid w:val="005E5B74"/>
    <w:rPr>
      <w:vertAlign w:val="superscript"/>
    </w:rPr>
  </w:style>
  <w:style w:type="character" w:styleId="Hyperlink">
    <w:name w:val="Hyperlink"/>
    <w:basedOn w:val="DefaultParagraphFont"/>
    <w:rsid w:val="005E5B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2534</Words>
  <Characters>19310</Characters>
  <Application>Microsoft Office Word</Application>
  <DocSecurity>0</DocSecurity>
  <Lines>321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PR_INI_ImplReport</vt:lpstr>
    </vt:vector>
  </TitlesOfParts>
  <Company/>
  <LinksUpToDate>false</LinksUpToDate>
  <CharactersWithSpaces>21722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PR_INI_ImplReport</dc:title>
  <dc:creator>NENICKOVA Sylva</dc:creator>
  <cp:lastModifiedBy>GRIMA Cherise-Marie</cp:lastModifiedBy>
  <cp:revision>2</cp:revision>
  <cp:lastPrinted>2004-12-08T15:27:00Z</cp:lastPrinted>
  <dcterms:created xsi:type="dcterms:W3CDTF">2026-07-02T06:03:00Z</dcterms:created>
  <dcterms:modified xsi:type="dcterms:W3CDTF">2026-07-02T06:03:00Z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1345631</vt:lpwstr>
  </property>
  <property fmtid="{D5CDD505-2E9C-101B-9397-08002B2CF9AE}" pid="4" name="&lt;Model&gt;">
    <vt:lpwstr>PR_INI_ImplReport</vt:lpwstr>
  </property>
  <property fmtid="{D5CDD505-2E9C-101B-9397-08002B2CF9AE}" pid="5" name="&lt;ModelCod&gt;">
    <vt:lpwstr>\\eiciBRUpr1\pdocep$\DocEP\DOCS\General\PR\PR_NonLeg\INI\PR_INI_ImplReport.dotx(12/08/2024 17:13:01)</vt:lpwstr>
  </property>
  <property fmtid="{D5CDD505-2E9C-101B-9397-08002B2CF9AE}" pid="6" name="&lt;ModelTra&gt;">
    <vt:lpwstr>\\eiciBRUpr1\pdocep$\DocEP\TRANSFIL\ES\PR_INI_ImplReport.ES(13/08/2024 09:37:02)</vt:lpwstr>
  </property>
  <property fmtid="{D5CDD505-2E9C-101B-9397-08002B2CF9AE}" pid="7" name="&lt;Type&gt;">
    <vt:lpwstr>PR</vt:lpwstr>
  </property>
  <property fmtid="{D5CDD505-2E9C-101B-9397-08002B2CF9AE}" pid="8" name="Bookout">
    <vt:lpwstr>OK - 2026/07/02 08:03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PR\1345631MT.docx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789.948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- 2026/06/17 14:27</vt:lpwstr>
  </property>
</Properties>
</file>