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553A4" w:rsidRPr="001B2DC2" w:rsidTr="00230976">
        <w:trPr>
          <w:trHeight w:hRule="exact" w:val="1418"/>
        </w:trPr>
        <w:tc>
          <w:tcPr>
            <w:tcW w:w="6804" w:type="dxa"/>
            <w:shd w:val="clear" w:color="auto" w:fill="auto"/>
            <w:vAlign w:val="center"/>
          </w:tcPr>
          <w:p w:rsidR="00B13D6F" w:rsidRPr="001B2DC2" w:rsidRDefault="00F72F11" w:rsidP="00230976">
            <w:pPr>
              <w:pStyle w:val="EPName"/>
            </w:pPr>
            <w:r w:rsidRPr="001B2DC2">
              <w:t>Evropski parlament</w:t>
            </w:r>
          </w:p>
          <w:p w:rsidR="00B13D6F" w:rsidRPr="001B2DC2" w:rsidRDefault="00F72F11" w:rsidP="00791FE8">
            <w:pPr>
              <w:pStyle w:val="EPTerm"/>
            </w:pPr>
            <w:r w:rsidRPr="001B2DC2">
              <w:t>2019-2024</w:t>
            </w:r>
          </w:p>
        </w:tc>
        <w:tc>
          <w:tcPr>
            <w:tcW w:w="2268" w:type="dxa"/>
            <w:shd w:val="clear" w:color="auto" w:fill="auto"/>
          </w:tcPr>
          <w:p w:rsidR="00B13D6F" w:rsidRPr="001B2DC2" w:rsidRDefault="00F72F11" w:rsidP="00230976">
            <w:pPr>
              <w:pStyle w:val="EPLogo"/>
            </w:pPr>
            <w:r w:rsidRPr="001B2DC2">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5396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B2DC2" w:rsidRDefault="00461601" w:rsidP="00461601">
      <w:pPr>
        <w:pStyle w:val="LineTop"/>
      </w:pPr>
    </w:p>
    <w:p w:rsidR="00461601" w:rsidRPr="001B2DC2" w:rsidRDefault="00F72F11" w:rsidP="00461601">
      <w:pPr>
        <w:pStyle w:val="EPBody"/>
      </w:pPr>
      <w:r w:rsidRPr="001B2DC2">
        <w:rPr>
          <w:rStyle w:val="HideTWBExt"/>
          <w:noProof w:val="0"/>
        </w:rPr>
        <w:t>&lt;</w:t>
      </w:r>
      <w:r w:rsidRPr="001B2DC2">
        <w:rPr>
          <w:rStyle w:val="HideTWBExt"/>
          <w:i w:val="0"/>
          <w:noProof w:val="0"/>
        </w:rPr>
        <w:t>Commission</w:t>
      </w:r>
      <w:r w:rsidRPr="001B2DC2">
        <w:rPr>
          <w:rStyle w:val="HideTWBExt"/>
          <w:noProof w:val="0"/>
        </w:rPr>
        <w:t>&gt;</w:t>
      </w:r>
      <w:r w:rsidRPr="001B2DC2">
        <w:rPr>
          <w:rStyle w:val="HideTWBInt"/>
          <w:color w:val="auto"/>
        </w:rPr>
        <w:t>{TRAN}</w:t>
      </w:r>
      <w:r w:rsidRPr="001B2DC2">
        <w:t>Odbor za promet in turizem</w:t>
      </w:r>
      <w:r w:rsidRPr="001B2DC2">
        <w:rPr>
          <w:rStyle w:val="HideTWBExt"/>
          <w:noProof w:val="0"/>
        </w:rPr>
        <w:t>&lt;/</w:t>
      </w:r>
      <w:r w:rsidRPr="001B2DC2">
        <w:rPr>
          <w:rStyle w:val="HideTWBExt"/>
          <w:i w:val="0"/>
          <w:noProof w:val="0"/>
        </w:rPr>
        <w:t>Commission</w:t>
      </w:r>
      <w:r w:rsidRPr="001B2DC2">
        <w:rPr>
          <w:rStyle w:val="HideTWBExt"/>
          <w:noProof w:val="0"/>
        </w:rPr>
        <w:t>&gt;</w:t>
      </w:r>
    </w:p>
    <w:p w:rsidR="00461601" w:rsidRPr="001B2DC2" w:rsidRDefault="00461601" w:rsidP="00461601">
      <w:pPr>
        <w:pStyle w:val="LineBottom"/>
      </w:pPr>
    </w:p>
    <w:p w:rsidR="00793EA9" w:rsidRPr="001B2DC2" w:rsidRDefault="00F72F11">
      <w:pPr>
        <w:pStyle w:val="CoverReference"/>
      </w:pPr>
      <w:r w:rsidRPr="001B2DC2">
        <w:rPr>
          <w:rStyle w:val="HideTWBExt"/>
          <w:b w:val="0"/>
          <w:noProof w:val="0"/>
        </w:rPr>
        <w:t>&lt;RefProc&gt;</w:t>
      </w:r>
      <w:r w:rsidRPr="001B2DC2">
        <w:t>2020/0264</w:t>
      </w:r>
      <w:r w:rsidRPr="001B2DC2">
        <w:rPr>
          <w:rStyle w:val="HideTWBExt"/>
          <w:b w:val="0"/>
          <w:noProof w:val="0"/>
        </w:rPr>
        <w:t>&lt;/RefProc&gt;&lt;RefTypeProc&gt;</w:t>
      </w:r>
      <w:r w:rsidRPr="001B2DC2">
        <w:t>(COD)</w:t>
      </w:r>
      <w:r w:rsidRPr="001B2DC2">
        <w:rPr>
          <w:rStyle w:val="HideTWBExt"/>
          <w:b w:val="0"/>
          <w:noProof w:val="0"/>
        </w:rPr>
        <w:t>&lt;/RefTypeProc&gt;</w:t>
      </w:r>
    </w:p>
    <w:p w:rsidR="00793EA9" w:rsidRPr="001B2DC2" w:rsidRDefault="00F72F11">
      <w:pPr>
        <w:pStyle w:val="CoverDate"/>
      </w:pPr>
      <w:r w:rsidRPr="001B2DC2">
        <w:rPr>
          <w:rStyle w:val="HideTWBExt"/>
          <w:noProof w:val="0"/>
        </w:rPr>
        <w:t>&lt;Date&gt;</w:t>
      </w:r>
      <w:r w:rsidRPr="001B2DC2">
        <w:rPr>
          <w:rStyle w:val="HideTWBInt"/>
          <w:color w:val="auto"/>
        </w:rPr>
        <w:t>{15/12/2020}</w:t>
      </w:r>
      <w:r w:rsidRPr="001B2DC2">
        <w:t>15.12.2020</w:t>
      </w:r>
      <w:r w:rsidRPr="001B2DC2">
        <w:rPr>
          <w:rStyle w:val="HideTWBExt"/>
          <w:noProof w:val="0"/>
        </w:rPr>
        <w:t>&lt;/Date&gt;</w:t>
      </w:r>
    </w:p>
    <w:p w:rsidR="00793EA9" w:rsidRPr="001B2DC2" w:rsidRDefault="00F72F11">
      <w:pPr>
        <w:pStyle w:val="CoverDocType"/>
      </w:pPr>
      <w:r w:rsidRPr="001B2DC2">
        <w:rPr>
          <w:rStyle w:val="HideTWBExt"/>
          <w:b w:val="0"/>
          <w:noProof w:val="0"/>
        </w:rPr>
        <w:t>&lt;RefProcLect&gt;</w:t>
      </w:r>
      <w:r w:rsidRPr="001B2DC2">
        <w:t>***I</w:t>
      </w:r>
      <w:r w:rsidRPr="001B2DC2">
        <w:rPr>
          <w:rStyle w:val="HideTWBExt"/>
          <w:b w:val="0"/>
          <w:noProof w:val="0"/>
        </w:rPr>
        <w:t>&lt;/RefProcLect&gt;</w:t>
      </w:r>
    </w:p>
    <w:p w:rsidR="00793EA9" w:rsidRPr="001B2DC2" w:rsidRDefault="00F72F11">
      <w:pPr>
        <w:pStyle w:val="CoverDocType24a"/>
      </w:pPr>
      <w:r w:rsidRPr="001B2DC2">
        <w:rPr>
          <w:rStyle w:val="HideTWBExt"/>
          <w:b w:val="0"/>
          <w:noProof w:val="0"/>
        </w:rPr>
        <w:t>&lt;TitreType&gt;</w:t>
      </w:r>
      <w:r w:rsidRPr="001B2DC2">
        <w:t>OSNUTEK POROČILA</w:t>
      </w:r>
      <w:r w:rsidRPr="001B2DC2">
        <w:rPr>
          <w:rStyle w:val="HideTWBExt"/>
          <w:b w:val="0"/>
          <w:noProof w:val="0"/>
        </w:rPr>
        <w:t>&lt;/TitreType&gt;</w:t>
      </w:r>
    </w:p>
    <w:p w:rsidR="00793EA9" w:rsidRPr="001B2DC2" w:rsidRDefault="00F72F11">
      <w:pPr>
        <w:pStyle w:val="CoverNormal"/>
      </w:pPr>
      <w:r w:rsidRPr="001B2DC2">
        <w:rPr>
          <w:rStyle w:val="HideTWBExt"/>
          <w:noProof w:val="0"/>
        </w:rPr>
        <w:t>&lt;Titre&gt;</w:t>
      </w:r>
      <w:r w:rsidRPr="001B2DC2">
        <w:t>o predlogu uredbe Evropskega parlamenta in Sveta o spremembi Uredbe (EU) 2018/1139 glede zmožnosti Agencije Evropske unije za varnost v letalstvu, da deluje kot organ za oceno uspešnosti za enotno evropsko nebo</w:t>
      </w:r>
      <w:r w:rsidRPr="001B2DC2">
        <w:rPr>
          <w:rStyle w:val="HideTWBExt"/>
          <w:noProof w:val="0"/>
        </w:rPr>
        <w:t>&lt;/Titre&gt;</w:t>
      </w:r>
    </w:p>
    <w:p w:rsidR="00793EA9" w:rsidRPr="001B2DC2" w:rsidRDefault="00F72F11">
      <w:pPr>
        <w:pStyle w:val="CoverNormal24a"/>
      </w:pPr>
      <w:r w:rsidRPr="001B2DC2">
        <w:rPr>
          <w:rStyle w:val="HideTWBExt"/>
          <w:noProof w:val="0"/>
        </w:rPr>
        <w:t>&lt;DocRef&gt;</w:t>
      </w:r>
      <w:r w:rsidRPr="001B2DC2">
        <w:t>(COM(2020)0577 – C9</w:t>
      </w:r>
      <w:r w:rsidRPr="001B2DC2">
        <w:noBreakHyphen/>
        <w:t>0300/2020 – 2020/0264(COD))</w:t>
      </w:r>
      <w:r w:rsidRPr="001B2DC2">
        <w:rPr>
          <w:rStyle w:val="HideTWBExt"/>
          <w:noProof w:val="0"/>
        </w:rPr>
        <w:t>&lt;/DocRef&gt;</w:t>
      </w:r>
    </w:p>
    <w:p w:rsidR="00793EA9" w:rsidRPr="001B2DC2" w:rsidRDefault="00F72F11">
      <w:pPr>
        <w:pStyle w:val="CoverNormal24a"/>
      </w:pPr>
      <w:r w:rsidRPr="001B2DC2">
        <w:rPr>
          <w:rStyle w:val="HideTWBExt"/>
          <w:noProof w:val="0"/>
        </w:rPr>
        <w:t>&lt;Commission&gt;</w:t>
      </w:r>
      <w:r w:rsidRPr="001B2DC2">
        <w:rPr>
          <w:rStyle w:val="HideTWBInt"/>
          <w:color w:val="auto"/>
        </w:rPr>
        <w:t>{TRAN}</w:t>
      </w:r>
      <w:r w:rsidRPr="001B2DC2">
        <w:t>Odbor za promet in turizem</w:t>
      </w:r>
      <w:r w:rsidRPr="001B2DC2">
        <w:rPr>
          <w:rStyle w:val="HideTWBExt"/>
          <w:noProof w:val="0"/>
        </w:rPr>
        <w:t>&lt;/Commission&gt;</w:t>
      </w:r>
    </w:p>
    <w:p w:rsidR="00793EA9" w:rsidRPr="001B2DC2" w:rsidRDefault="00F72F11">
      <w:pPr>
        <w:pStyle w:val="CoverNormal24a"/>
      </w:pPr>
      <w:r w:rsidRPr="001B2DC2">
        <w:t xml:space="preserve">Poročevalec: </w:t>
      </w:r>
      <w:r w:rsidRPr="001B2DC2">
        <w:rPr>
          <w:rStyle w:val="HideTWBExt"/>
          <w:noProof w:val="0"/>
        </w:rPr>
        <w:t>&lt;Depute&gt;</w:t>
      </w:r>
      <w:r w:rsidRPr="001B2DC2">
        <w:t>Bogusław Liberadzki</w:t>
      </w:r>
      <w:r w:rsidRPr="001B2DC2">
        <w:rPr>
          <w:rStyle w:val="HideTWBExt"/>
          <w:noProof w:val="0"/>
        </w:rPr>
        <w:t>&lt;/Depute&gt;</w:t>
      </w:r>
    </w:p>
    <w:p w:rsidR="001C5B44" w:rsidRPr="001B2DC2" w:rsidRDefault="001C5B44" w:rsidP="001C5B44">
      <w:pPr>
        <w:pStyle w:val="CoverNormal"/>
      </w:pPr>
    </w:p>
    <w:p w:rsidR="0085330D" w:rsidRPr="001B2DC2" w:rsidRDefault="00F72F11" w:rsidP="00230976">
      <w:r w:rsidRPr="001B2DC2">
        <w:br w:type="page"/>
      </w:r>
      <w:r w:rsidR="00555950" w:rsidRPr="001B2DC2">
        <w:lastRenderedPageBreak/>
        <w:fldChar w:fldCharType="begin"/>
      </w:r>
      <w:r w:rsidRPr="001B2DC2">
        <w:instrText xml:space="preserve"> TITLE  \* MERGEFORMAT </w:instrText>
      </w:r>
      <w:r w:rsidR="00555950" w:rsidRPr="001B2DC2">
        <w:fldChar w:fldCharType="separate"/>
      </w:r>
      <w:r w:rsidR="001B2DC2">
        <w:t>PR_COD_1amCom</w:t>
      </w:r>
      <w:r w:rsidR="00555950" w:rsidRPr="001B2DC2">
        <w:fldChar w:fldCharType="end"/>
      </w:r>
    </w:p>
    <w:p w:rsidR="0085330D" w:rsidRPr="001B2DC2" w:rsidRDefault="0085330D" w:rsidP="00230976"/>
    <w:p w:rsidR="0085330D" w:rsidRPr="001B2DC2" w:rsidRDefault="0085330D" w:rsidP="0023097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553A4" w:rsidRPr="001B2DC2">
        <w:tc>
          <w:tcPr>
            <w:tcW w:w="5811" w:type="dxa"/>
          </w:tcPr>
          <w:p w:rsidR="0085330D" w:rsidRPr="001B2DC2" w:rsidRDefault="00F72F11" w:rsidP="00230976">
            <w:pPr>
              <w:pStyle w:val="Lgendetitre"/>
            </w:pPr>
            <w:r w:rsidRPr="001B2DC2">
              <w:t>Oznake postopkov</w:t>
            </w:r>
          </w:p>
        </w:tc>
      </w:tr>
      <w:tr w:rsidR="001553A4" w:rsidRPr="001B2DC2" w:rsidTr="00230976">
        <w:trPr>
          <w:cantSplit/>
          <w:trHeight w:val="1807"/>
        </w:trPr>
        <w:tc>
          <w:tcPr>
            <w:tcW w:w="5811" w:type="dxa"/>
            <w:tcBorders>
              <w:bottom w:val="single" w:sz="4" w:space="0" w:color="auto"/>
            </w:tcBorders>
          </w:tcPr>
          <w:p w:rsidR="0085330D" w:rsidRPr="001B2DC2" w:rsidRDefault="00F72F11" w:rsidP="00230976">
            <w:pPr>
              <w:pStyle w:val="Lgendesigne"/>
            </w:pPr>
            <w:r w:rsidRPr="001B2DC2">
              <w:tab/>
              <w:t>*</w:t>
            </w:r>
            <w:r w:rsidRPr="001B2DC2">
              <w:tab/>
              <w:t>Postopek posvetovanja</w:t>
            </w:r>
          </w:p>
          <w:p w:rsidR="0085330D" w:rsidRPr="001B2DC2" w:rsidRDefault="00F72F11" w:rsidP="00230976">
            <w:pPr>
              <w:pStyle w:val="Lgendesigne"/>
            </w:pPr>
            <w:r w:rsidRPr="001B2DC2">
              <w:tab/>
              <w:t>***</w:t>
            </w:r>
            <w:r w:rsidRPr="001B2DC2">
              <w:tab/>
              <w:t>Postopek odobritve</w:t>
            </w:r>
          </w:p>
          <w:p w:rsidR="0085330D" w:rsidRPr="001B2DC2" w:rsidRDefault="00F72F11" w:rsidP="00230976">
            <w:pPr>
              <w:pStyle w:val="Lgendesigne"/>
            </w:pPr>
            <w:r w:rsidRPr="001B2DC2">
              <w:tab/>
              <w:t>***I</w:t>
            </w:r>
            <w:r w:rsidRPr="001B2DC2">
              <w:tab/>
              <w:t>Redni zakonodajni postopek (prva obravnava)</w:t>
            </w:r>
          </w:p>
          <w:p w:rsidR="0085330D" w:rsidRPr="001B2DC2" w:rsidRDefault="00F72F11" w:rsidP="00230976">
            <w:pPr>
              <w:pStyle w:val="Lgendesigne"/>
            </w:pPr>
            <w:r w:rsidRPr="001B2DC2">
              <w:tab/>
              <w:t>***II</w:t>
            </w:r>
            <w:r w:rsidRPr="001B2DC2">
              <w:tab/>
              <w:t>Redni zakonodajni postopek (druga obravnava)</w:t>
            </w:r>
          </w:p>
          <w:p w:rsidR="0085330D" w:rsidRPr="001B2DC2" w:rsidRDefault="00F72F11" w:rsidP="00230976">
            <w:pPr>
              <w:pStyle w:val="Lgendesigne"/>
            </w:pPr>
            <w:r w:rsidRPr="001B2DC2">
              <w:tab/>
              <w:t>***III</w:t>
            </w:r>
            <w:r w:rsidRPr="001B2DC2">
              <w:tab/>
              <w:t>Redni zakonodajni postopek (tretja obravnava)</w:t>
            </w:r>
          </w:p>
          <w:p w:rsidR="0085330D" w:rsidRPr="001B2DC2" w:rsidRDefault="0085330D" w:rsidP="00230976">
            <w:pPr>
              <w:pStyle w:val="Lgendestandard"/>
            </w:pPr>
          </w:p>
          <w:p w:rsidR="0085330D" w:rsidRPr="001B2DC2" w:rsidRDefault="00F72F11" w:rsidP="00230976">
            <w:pPr>
              <w:pStyle w:val="Lgendestandard"/>
            </w:pPr>
            <w:r w:rsidRPr="001B2DC2">
              <w:t>(Vrsta postopka je odvisna od pravne podlage, ki je predlagana v osnutku akta.)</w:t>
            </w:r>
          </w:p>
          <w:p w:rsidR="0085330D" w:rsidRPr="001B2DC2" w:rsidRDefault="0085330D" w:rsidP="00230976">
            <w:pPr>
              <w:pStyle w:val="Lgendestandard"/>
            </w:pPr>
          </w:p>
        </w:tc>
      </w:tr>
    </w:tbl>
    <w:p w:rsidR="0085330D" w:rsidRPr="001B2DC2" w:rsidRDefault="0085330D" w:rsidP="00230976"/>
    <w:p w:rsidR="0085330D" w:rsidRPr="001B2DC2" w:rsidRDefault="0085330D" w:rsidP="00230976"/>
    <w:p w:rsidR="0085330D" w:rsidRPr="001B2DC2" w:rsidRDefault="0085330D" w:rsidP="00230976"/>
    <w:p w:rsidR="0085330D" w:rsidRPr="001B2DC2" w:rsidRDefault="0085330D" w:rsidP="0023097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553A4" w:rsidRPr="001B2DC2">
        <w:tc>
          <w:tcPr>
            <w:tcW w:w="5811" w:type="dxa"/>
          </w:tcPr>
          <w:p w:rsidR="0085330D" w:rsidRPr="001B2DC2" w:rsidRDefault="00F72F11" w:rsidP="00230976">
            <w:pPr>
              <w:pStyle w:val="Lgendetitre"/>
            </w:pPr>
            <w:r w:rsidRPr="001B2DC2">
              <w:t>Predlogi sprememb k osnutku akta</w:t>
            </w:r>
          </w:p>
        </w:tc>
      </w:tr>
      <w:tr w:rsidR="001553A4" w:rsidRPr="001B2DC2" w:rsidTr="00230976">
        <w:trPr>
          <w:trHeight w:val="4496"/>
        </w:trPr>
        <w:tc>
          <w:tcPr>
            <w:tcW w:w="5811" w:type="dxa"/>
          </w:tcPr>
          <w:p w:rsidR="0085330D" w:rsidRPr="001B2DC2" w:rsidRDefault="00F72F11" w:rsidP="00230976">
            <w:pPr>
              <w:pStyle w:val="Lgendestandard"/>
              <w:rPr>
                <w:szCs w:val="24"/>
              </w:rPr>
            </w:pPr>
            <w:r w:rsidRPr="001B2DC2">
              <w:rPr>
                <w:b/>
              </w:rPr>
              <w:t>Spremembe, ki jih predlaga Parlament, v dveh stolpcih</w:t>
            </w:r>
          </w:p>
          <w:p w:rsidR="0085330D" w:rsidRPr="001B2DC2" w:rsidRDefault="0085330D" w:rsidP="00230976">
            <w:pPr>
              <w:pStyle w:val="Lgendestandard"/>
              <w:rPr>
                <w:szCs w:val="24"/>
              </w:rPr>
            </w:pPr>
          </w:p>
          <w:p w:rsidR="0085330D" w:rsidRPr="001B2DC2" w:rsidRDefault="00F72F11" w:rsidP="00230976">
            <w:pPr>
              <w:pStyle w:val="Lgendestandard"/>
              <w:rPr>
                <w:szCs w:val="24"/>
              </w:rPr>
            </w:pPr>
            <w:r w:rsidRPr="001B2DC2">
              <w:t xml:space="preserve">Izbrisano besedilo je označeno s </w:t>
            </w:r>
            <w:r w:rsidRPr="001B2DC2">
              <w:rPr>
                <w:b/>
                <w:i/>
              </w:rPr>
              <w:t>krepkim poševnim tiskom</w:t>
            </w:r>
            <w:r w:rsidRPr="001B2DC2">
              <w:t xml:space="preserve"> v levem stolpcu, zamenjano besedilo s </w:t>
            </w:r>
            <w:r w:rsidRPr="001B2DC2">
              <w:rPr>
                <w:b/>
                <w:i/>
              </w:rPr>
              <w:t>krepkim poševnim tiskom</w:t>
            </w:r>
            <w:r w:rsidRPr="001B2DC2">
              <w:t xml:space="preserve"> v obeh stolpcih, novo besedilo pa s</w:t>
            </w:r>
            <w:r w:rsidRPr="001B2DC2">
              <w:rPr>
                <w:b/>
                <w:i/>
              </w:rPr>
              <w:t xml:space="preserve"> krepkim poševnim tiskom</w:t>
            </w:r>
            <w:r w:rsidRPr="001B2DC2">
              <w:t xml:space="preserve"> v desnem stolpcu.</w:t>
            </w:r>
          </w:p>
          <w:p w:rsidR="0085330D" w:rsidRPr="001B2DC2" w:rsidRDefault="0085330D" w:rsidP="00230976">
            <w:pPr>
              <w:pStyle w:val="Lgendestandard"/>
              <w:rPr>
                <w:szCs w:val="24"/>
              </w:rPr>
            </w:pPr>
          </w:p>
          <w:p w:rsidR="0085330D" w:rsidRPr="001B2DC2" w:rsidRDefault="00F72F11" w:rsidP="00230976">
            <w:pPr>
              <w:pStyle w:val="Lgendestandard"/>
              <w:rPr>
                <w:szCs w:val="24"/>
              </w:rPr>
            </w:pPr>
            <w:r w:rsidRPr="001B2DC2">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85330D" w:rsidRPr="001B2DC2" w:rsidRDefault="0085330D" w:rsidP="00230976">
            <w:pPr>
              <w:pStyle w:val="Lgendestandard"/>
              <w:rPr>
                <w:szCs w:val="24"/>
              </w:rPr>
            </w:pPr>
          </w:p>
          <w:p w:rsidR="0085330D" w:rsidRPr="001B2DC2" w:rsidRDefault="00F72F11" w:rsidP="00230976">
            <w:pPr>
              <w:pStyle w:val="Lgendestandard"/>
              <w:rPr>
                <w:b/>
                <w:szCs w:val="24"/>
              </w:rPr>
            </w:pPr>
            <w:r w:rsidRPr="001B2DC2">
              <w:rPr>
                <w:b/>
              </w:rPr>
              <w:t>Spremembe, ki jih predlaga Parlament, v obliki konsolidiranega besedila</w:t>
            </w:r>
          </w:p>
          <w:p w:rsidR="0085330D" w:rsidRPr="001B2DC2" w:rsidRDefault="0085330D" w:rsidP="00230976">
            <w:pPr>
              <w:pStyle w:val="Lgendestandard"/>
              <w:rPr>
                <w:szCs w:val="24"/>
              </w:rPr>
            </w:pPr>
          </w:p>
          <w:p w:rsidR="0085330D" w:rsidRPr="001B2DC2" w:rsidRDefault="00F72F11" w:rsidP="00230976">
            <w:pPr>
              <w:pStyle w:val="Lgendestandard"/>
              <w:rPr>
                <w:szCs w:val="24"/>
              </w:rPr>
            </w:pPr>
            <w:r w:rsidRPr="001B2DC2">
              <w:t xml:space="preserve">Novo besedilo je označeno s </w:t>
            </w:r>
            <w:r w:rsidRPr="001B2DC2">
              <w:rPr>
                <w:b/>
                <w:i/>
              </w:rPr>
              <w:t>krepkim poševnim tiskom</w:t>
            </w:r>
            <w:r w:rsidRPr="001B2DC2">
              <w:t>. Izbrisano besedilo je označeno s simbolom ▌ali prečrtano. Zamenjano besedilo je izbrisano ali prečrtano, besedilo, ki ga nadomešča, pa je označeno s</w:t>
            </w:r>
            <w:r w:rsidRPr="001B2DC2">
              <w:rPr>
                <w:b/>
                <w:i/>
              </w:rPr>
              <w:t xml:space="preserve"> krepkim poševnim tiskom</w:t>
            </w:r>
            <w:r w:rsidRPr="001B2DC2">
              <w:t xml:space="preserve">. </w:t>
            </w:r>
          </w:p>
          <w:p w:rsidR="0085330D" w:rsidRPr="001B2DC2" w:rsidRDefault="00F72F11" w:rsidP="00230976">
            <w:pPr>
              <w:pStyle w:val="Lgendestandard"/>
            </w:pPr>
            <w:r w:rsidRPr="001B2DC2">
              <w:t>Izjema so spremembe izključno tehnične narave, ki so jih vnesle službe z namenom priprave končnega besedila in niso označene.</w:t>
            </w:r>
          </w:p>
          <w:p w:rsidR="0085330D" w:rsidRPr="001B2DC2" w:rsidRDefault="0085330D" w:rsidP="00230976">
            <w:pPr>
              <w:pStyle w:val="Lgendestandard"/>
            </w:pPr>
          </w:p>
        </w:tc>
      </w:tr>
    </w:tbl>
    <w:p w:rsidR="0085330D" w:rsidRPr="001B2DC2" w:rsidRDefault="0085330D" w:rsidP="00230976"/>
    <w:p w:rsidR="00793EA9" w:rsidRPr="001B2DC2" w:rsidRDefault="00793EA9" w:rsidP="00012351">
      <w:pPr>
        <w:widowControl/>
        <w:tabs>
          <w:tab w:val="center" w:pos="4677"/>
        </w:tabs>
      </w:pPr>
    </w:p>
    <w:p w:rsidR="00793EA9" w:rsidRPr="001B2DC2" w:rsidRDefault="00F72F11">
      <w:pPr>
        <w:pStyle w:val="TOCHeading"/>
      </w:pPr>
      <w:r w:rsidRPr="001B2DC2">
        <w:br w:type="page"/>
        <w:t>VSEBINA</w:t>
      </w:r>
    </w:p>
    <w:p w:rsidR="00793EA9" w:rsidRPr="001B2DC2" w:rsidRDefault="00F72F11">
      <w:pPr>
        <w:pStyle w:val="TOCPage"/>
      </w:pPr>
      <w:r w:rsidRPr="001B2DC2">
        <w:t>Stran</w:t>
      </w:r>
    </w:p>
    <w:p w:rsidR="001B2DC2" w:rsidRDefault="00F72F11">
      <w:pPr>
        <w:pStyle w:val="TOC1"/>
        <w:tabs>
          <w:tab w:val="right" w:leader="dot" w:pos="9060"/>
        </w:tabs>
        <w:rPr>
          <w:rFonts w:asciiTheme="minorHAnsi" w:eastAsiaTheme="minorEastAsia" w:hAnsiTheme="minorHAnsi" w:cstheme="minorBidi"/>
          <w:noProof/>
          <w:sz w:val="22"/>
          <w:szCs w:val="22"/>
          <w:lang w:val="en-GB"/>
        </w:rPr>
      </w:pPr>
      <w:r w:rsidRPr="001B2DC2">
        <w:rPr>
          <w:b/>
        </w:rPr>
        <w:fldChar w:fldCharType="begin"/>
      </w:r>
      <w:r w:rsidRPr="001B2DC2">
        <w:rPr>
          <w:b/>
        </w:rPr>
        <w:instrText xml:space="preserve"> TOC \t "PageHeading</w:instrText>
      </w:r>
      <w:r w:rsidR="001B2DC2" w:rsidRPr="001B2DC2">
        <w:rPr>
          <w:b/>
        </w:rPr>
        <w:instrText>;</w:instrText>
      </w:r>
      <w:r w:rsidRPr="001B2DC2">
        <w:rPr>
          <w:b/>
        </w:rPr>
        <w:instrText xml:space="preserve">1" </w:instrText>
      </w:r>
      <w:r w:rsidRPr="001B2DC2">
        <w:rPr>
          <w:b/>
        </w:rPr>
        <w:fldChar w:fldCharType="separate"/>
      </w:r>
      <w:r w:rsidR="001B2DC2">
        <w:rPr>
          <w:noProof/>
        </w:rPr>
        <w:t>OSNUTEK ZAKONODAJNE RESOLUCIJE EVROPSKEGA PARLAMENTA</w:t>
      </w:r>
      <w:r w:rsidR="001B2DC2">
        <w:rPr>
          <w:noProof/>
        </w:rPr>
        <w:tab/>
      </w:r>
      <w:r w:rsidR="001B2DC2">
        <w:rPr>
          <w:noProof/>
        </w:rPr>
        <w:fldChar w:fldCharType="begin"/>
      </w:r>
      <w:r w:rsidR="001B2DC2">
        <w:rPr>
          <w:noProof/>
        </w:rPr>
        <w:instrText xml:space="preserve"> PAGEREF _Toc60927379 \h </w:instrText>
      </w:r>
      <w:r w:rsidR="001B2DC2">
        <w:rPr>
          <w:noProof/>
        </w:rPr>
      </w:r>
      <w:r w:rsidR="001B2DC2">
        <w:rPr>
          <w:noProof/>
        </w:rPr>
        <w:fldChar w:fldCharType="separate"/>
      </w:r>
      <w:r w:rsidR="001B2DC2">
        <w:rPr>
          <w:noProof/>
        </w:rPr>
        <w:t>5</w:t>
      </w:r>
      <w:r w:rsidR="001B2DC2">
        <w:rPr>
          <w:noProof/>
        </w:rPr>
        <w:fldChar w:fldCharType="end"/>
      </w:r>
    </w:p>
    <w:p w:rsidR="001B2DC2" w:rsidRDefault="001B2DC2">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_Toc60927380 \h </w:instrText>
      </w:r>
      <w:r>
        <w:rPr>
          <w:noProof/>
        </w:rPr>
      </w:r>
      <w:r>
        <w:rPr>
          <w:noProof/>
        </w:rPr>
        <w:fldChar w:fldCharType="separate"/>
      </w:r>
      <w:r>
        <w:rPr>
          <w:noProof/>
        </w:rPr>
        <w:t>18</w:t>
      </w:r>
      <w:r>
        <w:rPr>
          <w:noProof/>
        </w:rPr>
        <w:fldChar w:fldCharType="end"/>
      </w:r>
    </w:p>
    <w:p w:rsidR="002346B0" w:rsidRPr="001B2DC2" w:rsidRDefault="00F72F11" w:rsidP="00C23324">
      <w:r w:rsidRPr="001B2DC2">
        <w:rPr>
          <w:b/>
        </w:rPr>
        <w:fldChar w:fldCharType="end"/>
      </w:r>
    </w:p>
    <w:p w:rsidR="00793EA9" w:rsidRPr="001B2DC2" w:rsidRDefault="00F72F11">
      <w:pPr>
        <w:pStyle w:val="PageHeading"/>
      </w:pPr>
      <w:r w:rsidRPr="001B2DC2">
        <w:br w:type="page"/>
      </w:r>
      <w:r w:rsidRPr="001B2DC2">
        <w:br w:type="page"/>
      </w:r>
      <w:bookmarkStart w:id="0" w:name="_Toc60927379"/>
      <w:r w:rsidRPr="001B2DC2">
        <w:t>OSNUTEK ZAKONODAJNE RESOLUCIJE EVROPSKEGA PARLAMENTA</w:t>
      </w:r>
      <w:bookmarkEnd w:id="0"/>
    </w:p>
    <w:p w:rsidR="00793EA9" w:rsidRPr="001B2DC2" w:rsidRDefault="00F72F11">
      <w:pPr>
        <w:pStyle w:val="NormalBold"/>
      </w:pPr>
      <w:r w:rsidRPr="001B2DC2">
        <w:t>o predlogu uredbe Evropskega parlamenta in Sveta o spremembi Uredbe (EU) 2018/1139 glede zmožnosti Agencije Evropske unije za varnost v letalstvu, da deluje kot organ za oceno uspešnosti za enotno evropsko nebo</w:t>
      </w:r>
    </w:p>
    <w:p w:rsidR="00793EA9" w:rsidRPr="001B2DC2" w:rsidRDefault="00F72F11">
      <w:pPr>
        <w:pStyle w:val="NormalBold12a"/>
      </w:pPr>
      <w:r w:rsidRPr="001B2DC2">
        <w:t>(COM(2020)0577 – C9</w:t>
      </w:r>
      <w:r w:rsidRPr="001B2DC2">
        <w:noBreakHyphen/>
        <w:t>0300/2020 – 2020/0264(COD))</w:t>
      </w:r>
    </w:p>
    <w:p w:rsidR="00793EA9" w:rsidRPr="001B2DC2" w:rsidRDefault="00F72F11" w:rsidP="00A910C9">
      <w:pPr>
        <w:pStyle w:val="NormalBold"/>
      </w:pPr>
      <w:r w:rsidRPr="001B2DC2">
        <w:t>(Redni zakonodajni postopek: prva obravnava)</w:t>
      </w:r>
    </w:p>
    <w:p w:rsidR="00793EA9" w:rsidRPr="001B2DC2" w:rsidRDefault="00F72F11" w:rsidP="00A910C9">
      <w:pPr>
        <w:pStyle w:val="EPComma"/>
      </w:pPr>
      <w:r w:rsidRPr="001B2DC2">
        <w:rPr>
          <w:i/>
        </w:rPr>
        <w:t>Evropski parlament</w:t>
      </w:r>
      <w:r w:rsidRPr="001B2DC2">
        <w:t>,</w:t>
      </w:r>
    </w:p>
    <w:p w:rsidR="00793EA9" w:rsidRPr="001B2DC2" w:rsidRDefault="00F72F11">
      <w:pPr>
        <w:pStyle w:val="NormalHanging12a"/>
      </w:pPr>
      <w:r w:rsidRPr="001B2DC2">
        <w:t>–</w:t>
      </w:r>
      <w:r w:rsidRPr="001B2DC2">
        <w:tab/>
        <w:t>ob upoštevanju predloga Komisije Evropskemu parlamentu in Svetu (COM(2020)0577),</w:t>
      </w:r>
    </w:p>
    <w:p w:rsidR="00793EA9" w:rsidRPr="001B2DC2" w:rsidRDefault="00F72F11">
      <w:pPr>
        <w:pStyle w:val="NormalHanging12a"/>
      </w:pPr>
      <w:r w:rsidRPr="001B2DC2">
        <w:t>–</w:t>
      </w:r>
      <w:r w:rsidRPr="001B2DC2">
        <w:tab/>
        <w:t>ob upoštevanju člena 294(2) in člena 100(2) Pogodbe o delovanju Evropske unije, na podlagi katerih je Komisija predložila predlog Parlamentu (C9</w:t>
      </w:r>
      <w:r w:rsidRPr="001B2DC2">
        <w:noBreakHyphen/>
        <w:t>0300/2020),</w:t>
      </w:r>
    </w:p>
    <w:p w:rsidR="00A26F46" w:rsidRPr="001B2DC2" w:rsidRDefault="00F72F11" w:rsidP="00A26F46">
      <w:pPr>
        <w:pStyle w:val="NormalHanging12a"/>
      </w:pPr>
      <w:r w:rsidRPr="001B2DC2">
        <w:t>–</w:t>
      </w:r>
      <w:r w:rsidRPr="001B2DC2">
        <w:tab/>
        <w:t>ob upoštevanju člena 294(3) Pogodbe o delovanju Evropske unije,</w:t>
      </w:r>
    </w:p>
    <w:p w:rsidR="00507F5E" w:rsidRPr="001B2DC2" w:rsidRDefault="00F72F11" w:rsidP="00507F5E">
      <w:pPr>
        <w:pStyle w:val="NormalHanging12a"/>
        <w:rPr>
          <w:szCs w:val="24"/>
        </w:rPr>
      </w:pPr>
      <w:r w:rsidRPr="001B2DC2">
        <w:t>–</w:t>
      </w:r>
      <w:r w:rsidRPr="001B2DC2">
        <w:tab/>
        <w:t>ob upoštevanju mnenja Evropskega ekonomsko-socialnega odbora,</w:t>
      </w:r>
    </w:p>
    <w:p w:rsidR="00507F5E" w:rsidRPr="001B2DC2" w:rsidRDefault="00F72F11" w:rsidP="00507F5E">
      <w:pPr>
        <w:pStyle w:val="NormalHanging12a"/>
      </w:pPr>
      <w:r w:rsidRPr="001B2DC2">
        <w:t>–</w:t>
      </w:r>
      <w:r w:rsidRPr="001B2DC2">
        <w:tab/>
        <w:t>ob upoštevanju mnenja Odbora regij,</w:t>
      </w:r>
    </w:p>
    <w:p w:rsidR="00507F5E" w:rsidRPr="001B2DC2" w:rsidRDefault="00F72F11" w:rsidP="00507F5E">
      <w:pPr>
        <w:pStyle w:val="NormalHanging12a"/>
      </w:pPr>
      <w:r w:rsidRPr="001B2DC2">
        <w:t>–</w:t>
      </w:r>
      <w:r w:rsidRPr="001B2DC2">
        <w:tab/>
        <w:t>ob upoštevanju člena 59 Poslovnika,</w:t>
      </w:r>
    </w:p>
    <w:p w:rsidR="00507F5E" w:rsidRPr="001B2DC2" w:rsidRDefault="00F72F11" w:rsidP="006A2F5D">
      <w:pPr>
        <w:pStyle w:val="NormalHanging12a"/>
      </w:pPr>
      <w:r w:rsidRPr="001B2DC2">
        <w:t>–</w:t>
      </w:r>
      <w:r w:rsidRPr="001B2DC2">
        <w:tab/>
        <w:t>ob upoštevanju poročila Odbora za promet in turizem (A9</w:t>
      </w:r>
      <w:r w:rsidRPr="001B2DC2">
        <w:noBreakHyphen/>
        <w:t>0000/2020),</w:t>
      </w:r>
    </w:p>
    <w:p w:rsidR="009F6C2F" w:rsidRPr="001B2DC2" w:rsidRDefault="00F72F11" w:rsidP="009F6C2F">
      <w:pPr>
        <w:pStyle w:val="NormalHanging12a"/>
      </w:pPr>
      <w:r w:rsidRPr="001B2DC2">
        <w:t>1.</w:t>
      </w:r>
      <w:r w:rsidRPr="001B2DC2">
        <w:tab/>
        <w:t>sprejme stališče v prvi obravnavi, kakor je določeno v nadaljevanju;</w:t>
      </w:r>
    </w:p>
    <w:p w:rsidR="00507F5E" w:rsidRPr="001B2DC2" w:rsidRDefault="00F72F11" w:rsidP="009F6C2F">
      <w:pPr>
        <w:pStyle w:val="NormalHanging12a"/>
        <w:rPr>
          <w:szCs w:val="24"/>
        </w:rPr>
      </w:pPr>
      <w:r w:rsidRPr="001B2DC2">
        <w:t>2.</w:t>
      </w:r>
      <w:r w:rsidRPr="001B2DC2">
        <w:tab/>
        <w:t>poziva Komisijo, naj mu zadevo ponovno predloži, če svoj predlog nadomesti, ga bistveno spremeni ali ga namerava bistveno spremeniti;</w:t>
      </w:r>
    </w:p>
    <w:p w:rsidR="00507F5E" w:rsidRPr="001B2DC2" w:rsidRDefault="00F72F11" w:rsidP="009F6C2F">
      <w:pPr>
        <w:pStyle w:val="NormalHanging12a"/>
      </w:pPr>
      <w:r w:rsidRPr="001B2DC2">
        <w:t>3.</w:t>
      </w:r>
      <w:r w:rsidRPr="001B2DC2">
        <w:tab/>
        <w:t>naroči svojemu predsedniku, naj stališče Parlamenta posreduje Svetu in Komisiji ter nacionalnim parlamentom.</w:t>
      </w:r>
    </w:p>
    <w:p w:rsidR="0039538A" w:rsidRPr="001B2DC2" w:rsidRDefault="00F72F11" w:rsidP="0039538A">
      <w:pPr>
        <w:pStyle w:val="AMNumberTabs0"/>
        <w:keepNext/>
      </w:pPr>
      <w:r w:rsidRPr="001B2DC2">
        <w:rPr>
          <w:rStyle w:val="HideTWBExt"/>
          <w:b w:val="0"/>
          <w:noProof w:val="0"/>
        </w:rPr>
        <w:t>&lt;RepeatBlock-Amend&gt;&lt;Amend&gt;</w:t>
      </w:r>
      <w:r w:rsidRPr="001B2DC2">
        <w:t>Predlog spremembe</w:t>
      </w:r>
      <w:r w:rsidRPr="001B2DC2">
        <w:tab/>
      </w:r>
      <w:r w:rsidRPr="001B2DC2">
        <w:tab/>
      </w:r>
      <w:r w:rsidRPr="001B2DC2">
        <w:rPr>
          <w:rStyle w:val="HideTWBExt"/>
          <w:b w:val="0"/>
          <w:noProof w:val="0"/>
        </w:rPr>
        <w:t>&lt;NumAm&gt;</w:t>
      </w:r>
      <w:r w:rsidRPr="001B2DC2">
        <w:t>1</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2</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(2)</w:t>
            </w:r>
            <w:r w:rsidRPr="001B2DC2">
              <w:tab/>
              <w:t xml:space="preserve">V skladu s tem ciljem je treba v okviru Agencije vzpostaviti ustrezno in trajno strukturo, ki zagotavlja, da se naloge, dodeljene Agenciji, ki deluje kot organ za oceno uspešnosti, izvajajo s potrebnim strokovnim znanjem ter neodvisno od </w:t>
            </w:r>
            <w:r w:rsidRPr="001B2DC2">
              <w:rPr>
                <w:b/>
                <w:i/>
              </w:rPr>
              <w:t>javnih</w:t>
            </w:r>
            <w:r w:rsidRPr="001B2DC2">
              <w:t xml:space="preserve"> ali zasebnih interesov in da se lahko Agencija v zvezi s tem zanese na </w:t>
            </w:r>
            <w:r w:rsidRPr="001B2DC2">
              <w:rPr>
                <w:b/>
                <w:i/>
              </w:rPr>
              <w:t>namenska</w:t>
            </w:r>
            <w:r w:rsidRPr="001B2DC2">
              <w:t xml:space="preserve"> sredstva.</w:t>
            </w:r>
          </w:p>
        </w:tc>
        <w:tc>
          <w:tcPr>
            <w:tcW w:w="4876" w:type="dxa"/>
            <w:hideMark/>
          </w:tcPr>
          <w:p w:rsidR="0039538A" w:rsidRPr="001B2DC2" w:rsidRDefault="00F72F11" w:rsidP="00A5293B">
            <w:pPr>
              <w:pStyle w:val="Normal6"/>
              <w:rPr>
                <w:szCs w:val="24"/>
              </w:rPr>
            </w:pPr>
            <w:r w:rsidRPr="001B2DC2">
              <w:t>(2)</w:t>
            </w:r>
            <w:r w:rsidRPr="001B2DC2">
              <w:tab/>
              <w:t xml:space="preserve">V skladu s tem ciljem je treba v okviru Agencije vzpostaviti ustrezno in trajno strukturo, ki zagotavlja, da se naloge, dodeljene Agenciji, ki deluje kot organ za oceno uspešnosti, izvajajo s potrebnim strokovnim znanjem ter neodvisno od </w:t>
            </w:r>
            <w:r w:rsidRPr="001B2DC2">
              <w:rPr>
                <w:b/>
                <w:i/>
              </w:rPr>
              <w:t>vladnih</w:t>
            </w:r>
            <w:r w:rsidRPr="001B2DC2">
              <w:t xml:space="preserve"> ali zasebnih interesov in da se lahko Agencija v zvezi s tem zanese na sredstva</w:t>
            </w:r>
            <w:r w:rsidRPr="001B2DC2">
              <w:rPr>
                <w:b/>
                <w:i/>
              </w:rPr>
              <w:t>,</w:t>
            </w:r>
            <w:r w:rsidRPr="001B2DC2">
              <w:t xml:space="preserve"> </w:t>
            </w:r>
            <w:r w:rsidRPr="001B2DC2">
              <w:rPr>
                <w:b/>
                <w:i/>
              </w:rPr>
              <w:t>namenjena posebej za nove naloge, tudi za osebje in strukture</w:t>
            </w:r>
            <w:r w:rsidRPr="001B2DC2">
              <w:t>.</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5</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(5)</w:t>
            </w:r>
            <w:r w:rsidRPr="001B2DC2">
              <w:tab/>
              <w:t xml:space="preserve">V skladu z zgoraj navedenimi načeli bi moral regulativni odbor za oceno uspešnosti </w:t>
            </w:r>
            <w:r w:rsidRPr="001B2DC2">
              <w:rPr>
                <w:b/>
                <w:i/>
              </w:rPr>
              <w:t>delovati neodvisno</w:t>
            </w:r>
            <w:r w:rsidRPr="001B2DC2">
              <w:rPr>
                <w:b/>
              </w:rPr>
              <w:t xml:space="preserve"> </w:t>
            </w:r>
            <w:r w:rsidRPr="001B2DC2">
              <w:t xml:space="preserve">ter od vlade države članice, Komisije </w:t>
            </w:r>
            <w:r w:rsidRPr="001B2DC2">
              <w:rPr>
                <w:b/>
                <w:i/>
              </w:rPr>
              <w:t>ali</w:t>
            </w:r>
            <w:r w:rsidRPr="001B2DC2">
              <w:t xml:space="preserve"> </w:t>
            </w:r>
            <w:r w:rsidRPr="001B2DC2">
              <w:rPr>
                <w:b/>
                <w:i/>
              </w:rPr>
              <w:t>katerega koli drugega javnega</w:t>
            </w:r>
            <w:r w:rsidRPr="001B2DC2">
              <w:t xml:space="preserve"> ali zasebnega subjekta ne bi smel zahtevati navodil ali jih upoštevati ali sprejemati priporočil.</w:t>
            </w:r>
          </w:p>
        </w:tc>
        <w:tc>
          <w:tcPr>
            <w:tcW w:w="4876" w:type="dxa"/>
            <w:hideMark/>
          </w:tcPr>
          <w:p w:rsidR="0039538A" w:rsidRPr="001B2DC2" w:rsidRDefault="00F72F11">
            <w:pPr>
              <w:pStyle w:val="Normal6"/>
              <w:rPr>
                <w:szCs w:val="24"/>
              </w:rPr>
            </w:pPr>
            <w:r w:rsidRPr="001B2DC2">
              <w:t>(5)</w:t>
            </w:r>
            <w:r w:rsidRPr="001B2DC2">
              <w:tab/>
              <w:t xml:space="preserve">V skladu z zgoraj navedenimi načeli bi moral </w:t>
            </w:r>
            <w:r w:rsidRPr="001B2DC2">
              <w:rPr>
                <w:b/>
                <w:i/>
              </w:rPr>
              <w:t>biti</w:t>
            </w:r>
            <w:r w:rsidRPr="001B2DC2">
              <w:t xml:space="preserve"> regulativni odbor za oceno uspešnosti </w:t>
            </w:r>
            <w:r w:rsidRPr="001B2DC2">
              <w:rPr>
                <w:b/>
                <w:i/>
              </w:rPr>
              <w:t>neodvisen</w:t>
            </w:r>
            <w:r w:rsidRPr="001B2DC2">
              <w:t xml:space="preserve"> ter od vlade države članice, Komisije</w:t>
            </w:r>
            <w:r w:rsidRPr="001B2DC2">
              <w:rPr>
                <w:b/>
                <w:i/>
              </w:rPr>
              <w:t>,</w:t>
            </w:r>
            <w:r w:rsidRPr="001B2DC2">
              <w:t xml:space="preserve"> </w:t>
            </w:r>
            <w:r w:rsidRPr="001B2DC2">
              <w:rPr>
                <w:b/>
                <w:i/>
              </w:rPr>
              <w:t>Agencije Evropske unije za varnost v letalstvu</w:t>
            </w:r>
            <w:r w:rsidRPr="001B2DC2">
              <w:t xml:space="preserve"> ali zasebnega subjekta ne bi smel zahtevati navodil ali jih upoštevati ali sprejemati priporočil.</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3</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8</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(8)</w:t>
            </w:r>
            <w:r w:rsidRPr="001B2DC2">
              <w:tab/>
              <w:t>Sodelovanje med nacionalnimi nadzornimi organi na področju ocene uspešnosti je pomembno za zagotovitev nemotenega izvajanja prava Unije na tem področju in bi ga bilo zato treba spodbujati, in sicer z ustanovitvijo svetovalnega odbora za oceno uspešnosti.</w:t>
            </w:r>
          </w:p>
        </w:tc>
        <w:tc>
          <w:tcPr>
            <w:tcW w:w="4876" w:type="dxa"/>
            <w:hideMark/>
          </w:tcPr>
          <w:p w:rsidR="0039538A" w:rsidRPr="001B2DC2" w:rsidRDefault="00F72F11">
            <w:pPr>
              <w:pStyle w:val="Normal6"/>
              <w:rPr>
                <w:szCs w:val="24"/>
              </w:rPr>
            </w:pPr>
            <w:r w:rsidRPr="001B2DC2">
              <w:t>(8)</w:t>
            </w:r>
            <w:r w:rsidRPr="001B2DC2">
              <w:tab/>
              <w:t>Sodelovanje med nacionalnimi nadzornimi organi na področju ocene uspešnosti je pomembno za zagotovitev nemotenega izvajanja prava Unije na tem področju in bi ga bilo zato treba spodbujati, in sicer z ustanovitvijo svetovalnega odbora za oceno uspešnosti</w:t>
            </w:r>
            <w:r w:rsidRPr="001B2DC2">
              <w:rPr>
                <w:b/>
                <w:i/>
              </w:rPr>
              <w:t>,</w:t>
            </w:r>
            <w:r w:rsidRPr="001B2DC2">
              <w:t xml:space="preserve"> </w:t>
            </w:r>
            <w:r w:rsidRPr="001B2DC2">
              <w:rPr>
                <w:b/>
                <w:i/>
              </w:rPr>
              <w:t>ki bi moral zagotoviti več sinergij med akterji in deležniki</w:t>
            </w:r>
            <w:r w:rsidRPr="001B2DC2">
              <w:t>.</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4</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9</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(9)</w:t>
            </w:r>
            <w:r w:rsidRPr="001B2DC2">
              <w:tab/>
              <w:t>Na področjih, na katerih ima Agencija, ki deluje kot organ za oceno uspešnosti, pooblastila za sprejemanje odločitev, bi morale imeti zainteresirane strani zaradi ekonomičnosti postopka pravico do pritožbe pri pritožbenem odboru za oceno uspešnosti, ki bi moral biti del Agencije, ki deluje kot organ za oceno uspešnosti, vendar neodvisen od</w:t>
            </w:r>
            <w:r w:rsidRPr="001B2DC2">
              <w:rPr>
                <w:b/>
                <w:i/>
              </w:rPr>
              <w:t xml:space="preserve"> njene upravne in regulativne strukture</w:t>
            </w:r>
            <w:r w:rsidRPr="001B2DC2">
              <w:t>.</w:t>
            </w:r>
          </w:p>
        </w:tc>
        <w:tc>
          <w:tcPr>
            <w:tcW w:w="4876" w:type="dxa"/>
            <w:hideMark/>
          </w:tcPr>
          <w:p w:rsidR="0039538A" w:rsidRPr="001B2DC2" w:rsidRDefault="00F72F11">
            <w:pPr>
              <w:pStyle w:val="Normal6"/>
              <w:rPr>
                <w:szCs w:val="24"/>
              </w:rPr>
            </w:pPr>
            <w:r w:rsidRPr="001B2DC2">
              <w:t>(9)</w:t>
            </w:r>
            <w:r w:rsidRPr="001B2DC2">
              <w:tab/>
              <w:t xml:space="preserve">Na področjih, na katerih ima Agencija, ki deluje kot organ za oceno uspešnosti, pooblastila za sprejemanje odločitev, bi morale imeti zainteresirane strani zaradi ekonomičnosti postopka pravico do pritožbe pri pritožbenem odboru za oceno uspešnosti, ki bi moral biti del Agencije, ki deluje kot organ za oceno uspešnosti, vendar neodvisen od </w:t>
            </w:r>
            <w:r w:rsidRPr="001B2DC2">
              <w:rPr>
                <w:b/>
                <w:i/>
              </w:rPr>
              <w:t>nje</w:t>
            </w:r>
            <w:r w:rsidRPr="001B2DC2">
              <w:t>.</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5</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14</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(14)</w:t>
            </w:r>
            <w:r w:rsidRPr="001B2DC2">
              <w:tab/>
              <w:t xml:space="preserve">Stroški za vzpostavitev Agencije, ki deluje kot organ za oceno uspešnosti, </w:t>
            </w:r>
            <w:r w:rsidRPr="001B2DC2">
              <w:rPr>
                <w:b/>
                <w:i/>
              </w:rPr>
              <w:t>so kratkoročni in</w:t>
            </w:r>
            <w:r w:rsidRPr="001B2DC2">
              <w:rPr>
                <w:b/>
              </w:rPr>
              <w:t xml:space="preserve"> </w:t>
            </w:r>
            <w:r w:rsidRPr="001B2DC2">
              <w:t xml:space="preserve">omejeni na nekaj dejavnosti, kot so zaposlovanje, usposabljanje in potrebna oprema IT, </w:t>
            </w:r>
            <w:r w:rsidRPr="001B2DC2">
              <w:rPr>
                <w:b/>
                <w:i/>
              </w:rPr>
              <w:t>ter</w:t>
            </w:r>
            <w:r w:rsidRPr="001B2DC2">
              <w:t xml:space="preserve"> </w:t>
            </w:r>
            <w:r w:rsidRPr="001B2DC2">
              <w:rPr>
                <w:b/>
                <w:i/>
              </w:rPr>
              <w:t>potrebni</w:t>
            </w:r>
            <w:r w:rsidRPr="001B2DC2">
              <w:t xml:space="preserve"> za vzpostavitev nadzora, ki se zahteva zaradi opisanih razlogov.</w:t>
            </w:r>
          </w:p>
        </w:tc>
        <w:tc>
          <w:tcPr>
            <w:tcW w:w="4876" w:type="dxa"/>
            <w:hideMark/>
          </w:tcPr>
          <w:p w:rsidR="0039538A" w:rsidRPr="001B2DC2" w:rsidRDefault="00F72F11">
            <w:pPr>
              <w:pStyle w:val="Normal6"/>
              <w:rPr>
                <w:szCs w:val="24"/>
              </w:rPr>
            </w:pPr>
            <w:r w:rsidRPr="001B2DC2">
              <w:t>(14)</w:t>
            </w:r>
            <w:r w:rsidRPr="001B2DC2">
              <w:tab/>
              <w:t xml:space="preserve">Stroški za vzpostavitev Agencije, ki deluje kot organ za oceno uspešnosti, </w:t>
            </w:r>
            <w:r w:rsidRPr="001B2DC2">
              <w:rPr>
                <w:b/>
                <w:i/>
              </w:rPr>
              <w:t>ne bi smeli biti</w:t>
            </w:r>
            <w:r w:rsidRPr="001B2DC2">
              <w:t xml:space="preserve"> omejeni na nekaj dejavnosti, kot so zaposlovanje, usposabljanje in potrebna oprema IT, </w:t>
            </w:r>
            <w:r w:rsidRPr="001B2DC2">
              <w:rPr>
                <w:b/>
                <w:i/>
              </w:rPr>
              <w:t>temveč bi morali vključevati vse</w:t>
            </w:r>
            <w:r w:rsidRPr="001B2DC2">
              <w:t xml:space="preserve"> </w:t>
            </w:r>
            <w:r w:rsidRPr="001B2DC2">
              <w:rPr>
                <w:b/>
                <w:i/>
              </w:rPr>
              <w:t>potrebne ukrepe in odhodke</w:t>
            </w:r>
            <w:r w:rsidRPr="001B2DC2">
              <w:t xml:space="preserve"> za vzpostavitev nadzora, ki se zahteva zaradi opisanih razlogov.</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6</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15</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(15)</w:t>
            </w:r>
            <w:r w:rsidRPr="001B2DC2">
              <w:tab/>
              <w:t>Navedene stroške bi morali pet proračunskih let kriti</w:t>
            </w:r>
            <w:r w:rsidRPr="001B2DC2">
              <w:rPr>
                <w:b/>
                <w:i/>
              </w:rPr>
              <w:t xml:space="preserve"> določeni izvajalci služb zračnega prometa, in sicer v obliki pošteno in nediskriminatorno izračunanih letnih prispevkov</w:t>
            </w:r>
            <w:r w:rsidRPr="001B2DC2">
              <w:t>.</w:t>
            </w:r>
            <w:r w:rsidRPr="001B2DC2">
              <w:rPr>
                <w:b/>
                <w:i/>
              </w:rPr>
              <w:t xml:space="preserve"> Posamezne prispevke določenih izvajalcev služb zračnega prometa bi bilo treba določiti glede na njihovo velikost, da bi se tako pokazal njihov pomen pri izvajanju služb zračnega prometa v Evropi in posledično koristi, ki jih imajo od nadzorovane dejavnosti.</w:t>
            </w:r>
            <w:r w:rsidRPr="001B2DC2">
              <w:t xml:space="preserve"> </w:t>
            </w:r>
            <w:r w:rsidRPr="001B2DC2">
              <w:rPr>
                <w:b/>
                <w:i/>
              </w:rPr>
              <w:t>Konkretno, take prispevke bi bilo treba izračunati na podlagi dejanske višine prihodkov iz izvajanja storitev navigacijskih služb zračnega prometa v referenčnem obdobju pred referenčnim obdobjem, v katerem je začela veljati ta uredba.</w:t>
            </w:r>
          </w:p>
        </w:tc>
        <w:tc>
          <w:tcPr>
            <w:tcW w:w="4876" w:type="dxa"/>
            <w:hideMark/>
          </w:tcPr>
          <w:p w:rsidR="0039538A" w:rsidRPr="001B2DC2" w:rsidRDefault="00F72F11">
            <w:pPr>
              <w:pStyle w:val="Normal6"/>
              <w:rPr>
                <w:szCs w:val="24"/>
              </w:rPr>
            </w:pPr>
            <w:r w:rsidRPr="001B2DC2">
              <w:t>(15)</w:t>
            </w:r>
            <w:r w:rsidRPr="001B2DC2">
              <w:tab/>
              <w:t xml:space="preserve">Navedene stroške bi morali pet proračunskih let kriti </w:t>
            </w:r>
            <w:r w:rsidRPr="001B2DC2">
              <w:rPr>
                <w:b/>
                <w:i/>
              </w:rPr>
              <w:t>s finančnim prispevkom Unije</w:t>
            </w:r>
            <w:r w:rsidRPr="001B2DC2">
              <w:t>.</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7</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16</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(16)</w:t>
            </w:r>
            <w:r w:rsidRPr="001B2DC2">
              <w:rPr>
                <w:b/>
                <w:i/>
              </w:rPr>
              <w:tab/>
              <w:t>Za vzpostavitev enotnih pravil glede izračuna letnih prispevkov, zlasti metodologije za dodelitev ocenjenih odhodkov kategorijam določenih izvajalcev služb zračnega prometa in meril za določitev višine posameznih prispevkov glede na velikost bi bilo treba Komisiji podeliti izvedbena pooblastila. Navedena pooblastila bi bilo treba izvajati v skladu z Uredbo (EU) št. 182/2011 Evropskega parlamenta in Sveta</w:t>
            </w:r>
            <w:r w:rsidRPr="001B2DC2">
              <w:rPr>
                <w:b/>
                <w:i/>
                <w:vertAlign w:val="superscript"/>
              </w:rPr>
              <w:t>3</w:t>
            </w:r>
            <w:r w:rsidRPr="001B2DC2">
              <w:rPr>
                <w:b/>
                <w:i/>
              </w:rPr>
              <w:t>.</w:t>
            </w:r>
          </w:p>
        </w:tc>
        <w:tc>
          <w:tcPr>
            <w:tcW w:w="4876" w:type="dxa"/>
            <w:hideMark/>
          </w:tcPr>
          <w:p w:rsidR="0039538A" w:rsidRPr="001B2DC2" w:rsidRDefault="00F72F11">
            <w:pPr>
              <w:pStyle w:val="Normal6"/>
              <w:rPr>
                <w:szCs w:val="24"/>
              </w:rPr>
            </w:pPr>
            <w:r w:rsidRPr="001B2DC2">
              <w:rPr>
                <w:b/>
                <w:i/>
              </w:rPr>
              <w:t>črtano</w:t>
            </w:r>
          </w:p>
        </w:tc>
      </w:tr>
      <w:tr w:rsidR="001553A4" w:rsidRPr="001B2DC2" w:rsidTr="0039538A">
        <w:trPr>
          <w:jc w:val="center"/>
        </w:trPr>
        <w:tc>
          <w:tcPr>
            <w:tcW w:w="4876" w:type="dxa"/>
            <w:hideMark/>
          </w:tcPr>
          <w:p w:rsidR="0039538A" w:rsidRPr="001B2DC2" w:rsidRDefault="00F72F11">
            <w:pPr>
              <w:pStyle w:val="Normal6"/>
            </w:pPr>
            <w:r w:rsidRPr="001B2DC2">
              <w:rPr>
                <w:b/>
                <w:i/>
              </w:rPr>
              <w:t>__________________</w:t>
            </w:r>
          </w:p>
        </w:tc>
        <w:tc>
          <w:tcPr>
            <w:tcW w:w="4876" w:type="dxa"/>
          </w:tcPr>
          <w:p w:rsidR="0039538A" w:rsidRPr="001B2DC2" w:rsidRDefault="0039538A">
            <w:pPr>
              <w:pStyle w:val="Normal6"/>
              <w:rPr>
                <w:szCs w:val="24"/>
              </w:rPr>
            </w:pPr>
          </w:p>
        </w:tc>
      </w:tr>
      <w:tr w:rsidR="001553A4" w:rsidRPr="001B2DC2" w:rsidTr="0039538A">
        <w:trPr>
          <w:jc w:val="center"/>
        </w:trPr>
        <w:tc>
          <w:tcPr>
            <w:tcW w:w="4876" w:type="dxa"/>
            <w:hideMark/>
          </w:tcPr>
          <w:p w:rsidR="0039538A" w:rsidRPr="001B2DC2" w:rsidRDefault="00F72F11">
            <w:pPr>
              <w:pStyle w:val="Normal6"/>
            </w:pPr>
            <w:r w:rsidRPr="001B2DC2">
              <w:rPr>
                <w:b/>
                <w:i/>
                <w:vertAlign w:val="superscript"/>
              </w:rPr>
              <w:t>3</w:t>
            </w:r>
            <w:r w:rsidRPr="001B2DC2">
              <w:rPr>
                <w:b/>
                <w:i/>
              </w:rPr>
              <w:t xml:space="preserve"> 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39538A" w:rsidRPr="001B2DC2" w:rsidRDefault="0039538A">
            <w:pPr>
              <w:pStyle w:val="Normal6"/>
              <w:rPr>
                <w:szCs w:val="24"/>
              </w:rPr>
            </w:pP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8</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Uvodna izjava 17</w:t>
      </w:r>
      <w:r w:rsidRPr="001B2D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(17)</w:t>
            </w:r>
            <w:r w:rsidRPr="001B2DC2">
              <w:tab/>
              <w:t xml:space="preserve">Tekoči stroški se nanašajo na stroške dejavnosti, ki jih izvaja Agencija, ki deluje kot organ za oceno uspešnosti, v okviru programa uspešnosti in ureditve pristojbin po uspešno vzpostavljenem izvajanju teh dejavnosti. Tekoče stroške Agencije, ki deluje kot organ za oceno uspešnosti, bi morali </w:t>
            </w:r>
            <w:r w:rsidRPr="001B2DC2">
              <w:rPr>
                <w:b/>
                <w:i/>
              </w:rPr>
              <w:t>enakovredno</w:t>
            </w:r>
            <w:r w:rsidRPr="001B2DC2">
              <w:t xml:space="preserve"> financirati določeni izvajalci služb zračnega prometa. Vendar bi moralo financiranje temeljiti na pristojbinah in dajatvah zaradi posegov, potrebnih za uporabo programa uspešnosti in ureditve pristojbin. Za to vrsto financiranja se lahko tudi pričakuje, da bo povečala avtonomijo in neodvisnost Agencije, ki deluje kot organ za oceno uspešnosti.</w:t>
            </w:r>
          </w:p>
        </w:tc>
        <w:tc>
          <w:tcPr>
            <w:tcW w:w="4876" w:type="dxa"/>
            <w:hideMark/>
          </w:tcPr>
          <w:p w:rsidR="0039538A" w:rsidRPr="001B2DC2" w:rsidRDefault="00F72F11">
            <w:pPr>
              <w:pStyle w:val="Normal6"/>
              <w:rPr>
                <w:szCs w:val="24"/>
              </w:rPr>
            </w:pPr>
            <w:r w:rsidRPr="001B2DC2">
              <w:t>(17)</w:t>
            </w:r>
            <w:r w:rsidRPr="001B2DC2">
              <w:tab/>
              <w:t>Tekoči stroški se nanašajo na stroške dejavnosti, ki jih izvaja Agencija, ki deluje kot organ za oceno uspešnosti, v okviru programa uspešnosti in ureditve pristojbin po uspešno vzpostavljenem izvajanju teh dejavnosti. Tekoče stroške Agencije, ki deluje kot organ za oceno uspešnosti, bi morali financirati določeni izvajalci služb zračnega prometa. Vendar bi moralo financiranje temeljiti na pristojbinah in dajatvah zaradi posegov, potrebnih za uporabo programa uspešnosti in ureditve pristojbin. Za to vrsto financiranja se lahko tudi pričakuje, da bo povečala avtonomijo in neodvisnost Agencije, ki deluje kot organ za oceno uspešnosti.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9</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4 – točka a – točka ii</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98 – odstavek 2 – točka l</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(l)</w:t>
            </w:r>
            <w:r w:rsidRPr="001B2DC2">
              <w:tab/>
              <w:t xml:space="preserve">sprejema odločitve o vzpostavitvi notranjih struktur Agencije na ravni direktorjev in po potrebi njihovih spremembah, pri čemer sta v primeru </w:t>
            </w:r>
            <w:r w:rsidRPr="001B2DC2">
              <w:rPr>
                <w:b/>
                <w:i/>
              </w:rPr>
              <w:t>notranjih</w:t>
            </w:r>
            <w:r w:rsidRPr="001B2DC2">
              <w:t xml:space="preserve"> struktur v zvezi z oceno uspešnosti potrebna ustrezna zahteva direktorja za oceno uspešnosti ter pozitivno mnenje regulativnega odbora za oceno uspešnosti. Nobena taka odločitev</w:t>
            </w:r>
            <w:r w:rsidRPr="001B2DC2">
              <w:rPr>
                <w:b/>
                <w:i/>
              </w:rPr>
              <w:t xml:space="preserve"> ne vpliva</w:t>
            </w:r>
            <w:r w:rsidRPr="001B2DC2">
              <w:rPr>
                <w:b/>
              </w:rPr>
              <w:t xml:space="preserve"> </w:t>
            </w:r>
            <w:r w:rsidRPr="001B2DC2">
              <w:rPr>
                <w:b/>
                <w:i/>
              </w:rPr>
              <w:t>na</w:t>
            </w:r>
            <w:r w:rsidRPr="001B2DC2">
              <w:t xml:space="preserve"> ločevanje med regulativnim odborom za oceno uspešnosti, direktorjem za oceno uspešnosti, svetovalnim odborom za oceno uspešnosti</w:t>
            </w:r>
            <w:r w:rsidRPr="001B2DC2">
              <w:rPr>
                <w:b/>
                <w:i/>
              </w:rPr>
              <w:t>, pritožbenim odborom za oceno uspešnosti</w:t>
            </w:r>
            <w:r w:rsidRPr="001B2DC2">
              <w:t xml:space="preserve"> in osebjem v Agenciji, ki deluje kot organ za oceno uspešnosti, na eni strani ter drugimi organi in nosilci funkcij v Agenciji na drugi strani;</w:t>
            </w:r>
          </w:p>
        </w:tc>
        <w:tc>
          <w:tcPr>
            <w:tcW w:w="4876" w:type="dxa"/>
            <w:hideMark/>
          </w:tcPr>
          <w:p w:rsidR="0039538A" w:rsidRPr="001B2DC2" w:rsidRDefault="00F72F11">
            <w:pPr>
              <w:pStyle w:val="Normal6"/>
              <w:rPr>
                <w:szCs w:val="24"/>
              </w:rPr>
            </w:pPr>
            <w:r w:rsidRPr="001B2DC2">
              <w:t>(l)</w:t>
            </w:r>
            <w:r w:rsidRPr="001B2DC2">
              <w:tab/>
              <w:t xml:space="preserve">sprejema odločitve o vzpostavitvi notranjih struktur Agencije na ravni direktorjev in po potrebi njihovih spremembah, pri čemer sta v primeru </w:t>
            </w:r>
            <w:r w:rsidRPr="001B2DC2">
              <w:rPr>
                <w:b/>
                <w:i/>
              </w:rPr>
              <w:t>namenskih</w:t>
            </w:r>
            <w:r w:rsidRPr="001B2DC2">
              <w:t xml:space="preserve"> struktur v zvezi z oceno uspešnosti potrebna ustrezna zahteva direktorja za oceno uspešnosti ter pozitivno mnenje regulativnega odbora za oceno uspešnosti. Vsaka taka odločitev </w:t>
            </w:r>
            <w:r w:rsidRPr="001B2DC2">
              <w:rPr>
                <w:b/>
                <w:i/>
              </w:rPr>
              <w:t>zagotavlja</w:t>
            </w:r>
            <w:r w:rsidRPr="001B2DC2">
              <w:t xml:space="preserve"> ločevanje med regulativnim odborom za oceno uspešnosti, direktorjem za oceno uspešnosti, svetovalnim odborom za oceno uspešnosti in osebjem</w:t>
            </w:r>
            <w:r w:rsidRPr="001B2DC2">
              <w:rPr>
                <w:b/>
                <w:i/>
              </w:rPr>
              <w:t>,</w:t>
            </w:r>
            <w:r w:rsidRPr="001B2DC2">
              <w:t xml:space="preserve"> </w:t>
            </w:r>
            <w:r w:rsidRPr="001B2DC2">
              <w:rPr>
                <w:b/>
                <w:i/>
              </w:rPr>
              <w:t>zaposlenim izključno</w:t>
            </w:r>
            <w:r w:rsidRPr="001B2DC2">
              <w:t xml:space="preserve"> v Agenciji, ki deluje kot organ za oceno uspešnosti, na eni strani ter drugimi organi in nosilci funkcij v Agenciji na drugi strani;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10</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4 – točka a – točka iii</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98 – odstavek 2 – točka o</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(o)</w:t>
            </w:r>
            <w:r w:rsidRPr="001B2DC2">
              <w:tab/>
              <w:t xml:space="preserve">sprejme pravila za preprečevanje in obvladovanje nasprotij interesov pri svojih članih in članih odbora za pritožbe, članih regulativnega odbora za oceno uspešnosti, članih svetovalnega odbora za oceno uspešnosti </w:t>
            </w:r>
            <w:r w:rsidRPr="001B2DC2">
              <w:rPr>
                <w:b/>
                <w:i/>
              </w:rPr>
              <w:t>in članih pritožbenega odbora za oceno uspešnosti</w:t>
            </w:r>
            <w:r w:rsidRPr="001B2DC2">
              <w:t>;</w:t>
            </w:r>
          </w:p>
        </w:tc>
        <w:tc>
          <w:tcPr>
            <w:tcW w:w="4876" w:type="dxa"/>
            <w:hideMark/>
          </w:tcPr>
          <w:p w:rsidR="0039538A" w:rsidRPr="001B2DC2" w:rsidRDefault="00F72F11">
            <w:pPr>
              <w:pStyle w:val="Normal6"/>
              <w:rPr>
                <w:szCs w:val="24"/>
              </w:rPr>
            </w:pPr>
            <w:r w:rsidRPr="001B2DC2">
              <w:t>(o)</w:t>
            </w:r>
            <w:r w:rsidRPr="001B2DC2">
              <w:tab/>
              <w:t>sprejme pravila za preprečevanje in obvladovanje nasprotij interesov pri svojih članih in članih odbora za pritožbe, članih regulativnega odbora za oceno uspešnosti, članih svetovalnega odbora za oceno uspešnosti;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11</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4 – točka b</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98 – odstavek 2 a – točka c</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(c)</w:t>
            </w:r>
            <w:r w:rsidRPr="001B2DC2">
              <w:rPr>
                <w:b/>
                <w:i/>
              </w:rPr>
              <w:tab/>
              <w:t>po posvetovanju z regulativnim odborom za oceno uspešnosti imenuje člane pritožbenega odbora za oceno uspešnosti v skladu s členom 114l;</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12</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8 – točka b – točka v</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104 – odstavek 3 – točka u</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(u)</w:t>
            </w:r>
            <w:r w:rsidRPr="001B2DC2">
              <w:tab/>
              <w:t xml:space="preserve">sprejemanje odločitev o vzpostavitvi notranjih struktur Agencije in po potrebi o spremembah teh struktur, z izjemo tistih na ravni direktorjev, ki jih bo odobril upravni odbor, in razen odločitev glede notranjih struktur v zvezi z oceno uspešnosti. Odločitve izvršnega direktorja </w:t>
            </w:r>
            <w:r w:rsidRPr="001B2DC2">
              <w:rPr>
                <w:b/>
                <w:i/>
              </w:rPr>
              <w:t>ne vplivajo</w:t>
            </w:r>
            <w:r w:rsidRPr="001B2DC2">
              <w:t xml:space="preserve"> </w:t>
            </w:r>
            <w:r w:rsidRPr="001B2DC2">
              <w:rPr>
                <w:b/>
                <w:i/>
              </w:rPr>
              <w:t>na</w:t>
            </w:r>
            <w:r w:rsidRPr="001B2DC2">
              <w:t xml:space="preserve"> ločevanje med regulativnim odborom za oceno uspešnosti, direktorjem za oceno uspešnosti, svetovalnim odborom za oceno uspešnosti</w:t>
            </w:r>
            <w:r w:rsidRPr="001B2DC2">
              <w:rPr>
                <w:b/>
                <w:i/>
              </w:rPr>
              <w:t>,</w:t>
            </w:r>
            <w:r w:rsidRPr="001B2DC2">
              <w:rPr>
                <w:b/>
              </w:rPr>
              <w:t xml:space="preserve"> </w:t>
            </w:r>
            <w:r w:rsidRPr="001B2DC2">
              <w:rPr>
                <w:b/>
                <w:i/>
              </w:rPr>
              <w:t xml:space="preserve">pritožbenim odborom za oceno uspešnosti </w:t>
            </w:r>
            <w:r w:rsidRPr="001B2DC2">
              <w:t>in osebjem v Agenciji, ki deluje kot organ za oceno uspešnosti, na eni strani ter drugimi organi in nosilci funkcij v Agenciji na drugi strani;</w:t>
            </w:r>
          </w:p>
        </w:tc>
        <w:tc>
          <w:tcPr>
            <w:tcW w:w="4876" w:type="dxa"/>
            <w:hideMark/>
          </w:tcPr>
          <w:p w:rsidR="0039538A" w:rsidRPr="001B2DC2" w:rsidRDefault="00F72F11">
            <w:pPr>
              <w:pStyle w:val="Normal6"/>
              <w:rPr>
                <w:szCs w:val="24"/>
              </w:rPr>
            </w:pPr>
            <w:r w:rsidRPr="001B2DC2">
              <w:t>(u)</w:t>
            </w:r>
            <w:r w:rsidRPr="001B2DC2">
              <w:tab/>
              <w:t xml:space="preserve">sprejemanje odločitev o vzpostavitvi notranjih struktur Agencije in po potrebi o spremembah teh struktur, z izjemo tistih na ravni direktorjev, ki jih bo odobril upravni odbor, in razen odločitev glede notranjih struktur v zvezi z oceno uspešnosti. Odločitve izvršnega direktorja </w:t>
            </w:r>
            <w:r w:rsidRPr="001B2DC2">
              <w:rPr>
                <w:b/>
                <w:i/>
              </w:rPr>
              <w:t>zagotavljajo</w:t>
            </w:r>
            <w:r w:rsidRPr="001B2DC2">
              <w:t xml:space="preserve"> ločevanje med regulativnim odborom za oceno uspešnosti, direktorjem za oceno uspešnosti, svetovalnim odborom za oceno uspešnosti in osebjem</w:t>
            </w:r>
            <w:r w:rsidRPr="001B2DC2">
              <w:rPr>
                <w:b/>
                <w:i/>
              </w:rPr>
              <w:t>,</w:t>
            </w:r>
            <w:r w:rsidRPr="001B2DC2">
              <w:t xml:space="preserve"> </w:t>
            </w:r>
            <w:r w:rsidRPr="001B2DC2">
              <w:rPr>
                <w:b/>
                <w:i/>
              </w:rPr>
              <w:t>zaposlenim izključno</w:t>
            </w:r>
            <w:r w:rsidRPr="001B2DC2">
              <w:t xml:space="preserve"> v Agenciji, ki deluje kot organ za oceno uspešnosti, na eni strani ter drugimi organi in nosilci funkcij v Agenciji na drugi strani;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13</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114a – odstavek 1 – točka d</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(d)</w:t>
            </w:r>
            <w:r w:rsidRPr="001B2DC2">
              <w:rPr>
                <w:b/>
                <w:i/>
              </w:rPr>
              <w:tab/>
              <w:t>pritožbeni odbor za oceno uspešnosti.</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14</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114c – odstavek 2</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2.</w:t>
            </w:r>
            <w:r w:rsidRPr="001B2DC2">
              <w:tab/>
              <w:t>Člane regulativnega odbora za oceno uspešnosti in njihove namestnike po javnem razpisu za prijavo interesa uradno imenuje upravni odbor na predlog Komisije</w:t>
            </w:r>
            <w:r w:rsidRPr="001B2DC2">
              <w:rPr>
                <w:b/>
                <w:i/>
              </w:rPr>
              <w:t xml:space="preserve"> po posvetovanju z Eurocontrolom</w:t>
            </w:r>
            <w:r w:rsidRPr="001B2DC2">
              <w:t>. Člani regulativnega odbora za oceno uspešnosti se imenujejo na podlagi dosežkov ter znanja in izkušenj s področja upravljanja zračnega prometa ali gospodarske ureditve mrežnih gospodarskih panog. Za sprejetje odločitve o imenovanju članov regulativnega odbora za oceno uspešnosti je potreben pozitiven glas predstavnika Komisije v upravnem odboru.</w:t>
            </w:r>
          </w:p>
        </w:tc>
        <w:tc>
          <w:tcPr>
            <w:tcW w:w="4876" w:type="dxa"/>
            <w:hideMark/>
          </w:tcPr>
          <w:p w:rsidR="0039538A" w:rsidRPr="001B2DC2" w:rsidRDefault="00F72F11">
            <w:pPr>
              <w:pStyle w:val="Normal6"/>
              <w:rPr>
                <w:szCs w:val="24"/>
              </w:rPr>
            </w:pPr>
            <w:r w:rsidRPr="001B2DC2">
              <w:t>2.</w:t>
            </w:r>
            <w:r w:rsidRPr="001B2DC2">
              <w:tab/>
              <w:t xml:space="preserve">Člane regulativnega odbora za oceno uspešnosti in njihove namestnike po javnem razpisu za prijavo interesa uradno imenuje upravni odbor na predlog Komisije. Člani regulativnega odbora za oceno uspešnosti se imenujejo na podlagi dosežkov ter znanja in izkušenj s področja upravljanja zračnega prometa ali gospodarske ureditve mrežnih gospodarskih panog. </w:t>
            </w:r>
            <w:r w:rsidRPr="001B2DC2">
              <w:rPr>
                <w:b/>
                <w:i/>
              </w:rPr>
              <w:t>Pri imenovanju se upošteva uravnotežena zastopanost spolov.</w:t>
            </w:r>
            <w:r w:rsidRPr="001B2DC2">
              <w:t xml:space="preserve"> Za sprejetje odločitve o imenovanju članov regulativnega odbora za oceno uspešnosti je potreben pozitiven glas predstavnika Komisije v upravnem odboru.</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15</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114c – odstavek 2</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3.</w:t>
            </w:r>
            <w:r w:rsidRPr="001B2DC2">
              <w:tab/>
              <w:t>Regulativni odbor za oceno uspešnosti pri izvajanju nalog, ki so mu dodeljene s to uredbo,</w:t>
            </w:r>
            <w:r w:rsidRPr="001B2DC2">
              <w:rPr>
                <w:b/>
                <w:i/>
              </w:rPr>
              <w:t xml:space="preserve"> deluje neodvisno</w:t>
            </w:r>
            <w:r w:rsidRPr="001B2DC2">
              <w:t xml:space="preserve"> ter od vlade države članice, Komisije</w:t>
            </w:r>
            <w:r w:rsidRPr="001B2DC2">
              <w:rPr>
                <w:b/>
                <w:i/>
              </w:rPr>
              <w:t xml:space="preserve"> ali katerega koli drugega javnega</w:t>
            </w:r>
            <w:r w:rsidRPr="001B2DC2">
              <w:t xml:space="preserve"> ali zasebnega subjekta ne sme zahtevati navodil ali jih upoštevati.</w:t>
            </w:r>
          </w:p>
        </w:tc>
        <w:tc>
          <w:tcPr>
            <w:tcW w:w="4876" w:type="dxa"/>
            <w:hideMark/>
          </w:tcPr>
          <w:p w:rsidR="0039538A" w:rsidRPr="001B2DC2" w:rsidRDefault="00F72F11">
            <w:pPr>
              <w:pStyle w:val="Normal6"/>
              <w:rPr>
                <w:szCs w:val="24"/>
              </w:rPr>
            </w:pPr>
            <w:r w:rsidRPr="001B2DC2">
              <w:t>3.</w:t>
            </w:r>
            <w:r w:rsidRPr="001B2DC2">
              <w:tab/>
              <w:t xml:space="preserve">Regulativni odbor za oceno uspešnosti </w:t>
            </w:r>
            <w:r w:rsidRPr="001B2DC2">
              <w:rPr>
                <w:b/>
                <w:i/>
              </w:rPr>
              <w:t>je</w:t>
            </w:r>
            <w:r w:rsidRPr="001B2DC2">
              <w:t xml:space="preserve"> pri izvajanju nalog, ki so mu dodeljene s to uredbo, </w:t>
            </w:r>
            <w:r w:rsidRPr="001B2DC2">
              <w:rPr>
                <w:b/>
                <w:i/>
              </w:rPr>
              <w:t>neodvisen</w:t>
            </w:r>
            <w:r w:rsidRPr="001B2DC2">
              <w:t xml:space="preserve"> ter od vlade države članice, Komisije</w:t>
            </w:r>
            <w:r w:rsidRPr="001B2DC2">
              <w:rPr>
                <w:b/>
                <w:i/>
              </w:rPr>
              <w:t>,</w:t>
            </w:r>
            <w:r w:rsidRPr="001B2DC2">
              <w:t xml:space="preserve"> </w:t>
            </w:r>
            <w:r w:rsidRPr="001B2DC2">
              <w:rPr>
                <w:b/>
                <w:i/>
              </w:rPr>
              <w:t>Agencije Evropske unije za varnost v letalstvu</w:t>
            </w:r>
            <w:r w:rsidRPr="001B2DC2">
              <w:t xml:space="preserve"> ali zasebnega subjekta ne sme zahtevati navodil ali jih upoštevati.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16</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114i – odstavek 2</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2.</w:t>
            </w:r>
            <w:r w:rsidRPr="001B2DC2">
              <w:tab/>
              <w:t>Svetovalni odbor za oceno uspešnosti se srečuje v rednih časovnih presledkih, s čimer se zagotovi, da se nacionalni nadzorni organi posvetujejo in sodelujejo v mreži.</w:t>
            </w:r>
          </w:p>
        </w:tc>
        <w:tc>
          <w:tcPr>
            <w:tcW w:w="4876" w:type="dxa"/>
            <w:hideMark/>
          </w:tcPr>
          <w:p w:rsidR="0039538A" w:rsidRPr="001B2DC2" w:rsidRDefault="00F72F11">
            <w:pPr>
              <w:pStyle w:val="Normal6"/>
              <w:rPr>
                <w:szCs w:val="24"/>
              </w:rPr>
            </w:pPr>
            <w:r w:rsidRPr="001B2DC2">
              <w:t>2.</w:t>
            </w:r>
            <w:r w:rsidRPr="001B2DC2">
              <w:tab/>
              <w:t xml:space="preserve">Svetovalni odbor za oceno uspešnosti se srečuje v rednih časovnih presledkih, s čimer se zagotovi, da se nacionalni nadzorni organi posvetujejo in sodelujejo v mreži </w:t>
            </w:r>
            <w:r w:rsidRPr="001B2DC2">
              <w:rPr>
                <w:b/>
                <w:i/>
              </w:rPr>
              <w:t>v sinergiji z deležniki</w:t>
            </w:r>
            <w:r w:rsidRPr="001B2DC2">
              <w:t>.</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17</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114k – odstavek 1 a (novo)</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tcPr>
          <w:p w:rsidR="0039538A" w:rsidRPr="001B2DC2" w:rsidRDefault="0039538A">
            <w:pPr>
              <w:pStyle w:val="Normal6"/>
            </w:pPr>
          </w:p>
        </w:tc>
        <w:tc>
          <w:tcPr>
            <w:tcW w:w="4876" w:type="dxa"/>
            <w:hideMark/>
          </w:tcPr>
          <w:p w:rsidR="0039538A" w:rsidRPr="001B2DC2" w:rsidRDefault="00F72F11">
            <w:pPr>
              <w:pStyle w:val="Normal6"/>
              <w:rPr>
                <w:szCs w:val="24"/>
              </w:rPr>
            </w:pPr>
            <w:r w:rsidRPr="001B2DC2">
              <w:rPr>
                <w:b/>
                <w:i/>
              </w:rPr>
              <w:t>1a.</w:t>
            </w:r>
            <w:r w:rsidRPr="001B2DC2">
              <w:rPr>
                <w:b/>
                <w:i/>
              </w:rPr>
              <w:tab/>
              <w:t>Pritožbeni odbor za oceno uspešnosti je neodvisen od Agencije, ki deluje kot organ za oceno uspešnosti.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18</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114l – odstavek 2</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2.</w:t>
            </w:r>
            <w:r w:rsidRPr="001B2DC2">
              <w:tab/>
              <w:t>Člane pritožbenega odbora za oceno uspešnosti po javnem razpisu za prijavo interesa uradno imenuje</w:t>
            </w:r>
            <w:r w:rsidRPr="001B2DC2">
              <w:rPr>
                <w:b/>
                <w:i/>
              </w:rPr>
              <w:t xml:space="preserve"> upravni odbor na predlog Komisije</w:t>
            </w:r>
            <w:r w:rsidRPr="001B2DC2">
              <w:t xml:space="preserve"> po posvetovanju z regulativnim odborom za oceno uspešnosti.</w:t>
            </w:r>
          </w:p>
        </w:tc>
        <w:tc>
          <w:tcPr>
            <w:tcW w:w="4876" w:type="dxa"/>
            <w:hideMark/>
          </w:tcPr>
          <w:p w:rsidR="0039538A" w:rsidRPr="001B2DC2" w:rsidRDefault="00F72F11">
            <w:pPr>
              <w:pStyle w:val="Normal6"/>
              <w:rPr>
                <w:szCs w:val="24"/>
              </w:rPr>
            </w:pPr>
            <w:r w:rsidRPr="001B2DC2">
              <w:t>2.</w:t>
            </w:r>
            <w:r w:rsidRPr="001B2DC2">
              <w:tab/>
              <w:t xml:space="preserve">Člane pritožbenega odbora za oceno uspešnosti po javnem razpisu za prijavo interesa uradno imenuje </w:t>
            </w:r>
            <w:r w:rsidRPr="001B2DC2">
              <w:rPr>
                <w:b/>
                <w:i/>
              </w:rPr>
              <w:t>Komisija</w:t>
            </w:r>
            <w:r w:rsidRPr="001B2DC2">
              <w:t xml:space="preserve"> po posvetovanju z regulativnim odborom za oceno uspešnosti.</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19</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9</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114l – odstavek 5</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5.</w:t>
            </w:r>
            <w:r w:rsidRPr="001B2DC2">
              <w:tab/>
              <w:t xml:space="preserve">Člani pritožbenega odbora za oceno uspešnosti so pri odločanju neodvisni. Ne zavezujejo jih nobena navodila. Ne opravljajo nobenih </w:t>
            </w:r>
            <w:r w:rsidRPr="001B2DC2">
              <w:rPr>
                <w:b/>
                <w:i/>
              </w:rPr>
              <w:t>drugih</w:t>
            </w:r>
            <w:r w:rsidRPr="001B2DC2">
              <w:t xml:space="preserve"> nalog v Agenciji, njenem upravnem odboru ali svetovalnem odboru za oceno uspešnosti. Član pritožbenega odbora za oceno uspešnosti med mandatom ne sme biti razrešen, razen če je kriv hujše kršitve in če Komisija po prejemu mnenja s strani upravnega odbora sprejme takšno odločitev.</w:t>
            </w:r>
          </w:p>
        </w:tc>
        <w:tc>
          <w:tcPr>
            <w:tcW w:w="4876" w:type="dxa"/>
            <w:hideMark/>
          </w:tcPr>
          <w:p w:rsidR="0039538A" w:rsidRPr="001B2DC2" w:rsidRDefault="00F72F11">
            <w:pPr>
              <w:pStyle w:val="Normal6"/>
              <w:rPr>
                <w:szCs w:val="24"/>
              </w:rPr>
            </w:pPr>
            <w:r w:rsidRPr="001B2DC2">
              <w:t>5.</w:t>
            </w:r>
            <w:r w:rsidRPr="001B2DC2">
              <w:tab/>
              <w:t>Člani pritožbenega odbora za oceno uspešnosti so pri odločanju neodvisni. Ne zavezujejo jih nobena navodila. Ne opravljajo nobenih nalog v Agenciji, njenem upravnem odboru ali svetovalnem odboru za oceno uspešnosti. Član pritožbenega odbora za oceno uspešnosti med mandatom ne sme biti razrešen, razen če je kriv hujše kršitve in če Komisija po prejemu mnenja s strani upravnega odbora sprejme takšno odločitev.</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0F2DBE" w:rsidRPr="001B2DC2" w:rsidRDefault="00F72F11" w:rsidP="000F2DBE">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20</w:t>
      </w:r>
      <w:r w:rsidRPr="001B2DC2">
        <w:rPr>
          <w:rStyle w:val="HideTWBExt"/>
          <w:b w:val="0"/>
          <w:noProof w:val="0"/>
        </w:rPr>
        <w:t>&lt;/NumAm&gt;</w:t>
      </w:r>
    </w:p>
    <w:p w:rsidR="000F2DBE" w:rsidRPr="001B2DC2" w:rsidRDefault="00F72F11" w:rsidP="000F2DBE">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0F2DBE" w:rsidRPr="001B2DC2" w:rsidRDefault="00F72F11" w:rsidP="000F2DBE">
      <w:pPr>
        <w:pStyle w:val="NormalBold"/>
      </w:pPr>
      <w:r w:rsidRPr="001B2DC2">
        <w:rPr>
          <w:rStyle w:val="HideTWBExt"/>
          <w:b w:val="0"/>
          <w:noProof w:val="0"/>
        </w:rPr>
        <w:t>&lt;Article&gt;</w:t>
      </w:r>
      <w:r w:rsidRPr="001B2DC2">
        <w:t>Člen 1 – odstavek 1 – točka 14</w:t>
      </w:r>
      <w:r w:rsidRPr="001B2DC2">
        <w:rPr>
          <w:rStyle w:val="HideTWBExt"/>
          <w:b w:val="0"/>
          <w:noProof w:val="0"/>
        </w:rPr>
        <w:t>&lt;/Article&gt;</w:t>
      </w:r>
    </w:p>
    <w:p w:rsidR="000F2DBE" w:rsidRPr="001B2DC2" w:rsidRDefault="00F72F11" w:rsidP="000F2DBE">
      <w:pPr>
        <w:keepNext/>
      </w:pPr>
      <w:r w:rsidRPr="001B2DC2">
        <w:rPr>
          <w:rStyle w:val="HideTWBExt"/>
          <w:noProof w:val="0"/>
        </w:rPr>
        <w:t>&lt;DocAmend2&gt;</w:t>
      </w:r>
      <w:r w:rsidRPr="001B2DC2">
        <w:t>Uredba (EU) 2018/1139</w:t>
      </w:r>
      <w:r w:rsidRPr="001B2DC2">
        <w:rPr>
          <w:rStyle w:val="HideTWBExt"/>
          <w:noProof w:val="0"/>
        </w:rPr>
        <w:t>&lt;/DocAmend2&gt;</w:t>
      </w:r>
    </w:p>
    <w:p w:rsidR="000F2DBE" w:rsidRPr="001B2DC2" w:rsidRDefault="00F72F11" w:rsidP="000F2DBE">
      <w:r w:rsidRPr="001B2DC2">
        <w:rPr>
          <w:rStyle w:val="HideTWBExt"/>
          <w:noProof w:val="0"/>
        </w:rPr>
        <w:t>&lt;Article2&gt;</w:t>
      </w:r>
      <w:r w:rsidRPr="001B2DC2">
        <w:t>Člen 120a – odstavek 3 – točka -a (novo)</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0F2DBE">
        <w:trPr>
          <w:jc w:val="center"/>
        </w:trPr>
        <w:tc>
          <w:tcPr>
            <w:tcW w:w="9752" w:type="dxa"/>
            <w:gridSpan w:val="2"/>
          </w:tcPr>
          <w:p w:rsidR="000F2DBE" w:rsidRPr="001B2DC2" w:rsidRDefault="000F2DBE">
            <w:pPr>
              <w:keepNext/>
            </w:pPr>
          </w:p>
        </w:tc>
      </w:tr>
      <w:tr w:rsidR="001553A4" w:rsidRPr="001B2DC2" w:rsidTr="000F2DBE">
        <w:trPr>
          <w:jc w:val="center"/>
        </w:trPr>
        <w:tc>
          <w:tcPr>
            <w:tcW w:w="4876" w:type="dxa"/>
            <w:hideMark/>
          </w:tcPr>
          <w:p w:rsidR="000F2DBE" w:rsidRPr="001B2DC2" w:rsidRDefault="00F72F11">
            <w:pPr>
              <w:pStyle w:val="ColumnHeading"/>
              <w:keepNext/>
            </w:pPr>
            <w:r w:rsidRPr="001B2DC2">
              <w:t>Besedilo, ki ga predlaga Komisija</w:t>
            </w:r>
          </w:p>
        </w:tc>
        <w:tc>
          <w:tcPr>
            <w:tcW w:w="4876" w:type="dxa"/>
            <w:hideMark/>
          </w:tcPr>
          <w:p w:rsidR="000F2DBE" w:rsidRPr="001B2DC2" w:rsidRDefault="00F72F11">
            <w:pPr>
              <w:pStyle w:val="ColumnHeading"/>
              <w:keepNext/>
            </w:pPr>
            <w:r w:rsidRPr="001B2DC2">
              <w:t>Predlog spremembe</w:t>
            </w:r>
          </w:p>
        </w:tc>
      </w:tr>
      <w:tr w:rsidR="001553A4" w:rsidRPr="001B2DC2" w:rsidTr="000F2DBE">
        <w:trPr>
          <w:jc w:val="center"/>
        </w:trPr>
        <w:tc>
          <w:tcPr>
            <w:tcW w:w="4876" w:type="dxa"/>
          </w:tcPr>
          <w:p w:rsidR="000F2DBE" w:rsidRPr="001B2DC2" w:rsidRDefault="000F2DBE">
            <w:pPr>
              <w:pStyle w:val="Normal6"/>
            </w:pPr>
          </w:p>
        </w:tc>
        <w:tc>
          <w:tcPr>
            <w:tcW w:w="4876" w:type="dxa"/>
            <w:hideMark/>
          </w:tcPr>
          <w:p w:rsidR="000F2DBE" w:rsidRPr="001B2DC2" w:rsidRDefault="00F72F11">
            <w:pPr>
              <w:pStyle w:val="Normal6"/>
              <w:rPr>
                <w:szCs w:val="24"/>
              </w:rPr>
            </w:pPr>
            <w:r w:rsidRPr="001B2DC2">
              <w:rPr>
                <w:b/>
                <w:i/>
              </w:rPr>
              <w:t>(-a)</w:t>
            </w:r>
            <w:r w:rsidRPr="001B2DC2">
              <w:rPr>
                <w:b/>
                <w:i/>
              </w:rPr>
              <w:tab/>
              <w:t>finančni prispevek Unije za ustanovitev Agencije, ki deluje kot organ za oceno uspešnosti, za vse odhodke, potrebne za vzpostavitev nadzora, ki ga opravlja Agencija, ki deluje kot organ za oceno uspešnosti;</w:t>
            </w:r>
          </w:p>
        </w:tc>
      </w:tr>
    </w:tbl>
    <w:p w:rsidR="000F2DBE" w:rsidRPr="001B2DC2" w:rsidRDefault="00F72F11" w:rsidP="000F2DBE">
      <w:pPr>
        <w:pStyle w:val="Olang"/>
        <w:rPr>
          <w:sz w:val="24"/>
          <w:szCs w:val="24"/>
        </w:rPr>
      </w:pPr>
      <w:r w:rsidRPr="001B2DC2">
        <w:rPr>
          <w:sz w:val="24"/>
          <w:szCs w:val="24"/>
        </w:rPr>
        <w:t xml:space="preserve">Or. </w:t>
      </w:r>
      <w:r w:rsidRPr="001B2DC2">
        <w:rPr>
          <w:rStyle w:val="HideTWBExt"/>
          <w:noProof w:val="0"/>
        </w:rPr>
        <w:t>&lt;Original&gt;</w:t>
      </w:r>
      <w:r w:rsidRPr="001B2DC2">
        <w:rPr>
          <w:rStyle w:val="HideTWBInt"/>
          <w:sz w:val="24"/>
          <w:szCs w:val="24"/>
        </w:rPr>
        <w:t>{EN}</w:t>
      </w:r>
      <w:r w:rsidRPr="001B2DC2">
        <w:rPr>
          <w:sz w:val="24"/>
          <w:szCs w:val="24"/>
        </w:rPr>
        <w:t>en</w:t>
      </w:r>
      <w:r w:rsidRPr="001B2DC2">
        <w:rPr>
          <w:rStyle w:val="HideTWBExt"/>
          <w:noProof w:val="0"/>
        </w:rPr>
        <w:t>&lt;/Original&gt;</w:t>
      </w:r>
    </w:p>
    <w:p w:rsidR="0039538A" w:rsidRPr="001B2DC2" w:rsidRDefault="00F72F11" w:rsidP="000F2DBE">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21</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14</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120a – odstavek 3 – točka b</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(b)</w:t>
            </w:r>
            <w:r w:rsidRPr="001B2DC2">
              <w:rPr>
                <w:b/>
                <w:i/>
              </w:rPr>
              <w:tab/>
              <w:t>letne prispevke določenih izvajalcev služb zračnega prometa na podlagi ocenjenih letnih izdatkov, povezanih z dejavnostmi za oceno uspešnosti, ki jih izvaja Agencija, ki deluje kot organ za oceno uspešnosti, kot se zahteva v [spremenjeni uredbiSES2+] za vsako kategorijo določenih izvajalcev služb zračnega prometa;</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22</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14</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120a – odstavek 8</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8.</w:t>
            </w:r>
            <w:r w:rsidRPr="001B2DC2">
              <w:rPr>
                <w:b/>
                <w:i/>
              </w:rPr>
              <w:tab/>
              <w:t>Letni prispevki iz točke (b) odstavka 3 se poberejo za pet proračunskih let. V ta namen prvič zapadejo v plačilo 31. marca [XXXX – leto] [Urad za publikacije, vstaviti prvo proračunsko leto, ki se začne po začetku veljavnosti te uredbe] za navedeno proračunsko leto oziroma 31. marca vsako od naslednjih štirih proračunskih let za navedena proračunska leta.</w:t>
            </w:r>
          </w:p>
        </w:tc>
        <w:tc>
          <w:tcPr>
            <w:tcW w:w="4876" w:type="dxa"/>
            <w:hideMark/>
          </w:tcPr>
          <w:p w:rsidR="0039538A" w:rsidRPr="001B2DC2" w:rsidRDefault="00F72F11">
            <w:pPr>
              <w:pStyle w:val="Normal6"/>
              <w:rPr>
                <w:szCs w:val="24"/>
              </w:rPr>
            </w:pPr>
            <w:r w:rsidRPr="001B2DC2">
              <w:rPr>
                <w:b/>
                <w:i/>
              </w:rPr>
              <w:t>črtano</w:t>
            </w:r>
          </w:p>
        </w:tc>
      </w:tr>
      <w:tr w:rsidR="001553A4" w:rsidRPr="001B2DC2" w:rsidTr="0039538A">
        <w:trPr>
          <w:jc w:val="center"/>
        </w:trPr>
        <w:tc>
          <w:tcPr>
            <w:tcW w:w="4876" w:type="dxa"/>
            <w:hideMark/>
          </w:tcPr>
          <w:p w:rsidR="0039538A" w:rsidRPr="001B2DC2" w:rsidRDefault="00F72F11">
            <w:pPr>
              <w:pStyle w:val="Normal6"/>
            </w:pPr>
            <w:r w:rsidRPr="001B2DC2">
              <w:rPr>
                <w:b/>
                <w:i/>
              </w:rPr>
              <w:t>Komisija sprejme izvedbene akte o podrobnih pravilih za izračun letnih prispevkov določenih izvajalcev služb zračnega prometa iz točke (b) odstavka 2 v skladu s členom 126b.</w:t>
            </w:r>
          </w:p>
        </w:tc>
        <w:tc>
          <w:tcPr>
            <w:tcW w:w="4876" w:type="dxa"/>
          </w:tcPr>
          <w:p w:rsidR="0039538A" w:rsidRPr="001B2DC2" w:rsidRDefault="0039538A">
            <w:pPr>
              <w:pStyle w:val="Normal6"/>
              <w:rPr>
                <w:szCs w:val="24"/>
              </w:rPr>
            </w:pPr>
          </w:p>
        </w:tc>
      </w:tr>
      <w:tr w:rsidR="001553A4" w:rsidRPr="001B2DC2" w:rsidTr="0039538A">
        <w:trPr>
          <w:jc w:val="center"/>
        </w:trPr>
        <w:tc>
          <w:tcPr>
            <w:tcW w:w="4876" w:type="dxa"/>
            <w:hideMark/>
          </w:tcPr>
          <w:p w:rsidR="0039538A" w:rsidRPr="001B2DC2" w:rsidRDefault="00F72F11">
            <w:pPr>
              <w:pStyle w:val="Normal6"/>
            </w:pPr>
            <w:r w:rsidRPr="001B2DC2">
              <w:rPr>
                <w:b/>
                <w:i/>
              </w:rPr>
              <w:t>Navedeni izvedbeni akti se sprejmejo v skladu s postopkom pregleda iz člena 127(3).</w:t>
            </w:r>
          </w:p>
        </w:tc>
        <w:tc>
          <w:tcPr>
            <w:tcW w:w="4876" w:type="dxa"/>
          </w:tcPr>
          <w:p w:rsidR="0039538A" w:rsidRPr="001B2DC2" w:rsidRDefault="0039538A">
            <w:pPr>
              <w:pStyle w:val="Normal6"/>
              <w:rPr>
                <w:szCs w:val="24"/>
              </w:rPr>
            </w:pP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23</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18</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126a – odstavek 1</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(a)</w:t>
            </w:r>
            <w:r w:rsidRPr="001B2DC2">
              <w:rPr>
                <w:b/>
                <w:i/>
              </w:rPr>
              <w:tab/>
              <w:t>oceno porazdelitev stroškov med navigacijskimi službami zračnega prometa na rutah in terminalih v skladu s členom 13(6) [spremenjene uredbe SES2+];</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24</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18</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126a – odstavek 1 – točka i</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(i)</w:t>
            </w:r>
            <w:r w:rsidRPr="001B2DC2">
              <w:rPr>
                <w:b/>
                <w:i/>
              </w:rPr>
              <w:tab/>
              <w:t>sprejetje popravnih ukrepov v skladu s členom 13(11) [spremenjene uredbe SES2+] in, kadar Agencija deluje kot nadzorni organ skladno s členom 3(8) [spremenjene uredbe SES2+], v skladu s členom 14(10) navedene uredbe;</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25</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18</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126a – odstavek 1 – točka j</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rPr>
                <w:b/>
                <w:i/>
              </w:rPr>
              <w:t>(j)</w:t>
            </w:r>
            <w:r w:rsidRPr="001B2DC2">
              <w:rPr>
                <w:b/>
                <w:i/>
              </w:rPr>
              <w:tab/>
              <w:t>obravnavo pritožb.</w:t>
            </w:r>
          </w:p>
        </w:tc>
        <w:tc>
          <w:tcPr>
            <w:tcW w:w="4876" w:type="dxa"/>
            <w:hideMark/>
          </w:tcPr>
          <w:p w:rsidR="0039538A" w:rsidRPr="001B2DC2" w:rsidRDefault="00F72F11">
            <w:pPr>
              <w:pStyle w:val="Normal6"/>
              <w:rPr>
                <w:szCs w:val="24"/>
              </w:rPr>
            </w:pPr>
            <w:r w:rsidRPr="001B2DC2">
              <w:rPr>
                <w:b/>
                <w:i/>
              </w:rPr>
              <w:t>črtano</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26</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18</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126a – odstavek 4</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hideMark/>
          </w:tcPr>
          <w:p w:rsidR="0039538A" w:rsidRPr="001B2DC2" w:rsidRDefault="00F72F11">
            <w:pPr>
              <w:pStyle w:val="Normal6"/>
            </w:pPr>
            <w:r w:rsidRPr="001B2DC2">
              <w:t>4.</w:t>
            </w:r>
            <w:r w:rsidRPr="001B2DC2">
              <w:tab/>
              <w:t xml:space="preserve">Komisija sprejme </w:t>
            </w:r>
            <w:r w:rsidRPr="001B2DC2">
              <w:rPr>
                <w:b/>
                <w:i/>
              </w:rPr>
              <w:t>izvedbene</w:t>
            </w:r>
            <w:r w:rsidRPr="001B2DC2">
              <w:t xml:space="preserve"> akte o podrobnih pravilih v zvezi s pristojbinami in dajatvami, ki jih Agencija zaračunava za svoje delovanje kot organ za oceno uspešnosti, pri čemer določi zlasti znesek pristojbin in dajatev ter način njihovega plačila. </w:t>
            </w:r>
            <w:r w:rsidRPr="001B2DC2">
              <w:rPr>
                <w:b/>
                <w:i/>
              </w:rPr>
              <w:t>Navedeni izvedbeni akti se sprejmejo v skladu s postopkom pregleda iz člena 127(3).</w:t>
            </w:r>
          </w:p>
        </w:tc>
        <w:tc>
          <w:tcPr>
            <w:tcW w:w="4876" w:type="dxa"/>
            <w:hideMark/>
          </w:tcPr>
          <w:p w:rsidR="0039538A" w:rsidRPr="001B2DC2" w:rsidRDefault="00F72F11">
            <w:pPr>
              <w:pStyle w:val="Normal6"/>
              <w:rPr>
                <w:szCs w:val="24"/>
              </w:rPr>
            </w:pPr>
            <w:r w:rsidRPr="001B2DC2">
              <w:t>4.</w:t>
            </w:r>
            <w:r w:rsidRPr="001B2DC2">
              <w:tab/>
              <w:t xml:space="preserve">Komisija sprejme </w:t>
            </w:r>
            <w:r w:rsidRPr="001B2DC2">
              <w:rPr>
                <w:b/>
                <w:i/>
              </w:rPr>
              <w:t>delegirane</w:t>
            </w:r>
            <w:r w:rsidRPr="001B2DC2">
              <w:t xml:space="preserve"> akte o podrobnih pravilih v zvezi s pristojbinami in dajatvami, ki jih Agencija zaračunava za svoje delovanje kot organ za oceno uspešnosti, pri čemer določi zlasti znesek pristojbin in dajatev ter način njihovega plačila.</w:t>
            </w: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39538A" w:rsidRPr="001B2DC2" w:rsidRDefault="00F72F11" w:rsidP="0039538A">
      <w:pPr>
        <w:pStyle w:val="AMNumberTabs0"/>
        <w:keepNext/>
      </w:pPr>
      <w:r w:rsidRPr="001B2DC2">
        <w:rPr>
          <w:rStyle w:val="HideTWBExt"/>
          <w:b w:val="0"/>
          <w:noProof w:val="0"/>
        </w:rPr>
        <w:t>&lt;Amend&gt;</w:t>
      </w:r>
      <w:r w:rsidRPr="001B2DC2">
        <w:t>Predlog spremembe</w:t>
      </w:r>
      <w:r w:rsidRPr="001B2DC2">
        <w:tab/>
      </w:r>
      <w:r w:rsidRPr="001B2DC2">
        <w:tab/>
      </w:r>
      <w:r w:rsidRPr="001B2DC2">
        <w:rPr>
          <w:rStyle w:val="HideTWBExt"/>
          <w:b w:val="0"/>
          <w:noProof w:val="0"/>
        </w:rPr>
        <w:t>&lt;NumAm&gt;</w:t>
      </w:r>
      <w:r w:rsidRPr="001B2DC2">
        <w:t>27</w:t>
      </w:r>
      <w:r w:rsidRPr="001B2DC2">
        <w:rPr>
          <w:rStyle w:val="HideTWBExt"/>
          <w:b w:val="0"/>
          <w:noProof w:val="0"/>
        </w:rPr>
        <w:t>&lt;/NumAm&gt;</w:t>
      </w:r>
    </w:p>
    <w:p w:rsidR="0039538A" w:rsidRPr="001B2DC2" w:rsidRDefault="00F72F11" w:rsidP="0039538A">
      <w:pPr>
        <w:pStyle w:val="NormalBold12b"/>
        <w:keepNext/>
      </w:pPr>
      <w:r w:rsidRPr="001B2DC2">
        <w:rPr>
          <w:rStyle w:val="HideTWBExt"/>
          <w:b w:val="0"/>
          <w:noProof w:val="0"/>
        </w:rPr>
        <w:t>&lt;DocAmend&gt;</w:t>
      </w:r>
      <w:r w:rsidRPr="001B2DC2">
        <w:t>Predlog uredbe</w:t>
      </w:r>
      <w:r w:rsidRPr="001B2DC2">
        <w:rPr>
          <w:rStyle w:val="HideTWBExt"/>
          <w:b w:val="0"/>
          <w:noProof w:val="0"/>
        </w:rPr>
        <w:t>&lt;/DocAmend&gt;</w:t>
      </w:r>
    </w:p>
    <w:p w:rsidR="0039538A" w:rsidRPr="001B2DC2" w:rsidRDefault="00F72F11" w:rsidP="0039538A">
      <w:pPr>
        <w:pStyle w:val="NormalBold"/>
      </w:pPr>
      <w:r w:rsidRPr="001B2DC2">
        <w:rPr>
          <w:rStyle w:val="HideTWBExt"/>
          <w:b w:val="0"/>
          <w:noProof w:val="0"/>
        </w:rPr>
        <w:t>&lt;Article&gt;</w:t>
      </w:r>
      <w:r w:rsidRPr="001B2DC2">
        <w:t>Člen 1 – odstavek 1 – točka 18</w:t>
      </w:r>
      <w:r w:rsidRPr="001B2DC2">
        <w:rPr>
          <w:rStyle w:val="HideTWBExt"/>
          <w:b w:val="0"/>
          <w:noProof w:val="0"/>
        </w:rPr>
        <w:t>&lt;/Article&gt;</w:t>
      </w:r>
    </w:p>
    <w:p w:rsidR="0039538A" w:rsidRPr="001B2DC2" w:rsidRDefault="00F72F11" w:rsidP="0039538A">
      <w:pPr>
        <w:keepNext/>
      </w:pPr>
      <w:r w:rsidRPr="001B2DC2">
        <w:rPr>
          <w:rStyle w:val="HideTWBExt"/>
          <w:noProof w:val="0"/>
        </w:rPr>
        <w:t>&lt;DocAmend2&gt;</w:t>
      </w:r>
      <w:r w:rsidRPr="001B2DC2">
        <w:t>Uredba (EU) 2018/1139</w:t>
      </w:r>
      <w:r w:rsidRPr="001B2DC2">
        <w:rPr>
          <w:rStyle w:val="HideTWBExt"/>
          <w:noProof w:val="0"/>
        </w:rPr>
        <w:t>&lt;/DocAmend2&gt;</w:t>
      </w:r>
    </w:p>
    <w:p w:rsidR="0039538A" w:rsidRPr="001B2DC2" w:rsidRDefault="00F72F11" w:rsidP="0039538A">
      <w:r w:rsidRPr="001B2DC2">
        <w:rPr>
          <w:rStyle w:val="HideTWBExt"/>
          <w:noProof w:val="0"/>
        </w:rPr>
        <w:t>&lt;Article2&gt;</w:t>
      </w:r>
      <w:r w:rsidRPr="001B2DC2">
        <w:t>Člen 126b</w:t>
      </w:r>
      <w:r w:rsidRPr="001B2DC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3A4" w:rsidRPr="001B2DC2" w:rsidTr="0039538A">
        <w:trPr>
          <w:jc w:val="center"/>
        </w:trPr>
        <w:tc>
          <w:tcPr>
            <w:tcW w:w="9752" w:type="dxa"/>
            <w:gridSpan w:val="2"/>
          </w:tcPr>
          <w:p w:rsidR="0039538A" w:rsidRPr="001B2DC2" w:rsidRDefault="0039538A">
            <w:pPr>
              <w:keepNext/>
            </w:pPr>
          </w:p>
        </w:tc>
      </w:tr>
      <w:tr w:rsidR="001553A4" w:rsidRPr="001B2DC2" w:rsidTr="0039538A">
        <w:trPr>
          <w:jc w:val="center"/>
        </w:trPr>
        <w:tc>
          <w:tcPr>
            <w:tcW w:w="4876" w:type="dxa"/>
            <w:hideMark/>
          </w:tcPr>
          <w:p w:rsidR="0039538A" w:rsidRPr="001B2DC2" w:rsidRDefault="00F72F11">
            <w:pPr>
              <w:pStyle w:val="ColumnHeading"/>
              <w:keepNext/>
            </w:pPr>
            <w:r w:rsidRPr="001B2DC2">
              <w:t>Besedilo, ki ga predlaga Komisija</w:t>
            </w:r>
          </w:p>
        </w:tc>
        <w:tc>
          <w:tcPr>
            <w:tcW w:w="4876" w:type="dxa"/>
            <w:hideMark/>
          </w:tcPr>
          <w:p w:rsidR="0039538A" w:rsidRPr="001B2DC2" w:rsidRDefault="00F72F11">
            <w:pPr>
              <w:pStyle w:val="ColumnHeading"/>
              <w:keepNext/>
            </w:pPr>
            <w:r w:rsidRPr="001B2DC2">
              <w:t>Predlog spremembe</w:t>
            </w:r>
          </w:p>
        </w:tc>
      </w:tr>
      <w:tr w:rsidR="001553A4" w:rsidRPr="001B2DC2" w:rsidTr="0039538A">
        <w:trPr>
          <w:jc w:val="center"/>
        </w:trPr>
        <w:tc>
          <w:tcPr>
            <w:tcW w:w="4876" w:type="dxa"/>
          </w:tcPr>
          <w:p w:rsidR="00E65C8F" w:rsidRPr="001B2DC2" w:rsidRDefault="00F72F11" w:rsidP="00267AB9">
            <w:pPr>
              <w:pStyle w:val="Normal6"/>
              <w:jc w:val="center"/>
              <w:rPr>
                <w:b/>
                <w:i/>
              </w:rPr>
            </w:pPr>
            <w:r w:rsidRPr="001B2DC2">
              <w:rPr>
                <w:b/>
                <w:i/>
              </w:rPr>
              <w:t>Člen 126b</w:t>
            </w:r>
          </w:p>
        </w:tc>
        <w:tc>
          <w:tcPr>
            <w:tcW w:w="4876" w:type="dxa"/>
          </w:tcPr>
          <w:p w:rsidR="00E65C8F" w:rsidRPr="001B2DC2" w:rsidRDefault="00F72F11">
            <w:pPr>
              <w:pStyle w:val="Normal6"/>
              <w:rPr>
                <w:b/>
                <w:i/>
              </w:rPr>
            </w:pPr>
            <w:r w:rsidRPr="001B2DC2">
              <w:rPr>
                <w:b/>
                <w:i/>
              </w:rPr>
              <w:t>črtano</w:t>
            </w:r>
          </w:p>
        </w:tc>
      </w:tr>
      <w:tr w:rsidR="001553A4" w:rsidRPr="001B2DC2" w:rsidTr="0039538A">
        <w:trPr>
          <w:jc w:val="center"/>
        </w:trPr>
        <w:tc>
          <w:tcPr>
            <w:tcW w:w="4876" w:type="dxa"/>
          </w:tcPr>
          <w:p w:rsidR="00E65C8F" w:rsidRPr="001B2DC2" w:rsidRDefault="00F72F11" w:rsidP="00267AB9">
            <w:pPr>
              <w:pStyle w:val="Normal6"/>
              <w:jc w:val="center"/>
              <w:rPr>
                <w:b/>
                <w:i/>
              </w:rPr>
            </w:pPr>
            <w:r w:rsidRPr="001B2DC2">
              <w:rPr>
                <w:b/>
                <w:i/>
              </w:rPr>
              <w:t>Izvedbeni akti v zvezi z izračunom letnih prispevkov določenih izvajalcev služb zračnega prometa</w:t>
            </w:r>
          </w:p>
        </w:tc>
        <w:tc>
          <w:tcPr>
            <w:tcW w:w="4876" w:type="dxa"/>
          </w:tcPr>
          <w:p w:rsidR="00E65C8F" w:rsidRPr="001B2DC2" w:rsidRDefault="00E65C8F">
            <w:pPr>
              <w:pStyle w:val="Normal6"/>
              <w:rPr>
                <w:b/>
                <w:i/>
              </w:rPr>
            </w:pPr>
          </w:p>
        </w:tc>
      </w:tr>
      <w:tr w:rsidR="001553A4" w:rsidRPr="001B2DC2" w:rsidTr="0039538A">
        <w:trPr>
          <w:jc w:val="center"/>
        </w:trPr>
        <w:tc>
          <w:tcPr>
            <w:tcW w:w="4876" w:type="dxa"/>
            <w:hideMark/>
          </w:tcPr>
          <w:p w:rsidR="0039538A" w:rsidRPr="001B2DC2" w:rsidRDefault="00F72F11">
            <w:pPr>
              <w:pStyle w:val="Normal6"/>
            </w:pPr>
            <w:r w:rsidRPr="001B2DC2">
              <w:rPr>
                <w:b/>
                <w:i/>
              </w:rPr>
              <w:t>Izvedbeni akti iz člena 120a(8) določajo naslednje:</w:t>
            </w:r>
          </w:p>
        </w:tc>
        <w:tc>
          <w:tcPr>
            <w:tcW w:w="4876" w:type="dxa"/>
            <w:hideMark/>
          </w:tcPr>
          <w:p w:rsidR="0039538A" w:rsidRPr="001B2DC2" w:rsidRDefault="0039538A">
            <w:pPr>
              <w:pStyle w:val="Normal6"/>
              <w:rPr>
                <w:szCs w:val="24"/>
              </w:rPr>
            </w:pPr>
          </w:p>
        </w:tc>
      </w:tr>
      <w:tr w:rsidR="001553A4" w:rsidRPr="001B2DC2" w:rsidTr="0039538A">
        <w:trPr>
          <w:jc w:val="center"/>
        </w:trPr>
        <w:tc>
          <w:tcPr>
            <w:tcW w:w="4876" w:type="dxa"/>
            <w:hideMark/>
          </w:tcPr>
          <w:p w:rsidR="0039538A" w:rsidRPr="001B2DC2" w:rsidRDefault="00F72F11">
            <w:pPr>
              <w:pStyle w:val="Normal6"/>
            </w:pPr>
            <w:r w:rsidRPr="001B2DC2">
              <w:rPr>
                <w:b/>
                <w:i/>
              </w:rPr>
              <w:t>(a)</w:t>
            </w:r>
            <w:r w:rsidRPr="001B2DC2">
              <w:rPr>
                <w:b/>
                <w:i/>
              </w:rPr>
              <w:tab/>
              <w:t>metodologijo za dodelitev ocenjenih odhodkov kategorijam določenih izvajalcev služb zračnega prometa, ki so podlaga za določitev deleža prispevkov, ki jih morajo plačati določeni izvajalci služb zračnega prometa iz vsake kategorije;</w:t>
            </w:r>
          </w:p>
        </w:tc>
        <w:tc>
          <w:tcPr>
            <w:tcW w:w="4876" w:type="dxa"/>
          </w:tcPr>
          <w:p w:rsidR="0039538A" w:rsidRPr="001B2DC2" w:rsidRDefault="0039538A">
            <w:pPr>
              <w:pStyle w:val="Normal6"/>
              <w:rPr>
                <w:szCs w:val="24"/>
              </w:rPr>
            </w:pPr>
          </w:p>
        </w:tc>
      </w:tr>
      <w:tr w:rsidR="001553A4" w:rsidRPr="001B2DC2" w:rsidTr="0039538A">
        <w:trPr>
          <w:jc w:val="center"/>
        </w:trPr>
        <w:tc>
          <w:tcPr>
            <w:tcW w:w="4876" w:type="dxa"/>
            <w:hideMark/>
          </w:tcPr>
          <w:p w:rsidR="0039538A" w:rsidRPr="001B2DC2" w:rsidRDefault="00F72F11">
            <w:pPr>
              <w:pStyle w:val="Normal6"/>
            </w:pPr>
            <w:r w:rsidRPr="001B2DC2">
              <w:rPr>
                <w:b/>
                <w:i/>
              </w:rPr>
              <w:t>(b)</w:t>
            </w:r>
            <w:r w:rsidRPr="001B2DC2">
              <w:rPr>
                <w:b/>
                <w:i/>
              </w:rPr>
              <w:tab/>
              <w:t>primerna in objektivna merila za določitev letnih prispevkov, ki jih na podlagi svoje velikosti plačajo določeni izvajalci služb zračnega prometa, da se tako približno izrazi njihov pomen na trgu.</w:t>
            </w:r>
          </w:p>
        </w:tc>
        <w:tc>
          <w:tcPr>
            <w:tcW w:w="4876" w:type="dxa"/>
          </w:tcPr>
          <w:p w:rsidR="0039538A" w:rsidRPr="001B2DC2" w:rsidRDefault="0039538A">
            <w:pPr>
              <w:pStyle w:val="Normal6"/>
              <w:rPr>
                <w:szCs w:val="24"/>
              </w:rPr>
            </w:pPr>
          </w:p>
        </w:tc>
      </w:tr>
      <w:tr w:rsidR="001553A4" w:rsidRPr="001B2DC2" w:rsidTr="0039538A">
        <w:trPr>
          <w:jc w:val="center"/>
        </w:trPr>
        <w:tc>
          <w:tcPr>
            <w:tcW w:w="4876" w:type="dxa"/>
          </w:tcPr>
          <w:p w:rsidR="009E19BA" w:rsidRPr="001B2DC2" w:rsidRDefault="00F72F11">
            <w:pPr>
              <w:pStyle w:val="Normal6"/>
              <w:rPr>
                <w:b/>
                <w:i/>
              </w:rPr>
            </w:pPr>
            <w:r w:rsidRPr="001B2DC2">
              <w:rPr>
                <w:b/>
                <w:i/>
              </w:rPr>
              <w:t>Kategorije iz točke (a) prvega odstavka so, prvič, izvajalci služb zračnega prometa na rutah, drugič, izvajalci služb zračnega prometa na terminalih, ki jih nadzoruje Agencija, ki deluje kot organ za oceno uspešnosti, in, tretjič, ponudniki, ki izvajajo obe vrsti služb. Merila, ki se vzpostavijo v skladu s točko (b), zlasti zagotavljajo enako obravnavo zadevnih izvajalcev ob upoštevanju vsake vrste služb. Velikost izvajalcev služb zračnega prometa se izračuna na podlagi zneska dejanskih prihodkov iz izvajanja storitev navigacijskih služb zračnega prometa v referenčnem obdobju pred referenčnim obdobjem, v katerem je začela veljati ta uredba.</w:t>
            </w:r>
          </w:p>
        </w:tc>
        <w:tc>
          <w:tcPr>
            <w:tcW w:w="4876" w:type="dxa"/>
          </w:tcPr>
          <w:p w:rsidR="009E19BA" w:rsidRPr="001B2DC2" w:rsidRDefault="009E19BA">
            <w:pPr>
              <w:pStyle w:val="Normal6"/>
              <w:rPr>
                <w:szCs w:val="24"/>
              </w:rPr>
            </w:pPr>
          </w:p>
        </w:tc>
      </w:tr>
    </w:tbl>
    <w:p w:rsidR="0039538A" w:rsidRPr="001B2DC2" w:rsidRDefault="00F72F11" w:rsidP="0039538A">
      <w:pPr>
        <w:pStyle w:val="Olang"/>
        <w:rPr>
          <w:szCs w:val="24"/>
        </w:rPr>
      </w:pPr>
      <w:r w:rsidRPr="001B2DC2">
        <w:t xml:space="preserve">Or. </w:t>
      </w:r>
      <w:r w:rsidRPr="001B2DC2">
        <w:rPr>
          <w:rStyle w:val="HideTWBExt"/>
          <w:noProof w:val="0"/>
        </w:rPr>
        <w:t>&lt;Original&gt;</w:t>
      </w:r>
      <w:r w:rsidRPr="001B2DC2">
        <w:rPr>
          <w:rStyle w:val="HideTWBInt"/>
        </w:rPr>
        <w:t>{EN}</w:t>
      </w:r>
      <w:r w:rsidRPr="001B2DC2">
        <w:t>en</w:t>
      </w:r>
      <w:r w:rsidRPr="001B2DC2">
        <w:rPr>
          <w:rStyle w:val="HideTWBExt"/>
          <w:noProof w:val="0"/>
        </w:rPr>
        <w:t>&lt;/Original&gt;</w:t>
      </w:r>
    </w:p>
    <w:p w:rsidR="0039538A" w:rsidRPr="001B2DC2" w:rsidRDefault="00F72F11" w:rsidP="0039538A">
      <w:r w:rsidRPr="001B2DC2">
        <w:rPr>
          <w:rStyle w:val="HideTWBExt"/>
          <w:noProof w:val="0"/>
        </w:rPr>
        <w:t>&lt;/Amend&gt;</w:t>
      </w:r>
    </w:p>
    <w:p w:rsidR="00DE1C99" w:rsidRPr="001B2DC2" w:rsidRDefault="00F72F11" w:rsidP="00D30DE2">
      <w:pPr>
        <w:sectPr w:rsidR="00DE1C99" w:rsidRPr="001B2DC2" w:rsidSect="00051A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1B2DC2">
        <w:rPr>
          <w:rStyle w:val="HideTWBExt"/>
          <w:noProof w:val="0"/>
        </w:rPr>
        <w:t>&lt;/RepeatBlock-Amend&gt;</w:t>
      </w:r>
    </w:p>
    <w:p w:rsidR="00D30DE2" w:rsidRPr="001B2DC2" w:rsidRDefault="00F72F11" w:rsidP="00DE1C99">
      <w:pPr>
        <w:pStyle w:val="PageHeading"/>
      </w:pPr>
      <w:bookmarkStart w:id="1" w:name="_Toc60927380"/>
      <w:r w:rsidRPr="001B2DC2">
        <w:t>OBRAZLOŽITEV</w:t>
      </w:r>
      <w:bookmarkEnd w:id="1"/>
    </w:p>
    <w:p w:rsidR="00DE1C99" w:rsidRPr="001B2DC2" w:rsidRDefault="00F72F11" w:rsidP="00DE1C99">
      <w:pPr>
        <w:jc w:val="both"/>
      </w:pPr>
      <w:r w:rsidRPr="001B2DC2">
        <w:t xml:space="preserve">S spremenjenim predlogom za izvajanje enotnega evropskega neba se ustanavlja stalni organ za oceno uspešnosti, ki bo del Agencije Evropske unije za varnost v letalstvu (EASA). Zato je treba spremeniti Uredbo (EU) 2018/1139 o ustanovitvi Agencije Evropske unije za varnost v letalstvu. </w:t>
      </w:r>
    </w:p>
    <w:p w:rsidR="00DE1C99" w:rsidRPr="001B2DC2" w:rsidRDefault="00DE1C99" w:rsidP="00DE1C99">
      <w:pPr>
        <w:jc w:val="both"/>
      </w:pPr>
    </w:p>
    <w:p w:rsidR="00DE1C99" w:rsidRPr="001B2DC2" w:rsidRDefault="00F72F11" w:rsidP="00DE1C99">
      <w:pPr>
        <w:jc w:val="both"/>
      </w:pPr>
      <w:r w:rsidRPr="001B2DC2">
        <w:t xml:space="preserve">S predlogom Komisije se Agenciji dodeljujejo nove naloge, hkrati pa si bo z Agencijo Evropske unije za varnost v letalstvu delila trenutne storitve in vire. </w:t>
      </w:r>
    </w:p>
    <w:p w:rsidR="00DE1C99" w:rsidRPr="001B2DC2" w:rsidRDefault="00DE1C99" w:rsidP="00DE1C99">
      <w:pPr>
        <w:jc w:val="both"/>
      </w:pPr>
    </w:p>
    <w:p w:rsidR="00DE1C99" w:rsidRPr="001B2DC2" w:rsidRDefault="00F72F11" w:rsidP="00DE1C99">
      <w:pPr>
        <w:jc w:val="both"/>
      </w:pPr>
      <w:r w:rsidRPr="001B2DC2">
        <w:t xml:space="preserve">Poročevalec priporoča, naj se okrepi neodvisnost novega organa za oceno uspešnosti. Zato je pomembno, da se sredstva namenijo posebej za nove naloge. Poleg tega regulativni odbor za oceno uspešnosti ne bi smel upoštevati navodil Komisije ali Agencije. </w:t>
      </w:r>
    </w:p>
    <w:p w:rsidR="00DE1C99" w:rsidRPr="001B2DC2" w:rsidRDefault="00DE1C99" w:rsidP="00DE1C99">
      <w:pPr>
        <w:jc w:val="both"/>
      </w:pPr>
    </w:p>
    <w:p w:rsidR="00DE1C99" w:rsidRPr="001B2DC2" w:rsidRDefault="00F72F11" w:rsidP="00DE1C99">
      <w:pPr>
        <w:jc w:val="both"/>
      </w:pPr>
      <w:r w:rsidRPr="001B2DC2">
        <w:t xml:space="preserve">Poročevalec predlaga, da se uvede sistem financiranja, ki bo zagotovil pravilno delovanje novega organa za oceno uspešnosti: stroški za vzpostavitev se bodo krili s finančnim prispevkom Unije. </w:t>
      </w:r>
    </w:p>
    <w:p w:rsidR="00DE1C99" w:rsidRPr="001B2DC2" w:rsidRDefault="00F72F11" w:rsidP="00DE1C99">
      <w:pPr>
        <w:jc w:val="both"/>
      </w:pPr>
      <w:r w:rsidRPr="001B2DC2">
        <w:t>Tekoče stroške, povezane s stroški dejavnosti, ki jih izvaja Agencija, ki deluje kot organ za oceno uspešnosti, bodo financirali določeni izvajalci služb zračnega prometa.</w:t>
      </w:r>
    </w:p>
    <w:p w:rsidR="00DE1C99" w:rsidRPr="001B2DC2" w:rsidRDefault="00DE1C99" w:rsidP="00DE1C99">
      <w:pPr>
        <w:jc w:val="both"/>
      </w:pPr>
    </w:p>
    <w:p w:rsidR="00DE1C99" w:rsidRPr="001B2DC2" w:rsidRDefault="00F72F11" w:rsidP="00DE1C99">
      <w:pPr>
        <w:jc w:val="both"/>
      </w:pPr>
      <w:r w:rsidRPr="001B2DC2">
        <w:t>Komisija predlaga tudi ustanovitev pritožbenega odbora za oceno uspešnosti, ki bo pristojen za odločanje o pritožbah zoper odločitve, ki jih sprejme Agencija, ki deluje kot organ za oceno uspešnosti.</w:t>
      </w:r>
    </w:p>
    <w:p w:rsidR="00DE1C99" w:rsidRPr="001B2DC2" w:rsidRDefault="00DE1C99" w:rsidP="00DE1C99">
      <w:pPr>
        <w:jc w:val="both"/>
      </w:pPr>
    </w:p>
    <w:p w:rsidR="00DE1C99" w:rsidRPr="001B2DC2" w:rsidRDefault="00F72F11" w:rsidP="00DE1C99">
      <w:pPr>
        <w:jc w:val="both"/>
      </w:pPr>
      <w:r w:rsidRPr="001B2DC2">
        <w:t>Poročevalec se strinja, da je pritožbeni organ potreben. Vendar bi moral tak subjekt delovati neodvisno od Agencije, ki deluje kot organ za oceno uspešnosti, da bi zagotovili njegovo neodvisnost in objektivnost pri odločanju o pritožbah.</w:t>
      </w:r>
    </w:p>
    <w:p w:rsidR="00DE1C99" w:rsidRPr="001B2DC2" w:rsidRDefault="00DE1C99" w:rsidP="00DE1C99"/>
    <w:p w:rsidR="00DE1C99" w:rsidRPr="001B2DC2" w:rsidRDefault="00DE1C99" w:rsidP="00DE1C99"/>
    <w:p w:rsidR="00DE1C99" w:rsidRPr="001B2DC2" w:rsidRDefault="00DE1C99" w:rsidP="00D30DE2">
      <w:bookmarkStart w:id="2" w:name="_GoBack"/>
      <w:bookmarkEnd w:id="2"/>
    </w:p>
    <w:sectPr w:rsidR="00DE1C99" w:rsidRPr="001B2DC2" w:rsidSect="00DE1C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A8C" w:rsidRPr="00051A37" w:rsidRDefault="00F72F11">
      <w:r w:rsidRPr="00051A37">
        <w:separator/>
      </w:r>
    </w:p>
  </w:endnote>
  <w:endnote w:type="continuationSeparator" w:id="0">
    <w:p w:rsidR="00BD0A8C" w:rsidRPr="00051A37" w:rsidRDefault="00F72F11">
      <w:r w:rsidRPr="00051A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A37" w:rsidRPr="00051A37" w:rsidRDefault="00051A37" w:rsidP="00051A37">
    <w:pPr>
      <w:pStyle w:val="EPFooter"/>
    </w:pPr>
    <w:r w:rsidRPr="00051A37">
      <w:t>PE</w:t>
    </w:r>
    <w:r w:rsidRPr="00051A37">
      <w:rPr>
        <w:rStyle w:val="HideTWBExt"/>
        <w:noProof w:val="0"/>
      </w:rPr>
      <w:t>&lt;NoPE&gt;</w:t>
    </w:r>
    <w:r w:rsidRPr="00051A37">
      <w:t>660.310</w:t>
    </w:r>
    <w:r w:rsidRPr="00051A37">
      <w:rPr>
        <w:rStyle w:val="HideTWBExt"/>
        <w:noProof w:val="0"/>
      </w:rPr>
      <w:t>&lt;/NoPE&gt;&lt;Version&gt;</w:t>
    </w:r>
    <w:r w:rsidRPr="00051A37">
      <w:t>v01-00</w:t>
    </w:r>
    <w:r w:rsidRPr="00051A37">
      <w:rPr>
        <w:rStyle w:val="HideTWBExt"/>
        <w:noProof w:val="0"/>
      </w:rPr>
      <w:t>&lt;/Version&gt;</w:t>
    </w:r>
    <w:r w:rsidRPr="00051A37">
      <w:tab/>
    </w:r>
    <w:r w:rsidRPr="00051A37">
      <w:fldChar w:fldCharType="begin"/>
    </w:r>
    <w:r w:rsidRPr="00051A37">
      <w:instrText xml:space="preserve"> PAGE  \* MERGEFORMAT </w:instrText>
    </w:r>
    <w:r w:rsidRPr="00051A37">
      <w:fldChar w:fldCharType="separate"/>
    </w:r>
    <w:r w:rsidR="001B2DC2">
      <w:rPr>
        <w:noProof/>
      </w:rPr>
      <w:t>18</w:t>
    </w:r>
    <w:r w:rsidRPr="00051A37">
      <w:fldChar w:fldCharType="end"/>
    </w:r>
    <w:r w:rsidRPr="00051A37">
      <w:t>/</w:t>
    </w:r>
    <w:r w:rsidR="001B2DC2">
      <w:fldChar w:fldCharType="begin"/>
    </w:r>
    <w:r w:rsidR="001B2DC2">
      <w:instrText xml:space="preserve"> NUMPAGES  \* MERGEFORMAT </w:instrText>
    </w:r>
    <w:r w:rsidR="001B2DC2">
      <w:fldChar w:fldCharType="separate"/>
    </w:r>
    <w:r w:rsidR="001B2DC2">
      <w:rPr>
        <w:noProof/>
      </w:rPr>
      <w:t>18</w:t>
    </w:r>
    <w:r w:rsidR="001B2DC2">
      <w:rPr>
        <w:noProof/>
      </w:rPr>
      <w:fldChar w:fldCharType="end"/>
    </w:r>
    <w:r w:rsidRPr="00051A37">
      <w:tab/>
    </w:r>
    <w:r w:rsidRPr="00051A37">
      <w:rPr>
        <w:rStyle w:val="HideTWBExt"/>
        <w:noProof w:val="0"/>
      </w:rPr>
      <w:t>&lt;PathFdR&gt;</w:t>
    </w:r>
    <w:r w:rsidRPr="00051A37">
      <w:t>PR\1218141SL.docx</w:t>
    </w:r>
    <w:r w:rsidRPr="00051A37">
      <w:rPr>
        <w:rStyle w:val="HideTWBExt"/>
        <w:noProof w:val="0"/>
      </w:rPr>
      <w:t>&lt;/PathFdR&gt;</w:t>
    </w:r>
  </w:p>
  <w:p w:rsidR="00507F5E" w:rsidRPr="00051A37" w:rsidRDefault="00051A37" w:rsidP="00051A37">
    <w:pPr>
      <w:pStyle w:val="EPFooter2"/>
    </w:pPr>
    <w:r w:rsidRPr="00051A37">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A37" w:rsidRPr="00051A37" w:rsidRDefault="00051A37" w:rsidP="00051A37">
    <w:pPr>
      <w:pStyle w:val="EPFooter"/>
    </w:pPr>
    <w:r w:rsidRPr="00051A37">
      <w:rPr>
        <w:rStyle w:val="HideTWBExt"/>
        <w:noProof w:val="0"/>
      </w:rPr>
      <w:t>&lt;PathFdR&gt;</w:t>
    </w:r>
    <w:r w:rsidRPr="00051A37">
      <w:t>PR\1218141SL.docx</w:t>
    </w:r>
    <w:r w:rsidRPr="00051A37">
      <w:rPr>
        <w:rStyle w:val="HideTWBExt"/>
        <w:noProof w:val="0"/>
      </w:rPr>
      <w:t>&lt;/PathFdR&gt;</w:t>
    </w:r>
    <w:r w:rsidRPr="00051A37">
      <w:tab/>
    </w:r>
    <w:r w:rsidRPr="00051A37">
      <w:fldChar w:fldCharType="begin"/>
    </w:r>
    <w:r w:rsidRPr="00051A37">
      <w:instrText xml:space="preserve"> PAGE  \* MERGEFORMAT </w:instrText>
    </w:r>
    <w:r w:rsidRPr="00051A37">
      <w:fldChar w:fldCharType="separate"/>
    </w:r>
    <w:r w:rsidR="001B2DC2">
      <w:rPr>
        <w:noProof/>
      </w:rPr>
      <w:t>17</w:t>
    </w:r>
    <w:r w:rsidRPr="00051A37">
      <w:fldChar w:fldCharType="end"/>
    </w:r>
    <w:r w:rsidRPr="00051A37">
      <w:t>/</w:t>
    </w:r>
    <w:r w:rsidR="001B2DC2">
      <w:fldChar w:fldCharType="begin"/>
    </w:r>
    <w:r w:rsidR="001B2DC2">
      <w:instrText xml:space="preserve"> NUMPAGES  \* MERGEFORMAT </w:instrText>
    </w:r>
    <w:r w:rsidR="001B2DC2">
      <w:fldChar w:fldCharType="separate"/>
    </w:r>
    <w:r w:rsidR="001B2DC2">
      <w:rPr>
        <w:noProof/>
      </w:rPr>
      <w:t>18</w:t>
    </w:r>
    <w:r w:rsidR="001B2DC2">
      <w:rPr>
        <w:noProof/>
      </w:rPr>
      <w:fldChar w:fldCharType="end"/>
    </w:r>
    <w:r w:rsidRPr="00051A37">
      <w:tab/>
      <w:t>PE</w:t>
    </w:r>
    <w:r w:rsidRPr="00051A37">
      <w:rPr>
        <w:rStyle w:val="HideTWBExt"/>
        <w:noProof w:val="0"/>
      </w:rPr>
      <w:t>&lt;NoPE&gt;</w:t>
    </w:r>
    <w:r w:rsidRPr="00051A37">
      <w:t>660.310</w:t>
    </w:r>
    <w:r w:rsidRPr="00051A37">
      <w:rPr>
        <w:rStyle w:val="HideTWBExt"/>
        <w:noProof w:val="0"/>
      </w:rPr>
      <w:t>&lt;/NoPE&gt;&lt;Version&gt;</w:t>
    </w:r>
    <w:r w:rsidRPr="00051A37">
      <w:t>v01-00</w:t>
    </w:r>
    <w:r w:rsidRPr="00051A37">
      <w:rPr>
        <w:rStyle w:val="HideTWBExt"/>
        <w:noProof w:val="0"/>
      </w:rPr>
      <w:t>&lt;/Version&gt;</w:t>
    </w:r>
  </w:p>
  <w:p w:rsidR="00507F5E" w:rsidRPr="00051A37" w:rsidRDefault="00051A37" w:rsidP="00051A37">
    <w:pPr>
      <w:pStyle w:val="EPFooter2"/>
    </w:pPr>
    <w:r w:rsidRPr="00051A37">
      <w:tab/>
    </w:r>
    <w:r w:rsidRPr="00051A37">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A37" w:rsidRPr="00051A37" w:rsidRDefault="00051A37" w:rsidP="00051A37">
    <w:pPr>
      <w:pStyle w:val="EPFooter"/>
    </w:pPr>
    <w:r w:rsidRPr="00051A37">
      <w:rPr>
        <w:rStyle w:val="HideTWBExt"/>
        <w:noProof w:val="0"/>
      </w:rPr>
      <w:t>&lt;PathFdR&gt;</w:t>
    </w:r>
    <w:r w:rsidRPr="00051A37">
      <w:t>PR\1218141SL.docx</w:t>
    </w:r>
    <w:r w:rsidRPr="00051A37">
      <w:rPr>
        <w:rStyle w:val="HideTWBExt"/>
        <w:noProof w:val="0"/>
      </w:rPr>
      <w:t>&lt;/PathFdR&gt;</w:t>
    </w:r>
    <w:r w:rsidRPr="00051A37">
      <w:tab/>
    </w:r>
    <w:r w:rsidRPr="00051A37">
      <w:tab/>
      <w:t>PE</w:t>
    </w:r>
    <w:r w:rsidRPr="00051A37">
      <w:rPr>
        <w:rStyle w:val="HideTWBExt"/>
        <w:noProof w:val="0"/>
      </w:rPr>
      <w:t>&lt;NoPE&gt;</w:t>
    </w:r>
    <w:r w:rsidRPr="00051A37">
      <w:t>660.310</w:t>
    </w:r>
    <w:r w:rsidRPr="00051A37">
      <w:rPr>
        <w:rStyle w:val="HideTWBExt"/>
        <w:noProof w:val="0"/>
      </w:rPr>
      <w:t>&lt;/NoPE&gt;&lt;Version&gt;</w:t>
    </w:r>
    <w:r w:rsidRPr="00051A37">
      <w:t>v01-00</w:t>
    </w:r>
    <w:r w:rsidRPr="00051A37">
      <w:rPr>
        <w:rStyle w:val="HideTWBExt"/>
        <w:noProof w:val="0"/>
      </w:rPr>
      <w:t>&lt;/Version&gt;</w:t>
    </w:r>
  </w:p>
  <w:p w:rsidR="00507F5E" w:rsidRPr="00051A37" w:rsidRDefault="00051A37" w:rsidP="00051A37">
    <w:pPr>
      <w:pStyle w:val="EPFooter2"/>
    </w:pPr>
    <w:r w:rsidRPr="00051A37">
      <w:t>SL</w:t>
    </w:r>
    <w:r w:rsidRPr="00051A37">
      <w:tab/>
    </w:r>
    <w:r w:rsidRPr="00051A37">
      <w:rPr>
        <w:b w:val="0"/>
        <w:i/>
        <w:color w:val="C0C0C0"/>
        <w:sz w:val="22"/>
      </w:rPr>
      <w:t>Združena v raznolikosti</w:t>
    </w:r>
    <w:r w:rsidRPr="00051A37">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A8C" w:rsidRPr="00051A37" w:rsidRDefault="00F72F11">
      <w:r w:rsidRPr="00051A37">
        <w:separator/>
      </w:r>
    </w:p>
  </w:footnote>
  <w:footnote w:type="continuationSeparator" w:id="0">
    <w:p w:rsidR="00BD0A8C" w:rsidRPr="00051A37" w:rsidRDefault="00F72F11">
      <w:r w:rsidRPr="00051A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11" w:rsidRDefault="00F72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11" w:rsidRDefault="00F72F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11" w:rsidRDefault="00F72F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TRAN"/>
    <w:docVar w:name="CopyToNetwork" w:val="-1"/>
    <w:docVar w:name="DOCMNU" w:val=" 1"/>
    <w:docVar w:name="EPSTATMNU" w:val=" 5"/>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88694 HideTWBExt;}{\*\cs18 \additive \v\f1\fs20\cf15 _x000d__x000a_\spriority0 \styrsid12388694 HideTWBInt;}{\s19\ql \li0\ri0\sa120\nowidctlpar\wrapdefault\aspalpha\aspnum\faauto\adjustright\rin0\lin0\itap0 \rtlch\fcs1 \af0\afs20\alang1025 \ltrch\fcs0 \fs24\lang2057\langfe2057\cgrid\langnp2057\langfenp2057 _x000d__x000a_\sbasedon0 \snext19 \spriority0 \styrsid12388694 Normal6a;}{\s20\ql \li0\ri0\nowidctlpar\wrapdefault\aspalpha\aspnum\faauto\adjustright\rin0\lin0\itap0 \rtlch\fcs1 \af0\afs20\alang1025 \ltrch\fcs0 \b\fs24\lang2057\langfe2057\cgrid\langnp2057\langfenp2057 _x000d__x000a_\sbasedon0 \snext20 \spriority0 \styrsid12388694 NormalBold;}{\s21\ql \li0\ri0\sa240\nowidctlpar\wrapdefault\aspalpha\aspnum\faauto\adjustright\rin0\lin0\itap0 \rtlch\fcs1 \af0\afs20\alang1025 \ltrch\fcs0 _x000d__x000a_\i\fs24\lang2057\langfe2057\cgrid\langnp2057\langfenp2057 \sbasedon0 \snext21 \spriority0 \styrsid12388694 AmJustText;}{\s22\qc \li0\ri0\sb240\sa240\nowidctlpar\wrapdefault\aspalpha\aspnum\faauto\adjustright\rin0\lin0\itap0 \rtlch\fcs1 _x000d__x000a_\af0\afs20\alang1025 \ltrch\fcs0 \i\fs24\lang2057\langfe2057\cgrid\langnp2057\langfenp2057 \sbasedon0 \snext22 \spriority0 \styrsid12388694 AmCrossRef;}{_x000d__x000a_\s23\qc \li0\ri0\sb240\sa240\keepn\nowidctlpar\wrapdefault\aspalpha\aspnum\faauto\adjustright\rin0\lin0\itap0 \rtlch\fcs1 \af0\afs20\alang1025 \ltrch\fcs0 \i\fs24\lang2057\langfe2057\cgrid\langnp2057\langfenp2057 _x000d__x000a_\sbasedon0 \snext21 \spriority0 \styrsid12388694 AmJustTitle;}{\s24\qr \li0\ri0\sb240\sa240\nowidctlpar\wrapdefault\aspalpha\aspnum\faauto\adjustright\rin0\lin0\itap0 \rtlch\fcs1 \af0\afs20\alang1025 \ltrch\fcs0 _x000d__x000a_\fs24\lang2057\langfe2057\cgrid\langnp2057\langfenp2057 \sbasedon0 \snext24 \spriority0 \styrsid12388694 AmOrLang;}{\s25\qc \li0\ri0\sa240\nowidctlpar\wrapdefault\aspalpha\aspnum\faauto\adjustright\rin0\lin0\itap0 \rtlch\fcs1 \af0\afs20\alang1025 _x000d__x000a_\ltrch\fcs0 \i\fs24\lang2057\langfe2057\cgrid\langnp2057\langfenp2057 \sbasedon0 \snext25 \spriority0 \styrsid123886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388694 AmNumberTabs;}{\s27\ql \li0\ri0\sb240\nowidctlpar\wrapdefault\aspalpha\aspnum\faauto\adjustright\rin0\lin0\itap0 \rtlch\fcs1 _x000d__x000a_\af0\afs20\alang1025 \ltrch\fcs0 \b\fs24\lang2057\langfe2057\cgrid\langnp2057\langfenp2057 \sbasedon0 \snext27 \spriority0 \styrsid12388694 NormalBold12b;}}{\*\rsidtbl \rsid24658\rsid223860\rsid735077\rsid1718133\rsid2892074\rsid3565327\rsid4666813_x000d__x000a_\rsid6641733\rsid7823322\rsid9636012\rsid10377208\rsid11215221\rsid11549030\rsid12154954\rsid12388694\rsid13395654\rsid14382809\rsid14424199\rsid15204470\rsid15285974\rsid15950462\rsid16324206\rsid16662270}{\mmathPr\mmathFont34\mbrkBin0\mbrkBinSub0_x000d__x000a_\msmallFrac0\mdispDef1\mlMargin0\mrMargin0\mdefJc1\mwrapIndent1440\mintLim0\mnaryLim1}{\info{\author SOLL Susan Benzon}{\operator SOLL Susan Benzon}{\creatim\yr2020\mo11\dy13\hr10\min47}{\revtim\yr2020\mo11\dy13\hr10\min47}{\version1}{\edmins0}_x000d__x000a_{\nofpages1}{\nofwords104}{\nofchars596}{\nofcharsws699}{\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388694\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13395654 \chftnsep _x000d__x000a_\par }}{\*\ftnsepc \ltrpar \pard\plain \ltrpar\ql \li0\ri0\widctlpar\wrapdefault\aspalpha\aspnum\faauto\adjustright\rin0\lin0\itap0 \rtlch\fcs1 \af0\afs20\alang1025 \ltrch\fcs0 \fs24\lang2057\langfe2057\cgrid\langnp2057\langfenp2057 {\rtlch\fcs1 \af0 _x000d__x000a_\ltrch\fcs0 \insrsid13395654 \chftnsepc _x000d__x000a_\par }}{\*\aftnsep \ltrpar \pard\plain \ltrpar\ql \li0\ri0\widctlpar\wrapdefault\aspalpha\aspnum\faauto\adjustright\rin0\lin0\itap0 \rtlch\fcs1 \af0\afs20\alang1025 \ltrch\fcs0 \fs24\lang2057\langfe2057\cgrid\langnp2057\langfenp2057 {\rtlch\fcs1 \af0 _x000d__x000a_\ltrch\fcs0 \insrsid13395654 \chftnsep _x000d__x000a_\par }}{\*\aftnsepc \ltrpar \pard\plain \ltrpar\ql \li0\ri0\widctlpar\wrapdefault\aspalpha\aspnum\faauto\adjustright\rin0\lin0\itap0 \rtlch\fcs1 \af0\afs20\alang1025 \ltrch\fcs0 \fs24\lang2057\langfe2057\cgrid\langnp2057\langfenp2057 {\rtlch\fcs1 \af0 _x000d__x000a_\ltrch\fcs0 \insrsid13395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88694 \rtlch\fcs1 _x000d__x000a_\af0\afs20\alang1025 \ltrch\fcs0 \b\fs24\lang2057\langfe2057\cgrid\langnp2057\langfenp2057 {\rtlch\fcs1 \af0 \ltrch\fcs0 \cs17\b0\v\fs20\cf9\loch\af1\hich\af1\dbch\af31501\insrsid12388694\charrsid2180901 {\*\bkmkstart restart}_x000d__x000a_\hich\af1\dbch\af31501\loch\f1 &lt;Amend&gt;}{\rtlch\fcs1 \af0 \ltrch\fcs0 \insrsid12388694\charrsid2180901 Amendment\tab \tab }{\rtlch\fcs1 \af0 \ltrch\fcs0 \cs17\b0\v\fs20\cf9\loch\af1\hich\af1\dbch\af31501\insrsid12388694\charrsid2180901 _x000d__x000a_\hich\af1\dbch\af31501\loch\f1 &lt;NumAm&gt;}{\rtlch\fcs1 \af0 \ltrch\fcs0 \insrsid12388694\charrsid2180901 #}{\rtlch\fcs1 \af1 \ltrch\fcs0 \cs18\v\f1\fs20\cf15\insrsid12388694\charrsid2180901 ENMIENDA@NRAM@}{\rtlch\fcs1 \af0 \ltrch\fcs0 _x000d__x000a_\insrsid12388694\charrsid2180901 #}{\rtlch\fcs1 \af0 \ltrch\fcs0 \cs17\b0\v\fs20\cf9\loch\af1\hich\af1\dbch\af31501\insrsid12388694\charrsid2180901 \hich\af1\dbch\af31501\loch\f1 &lt;/NumAm&gt;}{\rtlch\fcs1 \af0 \ltrch\fcs0 \insrsid12388694\charrsid2180901 _x000d__x000a__x000d__x000a_\par }\pard\plain \ltrpar\s27\ql \li0\ri0\sb240\keepn\nowidctlpar\wrapdefault\aspalpha\aspnum\faauto\adjustright\rin0\lin0\itap0\pararsid12388694 \rtlch\fcs1 \af0\afs20\alang1025 \ltrch\fcs0 \b\fs24\lang2057\langfe2057\cgrid\langnp2057\langfenp2057 {_x000d__x000a_\rtlch\fcs1 \af0 \ltrch\fcs0 \cs17\b0\v\fs20\cf9\loch\af1\hich\af1\dbch\af31501\insrsid12388694\charrsid2180901 \hich\af1\dbch\af31501\loch\f1 &lt;DocAmend&gt;}{\rtlch\fcs1 \af0 \ltrch\fcs0 \insrsid12388694\charrsid2180901 Proposal for a #}{\rtlch\fcs1 \af1 _x000d__x000a_\ltrch\fcs0 \cs18\v\f1\fs20\cf15\insrsid12388694\charrsid2180901 MNU[DOC1][DOC2][DOC3]@DOCMSG@DOCMNU}{\rtlch\fcs1 \af0 \ltrch\fcs0 \insrsid12388694\charrsid2180901 ##}{\rtlch\fcs1 \af1 \ltrch\fcs0 \cs18\v\f1\fs20\cf15\insrsid12388694\charrsid2180901 MN_x000d__x000a_U[AMACTYES][NOTAPP]@CHOICE@AMACTMNU}{\rtlch\fcs1 \af0 \ltrch\fcs0 \insrsid12388694\charrsid2180901 #}{\rtlch\fcs1 \af0 \ltrch\fcs0 \cs17\b0\v\fs20\cf9\loch\af1\hich\af1\dbch\af31501\insrsid12388694\charrsid2180901 \hich\af1\dbch\af31501\loch\f1 _x000d__x000a_&lt;/DocAmend&gt;}{\rtlch\fcs1 \af0 \ltrch\fcs0 \insrsid12388694\charrsid2180901 _x000d__x000a_\par }\pard\plain \ltrpar\s20\ql \li0\ri0\keepn\nowidctlpar\wrapdefault\aspalpha\aspnum\faauto\adjustright\rin0\lin0\itap0\pararsid12388694 \rtlch\fcs1 \af0\afs20\alang1025 \ltrch\fcs0 \b\fs24\lang2057\langfe2057\cgrid\langnp2057\langfenp2057 {\rtlch\fcs1 _x000d__x000a_\af0 \ltrch\fcs0 \cs17\b0\v\fs20\cf9\loch\af1\hich\af1\dbch\af31501\insrsid12388694\charrsid2180901 \hich\af1\dbch\af31501\loch\f1 &lt;Article&gt;}{\rtlch\fcs1 \af0 \ltrch\fcs0 \insrsid12388694\charrsid2180901 #}{\rtlch\fcs1 \af1 \ltrch\fcs0 _x000d__x000a_\cs18\v\f1\fs20\cf15\insrsid12388694\charrsid2180901 MNU[AMACTPARTYES][AMACTPARTNO]@CHOICE@AMACTMNU}{\rtlch\fcs1 \af0 \ltrch\fcs0 \insrsid12388694\charrsid2180901 #}{\rtlch\fcs1 \af0 \ltrch\fcs0 _x000d__x000a_\cs17\b0\v\fs20\cf9\loch\af1\hich\af1\dbch\af31501\insrsid12388694\charrsid2180901 \hich\af1\dbch\af31501\loch\f1 &lt;/Article&gt;}{\rtlch\fcs1 \af0 \ltrch\fcs0 \insrsid12388694\charrsid2180901 _x000d__x000a_\par }\pard\plain \ltrpar\ql \li0\ri0\keepn\widctlpar\wrapdefault\aspalpha\aspnum\faauto\adjustright\rin0\lin0\itap0\pararsid12388694 \rtlch\fcs1 \af0\afs20\alang1025 \ltrch\fcs0 \fs24\lang2057\langfe2057\cgrid\langnp2057\langfenp2057 {\rtlch\fcs1 \af0 _x000d__x000a_\ltrch\fcs0 \cs17\v\fs20\cf9\loch\af1\hich\af1\dbch\af31501\insrsid12388694\charrsid2180901 \hich\af1\dbch\af31501\loch\f1 &lt;DocAmend2&gt;&lt;OptDel&gt;}{\rtlch\fcs1 \af0 \ltrch\fcs0 \insrsid12388694\charrsid2180901 #}{\rtlch\fcs1 \af1 \ltrch\fcs0 _x000d__x000a_\cs18\v\f1\fs20\cf15\insrsid12388694\charrsid2180901 MNU[OPTNRACTYES][NOTAPP]@CHOICE@AMACTMNU}{\rtlch\fcs1 \af0 \ltrch\fcs0 \insrsid12388694\charrsid2180901 #}{\rtlch\fcs1 \af0 \ltrch\fcs0 _x000d__x000a_\cs17\v\fs20\cf9\loch\af1\hich\af1\dbch\af31501\insrsid12388694\charrsid2180901 \hich\af1\dbch\af31501\loch\f1 &lt;/OptDel&gt;&lt;/DocAmend2&gt;}{\rtlch\fcs1 \af0 \ltrch\fcs0 \insrsid12388694\charrsid2180901 _x000d__x000a_\par }\pard \ltrpar\ql \li0\ri0\widctlpar\wrapdefault\aspalpha\aspnum\faauto\adjustright\rin0\lin0\itap0\pararsid12388694 {\rtlch\fcs1 \af0 \ltrch\fcs0 \cs17\v\fs20\cf9\loch\af1\hich\af1\dbch\af31501\insrsid12388694\charrsid2180901 _x000d__x000a_\hich\af1\dbch\af31501\loch\f1 &lt;Article2&gt;&lt;OptDel&gt;}{\rtlch\fcs1 \af0 \ltrch\fcs0 \insrsid12388694\charrsid2180901 #}{\rtlch\fcs1 \af1 \ltrch\fcs0 \cs18\v\f1\fs20\cf15\insrsid12388694\charrsid2180901 MNU[OPTACTPARTYES][NOTAPP]@CHOICE@AMACTMNU}{\rtlch\fcs1 _x000d__x000a_\af0 \ltrch\fcs0 \insrsid12388694\charrsid2180901 #}{\rtlch\fcs1 \af0 \ltrch\fcs0 \cs17\v\fs20\cf9\loch\af1\hich\af1\dbch\af31501\insrsid12388694\charrsid2180901 \hich\af1\dbch\af31501\loch\f1 &lt;/OptDel&gt;&lt;/Article2&gt;}{\rtlch\fcs1 \af0 \ltrch\fcs0 _x000d__x000a_\insrsid12388694\charrsid2180901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2388694\charrsid2180901 \cell }\pard\plain \ltrpar\ql \li0\ri0\widctlpar\intbl\wrapdefault\aspalpha\aspnum\faauto\adjustright\rin0\lin0 \rtlch\fcs1 _x000d__x000a_\af0\afs20\alang1025 \ltrch\fcs0 \fs24\lang2057\langfe2057\cgrid\langnp2057\langfenp2057 {\rtlch\fcs1 \af0 \ltrch\fcs0 \insrsid12388694\charrsid21809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2388694\charrsid2180901 #}{\rtlch\fcs1 \af1 \ltrch\fcs0 \cs18\v\f1\fs20\cf15\insrsid12388694\charrsid2180901 MNU[OPTLEFTAMACT][LEFTPROP]@CHOICE@AMACTMNU}{\rtlch\fcs1 \af0 \ltrch\fcs0 \insrsid12388694\charrsid2180901 #\cell Amendment\cell _x000d__x000a_}\pard\plain \ltrpar\ql \li0\ri0\widctlpar\intbl\wrapdefault\aspalpha\aspnum\faauto\adjustright\rin0\lin0 \rtlch\fcs1 \af0\afs20\alang1025 \ltrch\fcs0 \fs24\lang2057\langfe2057\cgrid\langnp2057\langfenp2057 {\rtlch\fcs1 \af0 \ltrch\fcs0 _x000d__x000a_\insrsid12388694\charrsid2180901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2388694\charrsid2180901 ##\cell ##}{\rtlch\fcs1 \af0\afs24 \ltrch\fcs0 \insrsid12388694\charrsid2180901 \cell }\pard\plain \ltrpar\ql \li0\ri0\widctlpar\intbl\wrapdefault\aspalpha\aspnum\faauto\adjustright\rin0\lin0 _x000d__x000a_\rtlch\fcs1 \af0\afs20\alang1025 \ltrch\fcs0 \fs24\lang2057\langfe2057\cgrid\langnp2057\langfenp2057 {\rtlch\fcs1 \af0 \ltrch\fcs0 \insrsid12388694\charrsid21809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388694 \rtlch\fcs1 \af0\afs20\alang1025 \ltrch\fcs0 \fs24\lang2057\langfe2057\cgrid\langnp2057\langfenp2057 {\rtlch\fcs1 \af0 \ltrch\fcs0 _x000d__x000a_\insrsid12388694\charrsid2180901 Or. }{\rtlch\fcs1 \af0 \ltrch\fcs0 \cs17\v\fs20\cf9\loch\af1\hich\af1\dbch\af31501\insrsid12388694\charrsid2180901 \hich\af1\dbch\af31501\loch\f1 &lt;Original&gt;}{\rtlch\fcs1 \af0 \ltrch\fcs0 \insrsid12388694\charrsid2180901 #}_x000d__x000a_{\rtlch\fcs1 \af1 \ltrch\fcs0 \cs18\v\f1\fs20\cf15\insrsid12388694\charrsid2180901 MNU[ORLANGONE][ORLANGMORE]@CHOICE@ORLANGMNU}{\rtlch\fcs1 \af0 \ltrch\fcs0 \insrsid12388694\charrsid2180901 #}{\rtlch\fcs1 \af0 \ltrch\fcs0 _x000d__x000a_\cs17\v\fs20\cf9\loch\af1\hich\af1\dbch\af31501\insrsid12388694\charrsid2180901 \hich\af1\dbch\af31501\loch\f1 &lt;/Original&gt;}{\rtlch\fcs1 \af0 \ltrch\fcs0 \insrsid12388694\charrsid2180901 _x000d__x000a_\par }\pard\plain \ltrpar\s22\qc \li0\ri0\sb240\sa240\nowidctlpar\wrapdefault\aspalpha\aspnum\faauto\adjustright\rin0\lin0\itap0\pararsid12388694 \rtlch\fcs1 \af0\afs20\alang1025 \ltrch\fcs0 \i\fs24\lang2057\langfe2057\cgrid\langnp2057\langfenp2057 {_x000d__x000a_\rtlch\fcs1 \af0 \ltrch\fcs0 \cs17\i0\v\fs20\cf9\loch\af1\hich\af1\dbch\af31501\insrsid12388694\charrsid2180901 \hich\af1\dbch\af31501\loch\f1 &lt;OptDel&gt;}{\rtlch\fcs1 \af0 \ltrch\fcs0 \insrsid12388694\charrsid2180901 #}{\rtlch\fcs1 \af1 \ltrch\fcs0 _x000d__x000a_\cs18\v\f1\fs20\cf15\insrsid12388694\charrsid2180901 MNU[CROSSREFNO][CROSSREFYES]@CHOICE@}{\rtlch\fcs1 \af0 \ltrch\fcs0 \insrsid12388694\charrsid2180901 #}{\rtlch\fcs1 \af0 \ltrch\fcs0 _x000d__x000a_\cs17\i0\v\fs20\cf9\loch\af1\hich\af1\dbch\af31501\insrsid12388694\charrsid2180901 \hich\af1\dbch\af31501\loch\f1 &lt;/OptDel&gt;}{\rtlch\fcs1 \af0 \ltrch\fcs0 \insrsid12388694\charrsid2180901 _x000d__x000a_\par }\pard\plain \ltrpar\s23\qc \li0\ri0\sb240\sa240\keepn\nowidctlpar\wrapdefault\aspalpha\aspnum\faauto\adjustright\rin0\lin0\itap0\pararsid12388694 \rtlch\fcs1 \af0\afs20\alang1025 \ltrch\fcs0 \i\fs24\lang2057\langfe2057\cgrid\langnp2057\langfenp2057 {_x000d__x000a_\rtlch\fcs1 \af0 \ltrch\fcs0 \cs17\i0\v\fs20\cf9\loch\af1\hich\af1\dbch\af31501\insrsid12388694\charrsid2180901 \hich\af1\dbch\af31501\loch\f1 &lt;TitreJust&gt;}{\rtlch\fcs1 \af0 \ltrch\fcs0 \insrsid12388694\charrsid2180901 Justification}{\rtlch\fcs1 \af0 _x000d__x000a_\ltrch\fcs0 \cs17\i0\v\fs20\cf9\loch\af1\hich\af1\dbch\af31501\insrsid12388694\charrsid2180901 \hich\af1\dbch\af31501\loch\f1 &lt;/TitreJust&gt;}{\rtlch\fcs1 \af0 \ltrch\fcs0 \insrsid12388694\charrsid2180901 _x000d__x000a_\par }\pard\plain \ltrpar\s21\ql \li0\ri0\sa240\nowidctlpar\wrapdefault\aspalpha\aspnum\faauto\adjustright\rin0\lin0\itap0\pararsid12388694 \rtlch\fcs1 \af0\afs20\alang1025 \ltrch\fcs0 \i\fs24\lang2057\langfe2057\cgrid\langnp2057\langfenp2057 {\rtlch\fcs1 _x000d__x000a_\af0 \ltrch\fcs0 \cs17\i0\v\fs20\cf9\loch\af1\hich\af1\dbch\af31501\insrsid12388694\charrsid2180901 \hich\af1\dbch\af31501\loch\f1 &lt;OptDelPrev&gt;}{\rtlch\fcs1 \af0 \ltrch\fcs0 \insrsid12388694\charrsid2180901 #}{\rtlch\fcs1 \af1 \ltrch\fcs0 _x000d__x000a_\cs18\v\f1\fs20\cf15\insrsid12388694\charrsid2180901 MNU[TEXTJUSTYES][TEXTJUSTNO]@CHOICE@}{\rtlch\fcs1 \af0 \ltrch\fcs0 \insrsid12388694\charrsid2180901 #}{\rtlch\fcs1 \af0 \ltrch\fcs0 _x000d__x000a_\cs17\i0\v\fs20\cf9\loch\af1\hich\af1\dbch\af31501\insrsid12388694\charrsid2180901 \hich\af1\dbch\af31501\loch\f1 &lt;/OptDelPrev&gt;}{\rtlch\fcs1 \af0 \ltrch\fcs0 \insrsid12388694\charrsid2180901 _x000d__x000a_\par }\pard\plain \ltrpar\ql \li0\ri0\widctlpar\wrapdefault\aspalpha\aspnum\faauto\adjustright\rin0\lin0\itap0\pararsid12388694 \rtlch\fcs1 \af0\afs20\alang1025 \ltrch\fcs0 \fs24\lang2057\langfe2057\cgrid\langnp2057\langfenp2057 {\rtlch\fcs1 \af0 \ltrch\fcs0 _x000d__x000a_\cs17\v\fs20\cf9\loch\af1\hich\af1\dbch\af31501\insrsid12388694\charrsid21809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b_x000d__x000a_7a08a2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18"/>
    <w:docVar w:name="TXTAUTHOR" w:val="Johan Danielsson"/>
    <w:docVar w:name="TXTLANGUE" w:val="SL"/>
    <w:docVar w:name="TXTLANGUEMIN" w:val="sl"/>
    <w:docVar w:name="TXTNRC" w:val="0300/2020"/>
    <w:docVar w:name="TXTNRCOD" w:val="2020/0264"/>
    <w:docVar w:name="TXTNRCOM" w:val="(2020)0577"/>
    <w:docVar w:name="TXTNRPE" w:val="660.310"/>
    <w:docVar w:name="TXTPEorAP" w:val="PE"/>
    <w:docVar w:name="TXTROUTE" w:val="PR\1218141SL.docx"/>
    <w:docVar w:name="TXTTITLE" w:val="amending Regulation (EU) 2018/1139 as regards the capacity of the European Union Aviation Safety Agency to act as Performance Review Body of the Single European Sky"/>
    <w:docVar w:name="TXTVERSION" w:val="01-00"/>
  </w:docVars>
  <w:rsids>
    <w:rsidRoot w:val="00214725"/>
    <w:rsid w:val="00011AAB"/>
    <w:rsid w:val="00012351"/>
    <w:rsid w:val="000139E5"/>
    <w:rsid w:val="000254F4"/>
    <w:rsid w:val="00051A37"/>
    <w:rsid w:val="00084DD2"/>
    <w:rsid w:val="00084E89"/>
    <w:rsid w:val="00094112"/>
    <w:rsid w:val="000A52A2"/>
    <w:rsid w:val="000B44FF"/>
    <w:rsid w:val="000B7489"/>
    <w:rsid w:val="000F1096"/>
    <w:rsid w:val="000F2DBE"/>
    <w:rsid w:val="00110505"/>
    <w:rsid w:val="00120948"/>
    <w:rsid w:val="00123DD5"/>
    <w:rsid w:val="001277AE"/>
    <w:rsid w:val="00142215"/>
    <w:rsid w:val="001553A4"/>
    <w:rsid w:val="00160726"/>
    <w:rsid w:val="001767E2"/>
    <w:rsid w:val="001807F5"/>
    <w:rsid w:val="00187008"/>
    <w:rsid w:val="001B2DC2"/>
    <w:rsid w:val="001B3829"/>
    <w:rsid w:val="001C5592"/>
    <w:rsid w:val="001C5B44"/>
    <w:rsid w:val="001C6FFC"/>
    <w:rsid w:val="001F7C7C"/>
    <w:rsid w:val="00211492"/>
    <w:rsid w:val="00212B84"/>
    <w:rsid w:val="00214725"/>
    <w:rsid w:val="00230976"/>
    <w:rsid w:val="002346B0"/>
    <w:rsid w:val="002667C3"/>
    <w:rsid w:val="002669B6"/>
    <w:rsid w:val="00267AB9"/>
    <w:rsid w:val="00271EA2"/>
    <w:rsid w:val="00290BED"/>
    <w:rsid w:val="00291B2E"/>
    <w:rsid w:val="002D13EE"/>
    <w:rsid w:val="002E33EE"/>
    <w:rsid w:val="002F40BB"/>
    <w:rsid w:val="002F4B02"/>
    <w:rsid w:val="00323EF8"/>
    <w:rsid w:val="00325ACA"/>
    <w:rsid w:val="003316DD"/>
    <w:rsid w:val="00344663"/>
    <w:rsid w:val="00361191"/>
    <w:rsid w:val="00366A46"/>
    <w:rsid w:val="00370AC3"/>
    <w:rsid w:val="003824EE"/>
    <w:rsid w:val="0039538A"/>
    <w:rsid w:val="003A284F"/>
    <w:rsid w:val="003B4689"/>
    <w:rsid w:val="003C2068"/>
    <w:rsid w:val="003C37CF"/>
    <w:rsid w:val="004100B1"/>
    <w:rsid w:val="004128EE"/>
    <w:rsid w:val="00412B20"/>
    <w:rsid w:val="00426E47"/>
    <w:rsid w:val="00455743"/>
    <w:rsid w:val="00461601"/>
    <w:rsid w:val="004C0915"/>
    <w:rsid w:val="004D424E"/>
    <w:rsid w:val="004E2366"/>
    <w:rsid w:val="004E42C8"/>
    <w:rsid w:val="004E733D"/>
    <w:rsid w:val="004F3FA5"/>
    <w:rsid w:val="00507F5E"/>
    <w:rsid w:val="0051271F"/>
    <w:rsid w:val="00521F46"/>
    <w:rsid w:val="00551111"/>
    <w:rsid w:val="00551123"/>
    <w:rsid w:val="00555950"/>
    <w:rsid w:val="00561979"/>
    <w:rsid w:val="00570A6A"/>
    <w:rsid w:val="00586E50"/>
    <w:rsid w:val="0059583D"/>
    <w:rsid w:val="005A42D9"/>
    <w:rsid w:val="005C2BEF"/>
    <w:rsid w:val="005C383D"/>
    <w:rsid w:val="005D1A99"/>
    <w:rsid w:val="005D7609"/>
    <w:rsid w:val="005D7EE8"/>
    <w:rsid w:val="00642325"/>
    <w:rsid w:val="006A2F5D"/>
    <w:rsid w:val="006F7907"/>
    <w:rsid w:val="00730FF8"/>
    <w:rsid w:val="00743189"/>
    <w:rsid w:val="00743D33"/>
    <w:rsid w:val="00744BB3"/>
    <w:rsid w:val="0076355F"/>
    <w:rsid w:val="00791BC3"/>
    <w:rsid w:val="00791FE8"/>
    <w:rsid w:val="007932B3"/>
    <w:rsid w:val="00793EA9"/>
    <w:rsid w:val="007A3C4B"/>
    <w:rsid w:val="007C11B3"/>
    <w:rsid w:val="007C78A0"/>
    <w:rsid w:val="007D6F68"/>
    <w:rsid w:val="00823E6B"/>
    <w:rsid w:val="00826780"/>
    <w:rsid w:val="008308B0"/>
    <w:rsid w:val="00837CCD"/>
    <w:rsid w:val="0085330D"/>
    <w:rsid w:val="00855096"/>
    <w:rsid w:val="008633CC"/>
    <w:rsid w:val="00865190"/>
    <w:rsid w:val="008719B9"/>
    <w:rsid w:val="00894ECE"/>
    <w:rsid w:val="00896BB4"/>
    <w:rsid w:val="008A7FB8"/>
    <w:rsid w:val="009022B8"/>
    <w:rsid w:val="00904FC6"/>
    <w:rsid w:val="00914537"/>
    <w:rsid w:val="00917CC4"/>
    <w:rsid w:val="009763DA"/>
    <w:rsid w:val="00995DE1"/>
    <w:rsid w:val="009975B3"/>
    <w:rsid w:val="009A216D"/>
    <w:rsid w:val="009B4B93"/>
    <w:rsid w:val="009E19BA"/>
    <w:rsid w:val="009F24BE"/>
    <w:rsid w:val="009F6C2F"/>
    <w:rsid w:val="009F767A"/>
    <w:rsid w:val="00A22533"/>
    <w:rsid w:val="00A26F46"/>
    <w:rsid w:val="00A34FD3"/>
    <w:rsid w:val="00A36929"/>
    <w:rsid w:val="00A3797C"/>
    <w:rsid w:val="00A50548"/>
    <w:rsid w:val="00A5293B"/>
    <w:rsid w:val="00A60EE7"/>
    <w:rsid w:val="00A76ABC"/>
    <w:rsid w:val="00A910C9"/>
    <w:rsid w:val="00AA35B0"/>
    <w:rsid w:val="00AD18C8"/>
    <w:rsid w:val="00AD7FA6"/>
    <w:rsid w:val="00AE4643"/>
    <w:rsid w:val="00AF0416"/>
    <w:rsid w:val="00B10CB4"/>
    <w:rsid w:val="00B13D6F"/>
    <w:rsid w:val="00B22CC8"/>
    <w:rsid w:val="00B23B72"/>
    <w:rsid w:val="00B37EE7"/>
    <w:rsid w:val="00B42702"/>
    <w:rsid w:val="00B57B8B"/>
    <w:rsid w:val="00B85407"/>
    <w:rsid w:val="00B95702"/>
    <w:rsid w:val="00B97310"/>
    <w:rsid w:val="00BC6489"/>
    <w:rsid w:val="00BD0A8C"/>
    <w:rsid w:val="00BD480C"/>
    <w:rsid w:val="00C1565D"/>
    <w:rsid w:val="00C20954"/>
    <w:rsid w:val="00C23324"/>
    <w:rsid w:val="00C42A41"/>
    <w:rsid w:val="00C4602A"/>
    <w:rsid w:val="00C47E74"/>
    <w:rsid w:val="00C511E8"/>
    <w:rsid w:val="00C57A72"/>
    <w:rsid w:val="00C61841"/>
    <w:rsid w:val="00C73602"/>
    <w:rsid w:val="00CF60C8"/>
    <w:rsid w:val="00D30DE2"/>
    <w:rsid w:val="00D32924"/>
    <w:rsid w:val="00D503A3"/>
    <w:rsid w:val="00D54FEB"/>
    <w:rsid w:val="00D953E4"/>
    <w:rsid w:val="00DA0854"/>
    <w:rsid w:val="00DA6ED0"/>
    <w:rsid w:val="00DC5011"/>
    <w:rsid w:val="00DE1C99"/>
    <w:rsid w:val="00E171B6"/>
    <w:rsid w:val="00E65C8F"/>
    <w:rsid w:val="00E72695"/>
    <w:rsid w:val="00EB1753"/>
    <w:rsid w:val="00EB6CFF"/>
    <w:rsid w:val="00EC5B0B"/>
    <w:rsid w:val="00EE3996"/>
    <w:rsid w:val="00F07062"/>
    <w:rsid w:val="00F11956"/>
    <w:rsid w:val="00F23CFC"/>
    <w:rsid w:val="00F433E2"/>
    <w:rsid w:val="00F45A0C"/>
    <w:rsid w:val="00F72F1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EF88B"/>
  <w15:chartTrackingRefBased/>
  <w15:docId w15:val="{3EDC892E-563F-4F3E-9F76-D5BC34B6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5330D"/>
    <w:pPr>
      <w:tabs>
        <w:tab w:val="right" w:pos="454"/>
        <w:tab w:val="left" w:pos="737"/>
      </w:tabs>
      <w:ind w:left="737" w:hanging="737"/>
    </w:pPr>
    <w:rPr>
      <w:snapToGrid w:val="0"/>
      <w:sz w:val="18"/>
      <w:lang w:eastAsia="en-US"/>
    </w:rPr>
  </w:style>
  <w:style w:type="paragraph" w:customStyle="1" w:styleId="Lgendetitre">
    <w:name w:val="Légende titre"/>
    <w:basedOn w:val="Normal"/>
    <w:rsid w:val="0085330D"/>
    <w:pPr>
      <w:spacing w:before="240" w:after="240"/>
    </w:pPr>
    <w:rPr>
      <w:b/>
      <w:i/>
      <w:snapToGrid w:val="0"/>
      <w:lang w:eastAsia="en-US"/>
    </w:rPr>
  </w:style>
  <w:style w:type="paragraph" w:customStyle="1" w:styleId="Lgendestandard">
    <w:name w:val="Légende standard"/>
    <w:basedOn w:val="Normal"/>
    <w:rsid w:val="0085330D"/>
    <w:rPr>
      <w:sz w:val="18"/>
    </w:rPr>
  </w:style>
  <w:style w:type="paragraph" w:customStyle="1" w:styleId="Normal6">
    <w:name w:val="Normal6"/>
    <w:basedOn w:val="Normal"/>
    <w:link w:val="Normal6Char"/>
    <w:rsid w:val="00230976"/>
    <w:pPr>
      <w:spacing w:after="120"/>
    </w:pPr>
  </w:style>
  <w:style w:type="character" w:customStyle="1" w:styleId="NormalBoldChar">
    <w:name w:val="NormalBold Char"/>
    <w:basedOn w:val="DefaultParagraphFont"/>
    <w:link w:val="NormalBold"/>
    <w:rsid w:val="00230976"/>
    <w:rPr>
      <w:b/>
      <w:sz w:val="24"/>
    </w:rPr>
  </w:style>
  <w:style w:type="character" w:customStyle="1" w:styleId="Normal6Char">
    <w:name w:val="Normal6 Char"/>
    <w:basedOn w:val="DefaultParagraphFont"/>
    <w:link w:val="Normal6"/>
    <w:rsid w:val="00230976"/>
    <w:rPr>
      <w:sz w:val="24"/>
      <w:lang w:val="sl-SI"/>
    </w:rPr>
  </w:style>
  <w:style w:type="paragraph" w:customStyle="1" w:styleId="ColumnHeading">
    <w:name w:val="ColumnHeading"/>
    <w:basedOn w:val="Normal"/>
    <w:rsid w:val="00230976"/>
    <w:pPr>
      <w:spacing w:after="240"/>
      <w:jc w:val="center"/>
    </w:pPr>
    <w:rPr>
      <w:i/>
    </w:rPr>
  </w:style>
  <w:style w:type="paragraph" w:customStyle="1" w:styleId="AMNumberTabs0">
    <w:name w:val="AMNumberTabs"/>
    <w:basedOn w:val="Normal"/>
    <w:rsid w:val="002309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30976"/>
    <w:pPr>
      <w:jc w:val="right"/>
    </w:pPr>
  </w:style>
  <w:style w:type="paragraph" w:customStyle="1" w:styleId="msonormal0">
    <w:name w:val="msonormal"/>
    <w:basedOn w:val="Normal"/>
    <w:rsid w:val="0039538A"/>
    <w:pPr>
      <w:widowControl/>
      <w:spacing w:before="100" w:beforeAutospacing="1" w:after="100" w:afterAutospacing="1"/>
    </w:pPr>
    <w:rPr>
      <w:szCs w:val="24"/>
    </w:rPr>
  </w:style>
  <w:style w:type="paragraph" w:styleId="Footer">
    <w:name w:val="footer"/>
    <w:link w:val="FooterChar"/>
    <w:semiHidden/>
    <w:unhideWhenUsed/>
    <w:rsid w:val="0039538A"/>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39538A"/>
    <w:rPr>
      <w:sz w:val="22"/>
    </w:rPr>
  </w:style>
  <w:style w:type="character" w:customStyle="1" w:styleId="Normal12Char">
    <w:name w:val="Normal12 Char"/>
    <w:link w:val="Normal12"/>
    <w:locked/>
    <w:rsid w:val="0039538A"/>
    <w:rPr>
      <w:noProof/>
      <w:sz w:val="24"/>
    </w:rPr>
  </w:style>
  <w:style w:type="paragraph" w:customStyle="1" w:styleId="Normal12">
    <w:name w:val="Normal12"/>
    <w:basedOn w:val="Normal"/>
    <w:link w:val="Normal12Char"/>
    <w:rsid w:val="0039538A"/>
    <w:pPr>
      <w:spacing w:after="240"/>
    </w:pPr>
    <w:rPr>
      <w:noProof/>
    </w:rPr>
  </w:style>
  <w:style w:type="paragraph" w:customStyle="1" w:styleId="CommitteeAM">
    <w:name w:val="CommitteeAM"/>
    <w:basedOn w:val="Normal"/>
    <w:rsid w:val="0039538A"/>
    <w:pPr>
      <w:spacing w:before="240" w:after="600"/>
      <w:jc w:val="center"/>
    </w:pPr>
    <w:rPr>
      <w:i/>
    </w:rPr>
  </w:style>
  <w:style w:type="paragraph" w:customStyle="1" w:styleId="ZDateAM">
    <w:name w:val="ZDateAM"/>
    <w:basedOn w:val="Normal"/>
    <w:rsid w:val="0039538A"/>
    <w:pPr>
      <w:tabs>
        <w:tab w:val="right" w:pos="9356"/>
      </w:tabs>
      <w:spacing w:after="480"/>
    </w:pPr>
    <w:rPr>
      <w:noProof/>
    </w:rPr>
  </w:style>
  <w:style w:type="paragraph" w:customStyle="1" w:styleId="ProjRap">
    <w:name w:val="ProjRap"/>
    <w:basedOn w:val="Normal"/>
    <w:rsid w:val="0039538A"/>
    <w:pPr>
      <w:tabs>
        <w:tab w:val="right" w:pos="9356"/>
      </w:tabs>
    </w:pPr>
    <w:rPr>
      <w:b/>
      <w:noProof/>
    </w:rPr>
  </w:style>
  <w:style w:type="paragraph" w:customStyle="1" w:styleId="PELeft">
    <w:name w:val="PELeft"/>
    <w:basedOn w:val="Normal"/>
    <w:rsid w:val="0039538A"/>
    <w:pPr>
      <w:spacing w:before="40" w:after="40"/>
    </w:pPr>
    <w:rPr>
      <w:rFonts w:ascii="Arial" w:hAnsi="Arial" w:cs="Arial"/>
      <w:sz w:val="22"/>
      <w:szCs w:val="22"/>
    </w:rPr>
  </w:style>
  <w:style w:type="paragraph" w:customStyle="1" w:styleId="PERight">
    <w:name w:val="PERight"/>
    <w:basedOn w:val="Normal"/>
    <w:next w:val="Normal"/>
    <w:rsid w:val="0039538A"/>
    <w:pPr>
      <w:jc w:val="right"/>
    </w:pPr>
    <w:rPr>
      <w:rFonts w:ascii="Arial" w:hAnsi="Arial" w:cs="Arial"/>
      <w:sz w:val="22"/>
      <w:szCs w:val="22"/>
    </w:rPr>
  </w:style>
  <w:style w:type="paragraph" w:customStyle="1" w:styleId="Normal12Italic">
    <w:name w:val="Normal12Italic"/>
    <w:basedOn w:val="Normal12"/>
    <w:rsid w:val="0039538A"/>
    <w:rPr>
      <w:i/>
    </w:rPr>
  </w:style>
  <w:style w:type="paragraph" w:customStyle="1" w:styleId="JustificationTitle">
    <w:name w:val="JustificationTitle"/>
    <w:basedOn w:val="Normal"/>
    <w:next w:val="Normal12"/>
    <w:rsid w:val="0039538A"/>
    <w:pPr>
      <w:keepNext/>
      <w:spacing w:before="240" w:after="240"/>
      <w:jc w:val="center"/>
    </w:pPr>
    <w:rPr>
      <w:i/>
      <w:noProof/>
    </w:rPr>
  </w:style>
  <w:style w:type="paragraph" w:customStyle="1" w:styleId="CrossRef">
    <w:name w:val="CrossRef"/>
    <w:basedOn w:val="Normal"/>
    <w:rsid w:val="0039538A"/>
    <w:pPr>
      <w:spacing w:before="240"/>
      <w:jc w:val="center"/>
    </w:pPr>
    <w:rPr>
      <w:i/>
    </w:rPr>
  </w:style>
  <w:style w:type="paragraph" w:customStyle="1" w:styleId="Footer2">
    <w:name w:val="Footer2"/>
    <w:basedOn w:val="Normal12"/>
    <w:rsid w:val="0039538A"/>
    <w:pPr>
      <w:tabs>
        <w:tab w:val="center" w:pos="4535"/>
        <w:tab w:val="right" w:pos="9923"/>
      </w:tabs>
      <w:spacing w:line="480" w:lineRule="auto"/>
      <w:ind w:left="-851"/>
    </w:pPr>
    <w:rPr>
      <w:rFonts w:ascii="Arial" w:cs="Arial"/>
      <w:b/>
      <w:sz w:val="48"/>
    </w:rPr>
  </w:style>
  <w:style w:type="character" w:customStyle="1" w:styleId="Footer2Middle">
    <w:name w:val="Footer2Middle"/>
    <w:rsid w:val="0039538A"/>
    <w:rPr>
      <w:rFonts w:ascii="Arial" w:hAnsi="Arial" w:cs="Arial" w:hint="default"/>
      <w:b w:val="0"/>
      <w:bCs w:val="0"/>
      <w:i/>
      <w:iCs w:val="0"/>
      <w:color w:val="C0C0C0"/>
      <w:sz w:val="22"/>
    </w:rPr>
  </w:style>
  <w:style w:type="paragraph" w:customStyle="1" w:styleId="EntPE">
    <w:name w:val="EntPE"/>
    <w:basedOn w:val="Normal12"/>
    <w:rsid w:val="0039538A"/>
    <w:pPr>
      <w:jc w:val="center"/>
    </w:pPr>
    <w:rPr>
      <w:noProof w:val="0"/>
      <w:sz w:val="56"/>
    </w:rPr>
  </w:style>
  <w:style w:type="paragraph" w:styleId="BalloonText">
    <w:name w:val="Balloon Text"/>
    <w:basedOn w:val="Normal"/>
    <w:link w:val="BalloonTextChar"/>
    <w:semiHidden/>
    <w:unhideWhenUsed/>
    <w:rsid w:val="00C511E8"/>
    <w:rPr>
      <w:rFonts w:ascii="Segoe UI" w:hAnsi="Segoe UI" w:cs="Segoe UI"/>
      <w:sz w:val="18"/>
      <w:szCs w:val="18"/>
    </w:rPr>
  </w:style>
  <w:style w:type="character" w:customStyle="1" w:styleId="BalloonTextChar">
    <w:name w:val="Balloon Text Char"/>
    <w:basedOn w:val="DefaultParagraphFont"/>
    <w:link w:val="BalloonText"/>
    <w:semiHidden/>
    <w:rsid w:val="00C511E8"/>
    <w:rPr>
      <w:rFonts w:ascii="Segoe UI" w:hAnsi="Segoe UI" w:cs="Segoe UI"/>
      <w:sz w:val="18"/>
      <w:szCs w:val="18"/>
    </w:rPr>
  </w:style>
  <w:style w:type="paragraph" w:styleId="Revision">
    <w:name w:val="Revision"/>
    <w:hidden/>
    <w:uiPriority w:val="99"/>
    <w:semiHidden/>
    <w:rsid w:val="00C511E8"/>
    <w:rPr>
      <w:sz w:val="24"/>
    </w:rPr>
  </w:style>
  <w:style w:type="character" w:styleId="CommentReference">
    <w:name w:val="annotation reference"/>
    <w:basedOn w:val="DefaultParagraphFont"/>
    <w:rsid w:val="00E65C8F"/>
    <w:rPr>
      <w:sz w:val="16"/>
      <w:szCs w:val="16"/>
    </w:rPr>
  </w:style>
  <w:style w:type="paragraph" w:styleId="CommentText">
    <w:name w:val="annotation text"/>
    <w:basedOn w:val="Normal"/>
    <w:link w:val="CommentTextChar"/>
    <w:rsid w:val="00E65C8F"/>
    <w:rPr>
      <w:sz w:val="20"/>
    </w:rPr>
  </w:style>
  <w:style w:type="character" w:customStyle="1" w:styleId="CommentTextChar">
    <w:name w:val="Comment Text Char"/>
    <w:basedOn w:val="DefaultParagraphFont"/>
    <w:link w:val="CommentText"/>
    <w:rsid w:val="00E65C8F"/>
  </w:style>
  <w:style w:type="paragraph" w:styleId="CommentSubject">
    <w:name w:val="annotation subject"/>
    <w:basedOn w:val="CommentText"/>
    <w:next w:val="CommentText"/>
    <w:link w:val="CommentSubjectChar"/>
    <w:semiHidden/>
    <w:unhideWhenUsed/>
    <w:rsid w:val="00E65C8F"/>
    <w:rPr>
      <w:b/>
      <w:bCs/>
    </w:rPr>
  </w:style>
  <w:style w:type="character" w:customStyle="1" w:styleId="CommentSubjectChar">
    <w:name w:val="Comment Subject Char"/>
    <w:basedOn w:val="CommentTextChar"/>
    <w:link w:val="CommentSubject"/>
    <w:semiHidden/>
    <w:rsid w:val="00E65C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DDC72-4443-4D11-BBCA-A0638AC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4214</Words>
  <Characters>24489</Characters>
  <Application>Microsoft Office Word</Application>
  <DocSecurity>0</DocSecurity>
  <Lines>979</Lines>
  <Paragraphs>428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SOLL Susan Benzon</dc:creator>
  <cp:lastModifiedBy>GROSELJ Katarina</cp:lastModifiedBy>
  <cp:revision>2</cp:revision>
  <cp:lastPrinted>2004-11-04T09:41:00Z</cp:lastPrinted>
  <dcterms:created xsi:type="dcterms:W3CDTF">2021-01-07T14:56:00Z</dcterms:created>
  <dcterms:modified xsi:type="dcterms:W3CDTF">2021-01-07T14:56:00Z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1218141</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\\eiciLUXpr1\pdocep$\DocEP\TRANSFIL\EN\PR_COD_1amCom.EN(07/09/2020 18:06:27)</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PR\1218141SL.docx</vt:lpwstr>
  </property>
  <property fmtid="{D5CDD505-2E9C-101B-9397-08002B2CF9AE}" pid="10" name="LastEdited with">
    <vt:lpwstr>9.9.1 Build [20200705]</vt:lpwstr>
  </property>
  <property fmtid="{D5CDD505-2E9C-101B-9397-08002B2CF9AE}" pid="11" name="PE number">
    <vt:lpwstr>660.310</vt:lpwstr>
  </property>
  <property fmtid="{D5CDD505-2E9C-101B-9397-08002B2CF9AE}" pid="12" name="SDLStudio">
    <vt:lpwstr/>
  </property>
  <property fmtid="{D5CDD505-2E9C-101B-9397-08002B2CF9AE}" pid="13" name="SendToEpades">
    <vt:lpwstr>OK(AMNUM) - 2020/12/15 14:15</vt:lpwstr>
  </property>
  <property fmtid="{D5CDD505-2E9C-101B-9397-08002B2CF9AE}" pid="14" name="Bookout">
    <vt:lpwstr>OK - 2021/01/07 15:56</vt:lpwstr>
  </property>
</Properties>
</file>