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847DF" w:rsidRPr="00BB5D51" w:rsidTr="00C85D0F">
        <w:trPr>
          <w:trHeight w:hRule="exact" w:val="1418"/>
        </w:trPr>
        <w:tc>
          <w:tcPr>
            <w:tcW w:w="6804" w:type="dxa"/>
            <w:shd w:val="clear" w:color="auto" w:fill="auto"/>
            <w:vAlign w:val="center"/>
          </w:tcPr>
          <w:p w:rsidR="00B13D6F" w:rsidRPr="00BB5D51" w:rsidRDefault="00BB5D51" w:rsidP="00C85D0F">
            <w:pPr>
              <w:pStyle w:val="EPName"/>
            </w:pPr>
            <w:r w:rsidRPr="00BB5D51">
              <w:t>Europa-Parlamentet</w:t>
            </w:r>
          </w:p>
          <w:p w:rsidR="00B13D6F" w:rsidRPr="00BB5D51" w:rsidRDefault="00BB5D51" w:rsidP="00135915">
            <w:pPr>
              <w:pStyle w:val="EPTerm"/>
            </w:pPr>
            <w:r w:rsidRPr="00BB5D51">
              <w:t>2019-2024</w:t>
            </w:r>
          </w:p>
        </w:tc>
        <w:tc>
          <w:tcPr>
            <w:tcW w:w="2268" w:type="dxa"/>
            <w:shd w:val="clear" w:color="auto" w:fill="auto"/>
          </w:tcPr>
          <w:p w:rsidR="00B13D6F" w:rsidRPr="00BB5D51" w:rsidRDefault="00BB5D51" w:rsidP="00C85D0F">
            <w:pPr>
              <w:pStyle w:val="EPLogo"/>
            </w:pPr>
            <w:r w:rsidRPr="00BB5D51">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BB5D51" w:rsidRDefault="00461601" w:rsidP="00461601">
      <w:pPr>
        <w:pStyle w:val="LineTop"/>
      </w:pPr>
    </w:p>
    <w:p w:rsidR="00461601" w:rsidRPr="00BB5D51" w:rsidRDefault="00BB5D51" w:rsidP="00135915">
      <w:pPr>
        <w:pStyle w:val="EPBody"/>
      </w:pPr>
      <w:r w:rsidRPr="00BB5D51">
        <w:rPr>
          <w:rStyle w:val="HideTWBExt"/>
          <w:noProof w:val="0"/>
        </w:rPr>
        <w:t>&lt;</w:t>
      </w:r>
      <w:r w:rsidRPr="00BB5D51">
        <w:rPr>
          <w:rStyle w:val="HideTWBExt"/>
          <w:i w:val="0"/>
          <w:noProof w:val="0"/>
        </w:rPr>
        <w:t>Commission</w:t>
      </w:r>
      <w:r w:rsidRPr="00BB5D51">
        <w:rPr>
          <w:rStyle w:val="HideTWBExt"/>
          <w:noProof w:val="0"/>
        </w:rPr>
        <w:t>&gt;</w:t>
      </w:r>
      <w:r w:rsidRPr="00BB5D51">
        <w:rPr>
          <w:rStyle w:val="HideTWBInt"/>
          <w:color w:val="auto"/>
        </w:rPr>
        <w:t>{TRAN}</w:t>
      </w:r>
      <w:r w:rsidRPr="00BB5D51">
        <w:t>Transport- og Turismeudvalget</w:t>
      </w:r>
      <w:r w:rsidRPr="00BB5D51">
        <w:rPr>
          <w:rStyle w:val="HideTWBExt"/>
          <w:noProof w:val="0"/>
        </w:rPr>
        <w:t>&lt;/</w:t>
      </w:r>
      <w:r w:rsidRPr="00BB5D51">
        <w:rPr>
          <w:rStyle w:val="HideTWBExt"/>
          <w:i w:val="0"/>
          <w:noProof w:val="0"/>
        </w:rPr>
        <w:t>Commission</w:t>
      </w:r>
      <w:r w:rsidRPr="00BB5D51">
        <w:rPr>
          <w:rStyle w:val="HideTWBExt"/>
          <w:noProof w:val="0"/>
        </w:rPr>
        <w:t>&gt;</w:t>
      </w:r>
    </w:p>
    <w:p w:rsidR="00461601" w:rsidRPr="00BB5D51" w:rsidRDefault="00461601" w:rsidP="00461601">
      <w:pPr>
        <w:pStyle w:val="LineBottom"/>
      </w:pPr>
    </w:p>
    <w:p w:rsidR="00793EA9" w:rsidRPr="00BB5D51" w:rsidRDefault="00BB5D51" w:rsidP="00135915">
      <w:pPr>
        <w:pStyle w:val="CoverReference"/>
      </w:pPr>
      <w:r w:rsidRPr="00BB5D51">
        <w:rPr>
          <w:rStyle w:val="HideTWBExt"/>
          <w:b w:val="0"/>
          <w:noProof w:val="0"/>
        </w:rPr>
        <w:t>&lt;RefProc&gt;</w:t>
      </w:r>
      <w:r w:rsidRPr="00BB5D51">
        <w:t>2023/0164</w:t>
      </w:r>
      <w:r w:rsidRPr="00BB5D51">
        <w:rPr>
          <w:rStyle w:val="HideTWBExt"/>
          <w:b w:val="0"/>
          <w:noProof w:val="0"/>
        </w:rPr>
        <w:t>&lt;/RefProc&gt;&lt;RefTypeProc&gt;</w:t>
      </w:r>
      <w:r w:rsidRPr="00BB5D51">
        <w:t>(COD)</w:t>
      </w:r>
      <w:r w:rsidRPr="00BB5D51">
        <w:rPr>
          <w:rStyle w:val="HideTWBExt"/>
          <w:b w:val="0"/>
          <w:noProof w:val="0"/>
        </w:rPr>
        <w:t>&lt;/RefTypeProc&gt;</w:t>
      </w:r>
    </w:p>
    <w:p w:rsidR="00793EA9" w:rsidRPr="00BB5D51" w:rsidRDefault="00BB5D51" w:rsidP="00135915">
      <w:pPr>
        <w:pStyle w:val="CoverDate"/>
      </w:pPr>
      <w:r w:rsidRPr="00BB5D51">
        <w:rPr>
          <w:rStyle w:val="HideTWBExt"/>
          <w:noProof w:val="0"/>
        </w:rPr>
        <w:t>&lt;Date&gt;</w:t>
      </w:r>
      <w:r w:rsidRPr="00BB5D51">
        <w:rPr>
          <w:rStyle w:val="HideTWBInt"/>
          <w:color w:val="auto"/>
        </w:rPr>
        <w:t>{18/09/2023}</w:t>
      </w:r>
      <w:r w:rsidRPr="00BB5D51">
        <w:t>18.9.2023</w:t>
      </w:r>
      <w:r w:rsidRPr="00BB5D51">
        <w:rPr>
          <w:rStyle w:val="HideTWBExt"/>
          <w:noProof w:val="0"/>
        </w:rPr>
        <w:t>&lt;/Date&gt;</w:t>
      </w:r>
    </w:p>
    <w:p w:rsidR="00793EA9" w:rsidRPr="00BB5D51" w:rsidRDefault="00BB5D51">
      <w:pPr>
        <w:pStyle w:val="CoverDocType"/>
      </w:pPr>
      <w:r w:rsidRPr="00BB5D51">
        <w:rPr>
          <w:rStyle w:val="HideTWBExt"/>
          <w:b w:val="0"/>
          <w:noProof w:val="0"/>
        </w:rPr>
        <w:t>&lt;RefProcLect&gt;</w:t>
      </w:r>
      <w:r w:rsidRPr="00BB5D51">
        <w:t>***I</w:t>
      </w:r>
      <w:r w:rsidRPr="00BB5D51">
        <w:rPr>
          <w:rStyle w:val="HideTWBExt"/>
          <w:b w:val="0"/>
          <w:noProof w:val="0"/>
        </w:rPr>
        <w:t>&lt;/RefProcLect&gt;</w:t>
      </w:r>
    </w:p>
    <w:p w:rsidR="00793EA9" w:rsidRPr="00BB5D51" w:rsidRDefault="00BB5D51">
      <w:pPr>
        <w:pStyle w:val="CoverDocType24a"/>
      </w:pPr>
      <w:r w:rsidRPr="00BB5D51">
        <w:rPr>
          <w:rStyle w:val="HideTWBExt"/>
          <w:b w:val="0"/>
          <w:noProof w:val="0"/>
        </w:rPr>
        <w:t>&lt;TitreType&gt;</w:t>
      </w:r>
      <w:r w:rsidRPr="00BB5D51">
        <w:t>UDKAST TIL BETÆNKNING</w:t>
      </w:r>
      <w:r w:rsidRPr="00BB5D51">
        <w:rPr>
          <w:rStyle w:val="HideTWBExt"/>
          <w:b w:val="0"/>
          <w:noProof w:val="0"/>
        </w:rPr>
        <w:t>&lt;/TitreType&gt;</w:t>
      </w:r>
    </w:p>
    <w:p w:rsidR="00135915" w:rsidRPr="00BB5D51" w:rsidRDefault="00BB5D51" w:rsidP="00135915">
      <w:pPr>
        <w:pStyle w:val="CoverNormal"/>
      </w:pPr>
      <w:r w:rsidRPr="00BB5D51">
        <w:rPr>
          <w:rStyle w:val="HideTWBExt"/>
          <w:noProof w:val="0"/>
        </w:rPr>
        <w:t>&lt;Titre&gt;</w:t>
      </w:r>
      <w:r w:rsidRPr="00BB5D51">
        <w:t>om forslag til Europa-Parlamentets og Rådets direktiv om ændring af direktiv 2009/18/EF om de grundlæggende principper for undersøgelser af ulykker i søtransportsektoren</w:t>
      </w:r>
      <w:r w:rsidRPr="00BB5D51">
        <w:rPr>
          <w:rStyle w:val="HideTWBExt"/>
          <w:noProof w:val="0"/>
        </w:rPr>
        <w:t>&lt;/Titre&gt;</w:t>
      </w:r>
    </w:p>
    <w:p w:rsidR="00135915" w:rsidRPr="00BB5D51" w:rsidRDefault="00BB5D51" w:rsidP="00135915">
      <w:pPr>
        <w:pStyle w:val="CoverNormal24a"/>
      </w:pPr>
      <w:r w:rsidRPr="00BB5D51">
        <w:rPr>
          <w:rStyle w:val="HideTWBExt"/>
          <w:noProof w:val="0"/>
        </w:rPr>
        <w:t>&lt;DocRef&gt;</w:t>
      </w:r>
      <w:r w:rsidRPr="00BB5D51">
        <w:t>(COM(2023)0270 – C9</w:t>
      </w:r>
      <w:r w:rsidRPr="00BB5D51">
        <w:noBreakHyphen/>
        <w:t>0189/2023 – 2023/0164(COD))</w:t>
      </w:r>
      <w:r w:rsidRPr="00BB5D51">
        <w:rPr>
          <w:rStyle w:val="HideTWBExt"/>
          <w:noProof w:val="0"/>
        </w:rPr>
        <w:t>&lt;/D</w:t>
      </w:r>
      <w:r w:rsidRPr="00BB5D51">
        <w:rPr>
          <w:rStyle w:val="HideTWBExt"/>
          <w:noProof w:val="0"/>
        </w:rPr>
        <w:t>ocRef&gt;</w:t>
      </w:r>
    </w:p>
    <w:p w:rsidR="00793EA9" w:rsidRPr="00BB5D51" w:rsidRDefault="00BB5D51" w:rsidP="00135915">
      <w:pPr>
        <w:pStyle w:val="CoverNormal24a"/>
      </w:pPr>
      <w:r w:rsidRPr="00BB5D51">
        <w:rPr>
          <w:rStyle w:val="HideTWBExt"/>
          <w:noProof w:val="0"/>
        </w:rPr>
        <w:t>&lt;Commission&gt;</w:t>
      </w:r>
      <w:r w:rsidRPr="00BB5D51">
        <w:rPr>
          <w:rStyle w:val="HideTWBInt"/>
          <w:color w:val="auto"/>
        </w:rPr>
        <w:t>{TRAN}</w:t>
      </w:r>
      <w:r w:rsidRPr="00BB5D51">
        <w:t>Transport- og Turismeudvalget</w:t>
      </w:r>
      <w:r w:rsidRPr="00BB5D51">
        <w:rPr>
          <w:rStyle w:val="HideTWBExt"/>
          <w:noProof w:val="0"/>
        </w:rPr>
        <w:t>&lt;/Commission&gt;</w:t>
      </w:r>
    </w:p>
    <w:p w:rsidR="00793EA9" w:rsidRPr="00BB5D51" w:rsidRDefault="00BB5D51" w:rsidP="00135915">
      <w:pPr>
        <w:pStyle w:val="CoverNormal24a"/>
      </w:pPr>
      <w:r w:rsidRPr="00BB5D51">
        <w:t xml:space="preserve">Ordfører: </w:t>
      </w:r>
      <w:r w:rsidRPr="00BB5D51">
        <w:rPr>
          <w:rStyle w:val="HideTWBExt"/>
          <w:noProof w:val="0"/>
        </w:rPr>
        <w:t>&lt;Depute&gt;</w:t>
      </w:r>
      <w:r w:rsidRPr="00BB5D51">
        <w:t>Caroline Nagtegaal</w:t>
      </w:r>
      <w:r w:rsidRPr="00BB5D51">
        <w:rPr>
          <w:rStyle w:val="HideTWBExt"/>
          <w:noProof w:val="0"/>
        </w:rPr>
        <w:t>&lt;/Depute&gt;</w:t>
      </w:r>
    </w:p>
    <w:p w:rsidR="001C5B44" w:rsidRPr="00BB5D51" w:rsidRDefault="001C5B44" w:rsidP="001C5B44">
      <w:pPr>
        <w:pStyle w:val="CoverNormal"/>
      </w:pPr>
    </w:p>
    <w:p w:rsidR="00135915" w:rsidRPr="00BB5D51" w:rsidRDefault="00BB5D51" w:rsidP="00894923">
      <w:r w:rsidRPr="00BB5D51">
        <w:br w:type="page"/>
      </w:r>
      <w:r w:rsidR="00E9559A" w:rsidRPr="00BB5D51">
        <w:lastRenderedPageBreak/>
        <w:fldChar w:fldCharType="begin"/>
      </w:r>
      <w:r w:rsidRPr="00BB5D51">
        <w:instrText xml:space="preserve"> TITLE  \* MERGEFORMAT </w:instrText>
      </w:r>
      <w:r w:rsidR="00E9559A" w:rsidRPr="00BB5D51">
        <w:fldChar w:fldCharType="separate"/>
      </w:r>
      <w:r>
        <w:t>PR_COD_1amCom</w:t>
      </w:r>
      <w:r w:rsidR="00E9559A" w:rsidRPr="00BB5D51">
        <w:fldChar w:fldCharType="end"/>
      </w:r>
    </w:p>
    <w:p w:rsidR="00135915" w:rsidRPr="00BB5D51" w:rsidRDefault="00135915" w:rsidP="00894923"/>
    <w:p w:rsidR="00135915" w:rsidRPr="00BB5D51" w:rsidRDefault="00135915"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847DF" w:rsidRPr="00BB5D51">
        <w:tc>
          <w:tcPr>
            <w:tcW w:w="5811" w:type="dxa"/>
          </w:tcPr>
          <w:p w:rsidR="00135915" w:rsidRPr="00BB5D51" w:rsidRDefault="00BB5D51" w:rsidP="00894923">
            <w:pPr>
              <w:pStyle w:val="Lgendetitre"/>
            </w:pPr>
            <w:r w:rsidRPr="00BB5D51">
              <w:t>Tegnforklaring</w:t>
            </w:r>
          </w:p>
        </w:tc>
      </w:tr>
      <w:tr w:rsidR="00C847DF" w:rsidRPr="00BB5D51" w:rsidTr="00C50C36">
        <w:trPr>
          <w:cantSplit/>
          <w:trHeight w:val="1944"/>
        </w:trPr>
        <w:tc>
          <w:tcPr>
            <w:tcW w:w="5811" w:type="dxa"/>
            <w:tcBorders>
              <w:bottom w:val="single" w:sz="4" w:space="0" w:color="auto"/>
            </w:tcBorders>
          </w:tcPr>
          <w:p w:rsidR="00135915" w:rsidRPr="00BB5D51" w:rsidRDefault="00BB5D51" w:rsidP="00C36C9E">
            <w:pPr>
              <w:pStyle w:val="Lgendesigne"/>
              <w:rPr>
                <w:szCs w:val="24"/>
              </w:rPr>
            </w:pPr>
            <w:r w:rsidRPr="00BB5D51">
              <w:tab/>
              <w:t>*</w:t>
            </w:r>
            <w:r w:rsidRPr="00BB5D51">
              <w:tab/>
              <w:t>Høringsprocedure</w:t>
            </w:r>
          </w:p>
          <w:p w:rsidR="00135915" w:rsidRPr="00BB5D51" w:rsidRDefault="00BB5D51" w:rsidP="00C36C9E">
            <w:pPr>
              <w:pStyle w:val="Lgendesigne"/>
              <w:rPr>
                <w:szCs w:val="24"/>
              </w:rPr>
            </w:pPr>
            <w:r w:rsidRPr="00BB5D51">
              <w:tab/>
              <w:t>***</w:t>
            </w:r>
            <w:r w:rsidRPr="00BB5D51">
              <w:tab/>
              <w:t>Godkendelsesprocedure</w:t>
            </w:r>
          </w:p>
          <w:p w:rsidR="00135915" w:rsidRPr="00BB5D51" w:rsidRDefault="00BB5D51" w:rsidP="00C36C9E">
            <w:pPr>
              <w:pStyle w:val="Lgendesigne"/>
              <w:rPr>
                <w:szCs w:val="24"/>
              </w:rPr>
            </w:pPr>
            <w:r w:rsidRPr="00BB5D51">
              <w:tab/>
              <w:t>***I</w:t>
            </w:r>
            <w:r w:rsidRPr="00BB5D51">
              <w:tab/>
              <w:t xml:space="preserve">Almindelig </w:t>
            </w:r>
            <w:r w:rsidRPr="00BB5D51">
              <w:t>lovgivningsprocedure (førstebehandling)</w:t>
            </w:r>
          </w:p>
          <w:p w:rsidR="00135915" w:rsidRPr="00BB5D51" w:rsidRDefault="00BB5D51" w:rsidP="00C36C9E">
            <w:pPr>
              <w:pStyle w:val="Lgendesigne"/>
              <w:rPr>
                <w:szCs w:val="24"/>
              </w:rPr>
            </w:pPr>
            <w:r w:rsidRPr="00BB5D51">
              <w:tab/>
              <w:t>***II</w:t>
            </w:r>
            <w:r w:rsidRPr="00BB5D51">
              <w:tab/>
              <w:t>Almindelig lovgivningsprocedure (andenbehandling)</w:t>
            </w:r>
          </w:p>
          <w:p w:rsidR="00135915" w:rsidRPr="00BB5D51" w:rsidRDefault="00BB5D51" w:rsidP="00C36C9E">
            <w:pPr>
              <w:pStyle w:val="Lgendesigne"/>
              <w:rPr>
                <w:szCs w:val="24"/>
              </w:rPr>
            </w:pPr>
            <w:r w:rsidRPr="00BB5D51">
              <w:tab/>
              <w:t>***III</w:t>
            </w:r>
            <w:r w:rsidRPr="00BB5D51">
              <w:tab/>
              <w:t>Almindelig lovgivningsprocedure (tredjebehandling)</w:t>
            </w:r>
          </w:p>
          <w:p w:rsidR="00135915" w:rsidRPr="00BB5D51" w:rsidRDefault="00135915" w:rsidP="0069092A">
            <w:pPr>
              <w:pStyle w:val="Lgendestandard"/>
            </w:pPr>
          </w:p>
          <w:p w:rsidR="00135915" w:rsidRPr="00BB5D51" w:rsidRDefault="00BB5D51" w:rsidP="0069092A">
            <w:pPr>
              <w:pStyle w:val="Lgendestandard"/>
            </w:pPr>
            <w:r w:rsidRPr="00BB5D51">
              <w:t>(Proceduren afhænger af, hvilket retsgrundlag der er valgt i udkastet til retsakt)</w:t>
            </w:r>
          </w:p>
          <w:p w:rsidR="00135915" w:rsidRPr="00BB5D51" w:rsidRDefault="00135915" w:rsidP="0031005B">
            <w:pPr>
              <w:pStyle w:val="Lgendestandard"/>
            </w:pPr>
          </w:p>
        </w:tc>
      </w:tr>
    </w:tbl>
    <w:p w:rsidR="00135915" w:rsidRPr="00BB5D51" w:rsidRDefault="00135915" w:rsidP="00894923"/>
    <w:p w:rsidR="00135915" w:rsidRPr="00BB5D51" w:rsidRDefault="00135915" w:rsidP="00894923"/>
    <w:p w:rsidR="00135915" w:rsidRPr="00BB5D51" w:rsidRDefault="00135915" w:rsidP="00894923"/>
    <w:p w:rsidR="00135915" w:rsidRPr="00BB5D51" w:rsidRDefault="00135915"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847DF" w:rsidRPr="00BB5D51">
        <w:tc>
          <w:tcPr>
            <w:tcW w:w="5811" w:type="dxa"/>
          </w:tcPr>
          <w:p w:rsidR="00135915" w:rsidRPr="00BB5D51" w:rsidRDefault="00BB5D51" w:rsidP="00894923">
            <w:pPr>
              <w:pStyle w:val="Lgendetitre"/>
            </w:pPr>
            <w:r w:rsidRPr="00BB5D51">
              <w:t>Ændringsforslag til et udkast til retsakt</w:t>
            </w:r>
          </w:p>
        </w:tc>
      </w:tr>
      <w:tr w:rsidR="00C847DF" w:rsidRPr="00BB5D51" w:rsidTr="006E3697">
        <w:trPr>
          <w:trHeight w:val="4923"/>
        </w:trPr>
        <w:tc>
          <w:tcPr>
            <w:tcW w:w="5811" w:type="dxa"/>
          </w:tcPr>
          <w:p w:rsidR="00135915" w:rsidRPr="00BB5D51" w:rsidRDefault="00BB5D51" w:rsidP="00C36C9E">
            <w:pPr>
              <w:pStyle w:val="Lgendestandard"/>
              <w:rPr>
                <w:b/>
                <w:szCs w:val="24"/>
              </w:rPr>
            </w:pPr>
            <w:r w:rsidRPr="00BB5D51">
              <w:rPr>
                <w:b/>
              </w:rPr>
              <w:t>Ændringsforslag fra Parlamentet opstillet i to kolonner</w:t>
            </w:r>
          </w:p>
          <w:p w:rsidR="00135915" w:rsidRPr="00BB5D51" w:rsidRDefault="00135915" w:rsidP="00C36C9E">
            <w:pPr>
              <w:pStyle w:val="Lgendestandard"/>
            </w:pPr>
          </w:p>
          <w:p w:rsidR="00135915" w:rsidRPr="00BB5D51" w:rsidRDefault="00BB5D51" w:rsidP="00C36C9E">
            <w:pPr>
              <w:pStyle w:val="Lgendestandard"/>
            </w:pPr>
            <w:r w:rsidRPr="00BB5D51">
              <w:t xml:space="preserve">Tekst, der udgår, er markeret med </w:t>
            </w:r>
            <w:r w:rsidRPr="00BB5D51">
              <w:rPr>
                <w:b/>
                <w:i/>
              </w:rPr>
              <w:t>fede typer og kursiv</w:t>
            </w:r>
            <w:r w:rsidRPr="00BB5D51">
              <w:t xml:space="preserve"> i venstre kolonne. Tekst, der udskiftes, er markeret med </w:t>
            </w:r>
            <w:r w:rsidRPr="00BB5D51">
              <w:rPr>
                <w:b/>
                <w:i/>
              </w:rPr>
              <w:t>fede typer og kursiv</w:t>
            </w:r>
            <w:r w:rsidRPr="00BB5D51">
              <w:t xml:space="preserve"> i begge kolonner. </w:t>
            </w:r>
            <w:r w:rsidRPr="00BB5D51">
              <w:t xml:space="preserve">Ny tekst er markeret med </w:t>
            </w:r>
            <w:r w:rsidRPr="00BB5D51">
              <w:rPr>
                <w:b/>
                <w:i/>
              </w:rPr>
              <w:t>fede typer og kursiv</w:t>
            </w:r>
            <w:r w:rsidRPr="00BB5D51">
              <w:t xml:space="preserve"> i højre kolonne.</w:t>
            </w:r>
          </w:p>
          <w:p w:rsidR="00135915" w:rsidRPr="00BB5D51" w:rsidRDefault="00135915" w:rsidP="00C36C9E">
            <w:pPr>
              <w:pStyle w:val="Lgendestandard"/>
            </w:pPr>
          </w:p>
          <w:p w:rsidR="00135915" w:rsidRPr="00BB5D51" w:rsidRDefault="00BB5D51" w:rsidP="00C36C9E">
            <w:pPr>
              <w:pStyle w:val="Lgendestandard"/>
            </w:pPr>
            <w:r w:rsidRPr="00BB5D51">
              <w:t>Den første og den anden linje i informationsblokken til hvert ændringsforslag angiver den relevante passage i det pågældende udkast til retsakt. Hvis et ændringsforslag angår en eksisterende r</w:t>
            </w:r>
            <w:r w:rsidRPr="00BB5D51">
              <w:t>etsakt, som udkastet til retsakt har til formål at ændre, indeholder informationsblokken tillige en tredje og en fjerde linje, hvori det er anført, hvilken eksisterende retsakt og hvilken bestemmelse heri der er berørt.</w:t>
            </w:r>
          </w:p>
          <w:p w:rsidR="00135915" w:rsidRPr="00BB5D51" w:rsidRDefault="00135915" w:rsidP="00C36C9E">
            <w:pPr>
              <w:pStyle w:val="Lgendestandard"/>
            </w:pPr>
          </w:p>
          <w:p w:rsidR="00135915" w:rsidRPr="00BB5D51" w:rsidRDefault="00BB5D51" w:rsidP="00C36C9E">
            <w:pPr>
              <w:pStyle w:val="Lgendestandard"/>
              <w:rPr>
                <w:b/>
                <w:szCs w:val="24"/>
              </w:rPr>
            </w:pPr>
            <w:r w:rsidRPr="00BB5D51">
              <w:rPr>
                <w:b/>
              </w:rPr>
              <w:t>Ændringsforslag fra Parlamentet i f</w:t>
            </w:r>
            <w:r w:rsidRPr="00BB5D51">
              <w:rPr>
                <w:b/>
              </w:rPr>
              <w:t>orm af en konsolideret tekst</w:t>
            </w:r>
          </w:p>
          <w:p w:rsidR="00135915" w:rsidRPr="00BB5D51" w:rsidRDefault="00135915" w:rsidP="00C36C9E">
            <w:pPr>
              <w:pStyle w:val="Lgendestandard"/>
              <w:rPr>
                <w:szCs w:val="24"/>
              </w:rPr>
            </w:pPr>
          </w:p>
          <w:p w:rsidR="00135915" w:rsidRPr="00BB5D51" w:rsidRDefault="00BB5D51" w:rsidP="00C36C9E">
            <w:pPr>
              <w:pStyle w:val="Lgendestandard"/>
            </w:pPr>
            <w:r w:rsidRPr="00BB5D51">
              <w:t xml:space="preserve">Ny tekst er markeret med </w:t>
            </w:r>
            <w:r w:rsidRPr="00BB5D51">
              <w:rPr>
                <w:b/>
                <w:i/>
              </w:rPr>
              <w:t>fede typer og kursiv</w:t>
            </w:r>
            <w:r w:rsidRPr="00BB5D51">
              <w:t xml:space="preserve">. Tekst, som er bortfaldet, markeres med symbolet ▌eller med overstregning. Ved udskiftninger markeres den nye tekst med </w:t>
            </w:r>
            <w:r w:rsidRPr="00BB5D51">
              <w:rPr>
                <w:b/>
                <w:i/>
              </w:rPr>
              <w:t>fede typer og kursiv</w:t>
            </w:r>
            <w:r w:rsidRPr="00BB5D51">
              <w:t xml:space="preserve">, og den udskiftede tekst slettes eller </w:t>
            </w:r>
            <w:r w:rsidRPr="00BB5D51">
              <w:t>overstreges.</w:t>
            </w:r>
          </w:p>
          <w:p w:rsidR="00135915" w:rsidRPr="00BB5D51" w:rsidRDefault="00BB5D51" w:rsidP="00C36C9E">
            <w:pPr>
              <w:pStyle w:val="Lgendestandard"/>
              <w:rPr>
                <w:szCs w:val="24"/>
              </w:rPr>
            </w:pPr>
            <w:r w:rsidRPr="00BB5D51">
              <w:t>Som en undtagelse bliver rent tekniske justeringer, der er foretaget af de berørte tjenestegrene med henblik på udarbejdelsen af den endelige tekst, ikke markeret.</w:t>
            </w:r>
          </w:p>
          <w:p w:rsidR="00135915" w:rsidRPr="00BB5D51" w:rsidRDefault="00135915" w:rsidP="0069092A">
            <w:pPr>
              <w:pStyle w:val="Lgendestandard"/>
            </w:pPr>
          </w:p>
        </w:tc>
      </w:tr>
    </w:tbl>
    <w:p w:rsidR="00135915" w:rsidRPr="00BB5D51" w:rsidRDefault="00135915" w:rsidP="00894923"/>
    <w:p w:rsidR="00793EA9" w:rsidRPr="00BB5D51" w:rsidRDefault="00793EA9" w:rsidP="00135915">
      <w:pPr>
        <w:widowControl/>
        <w:tabs>
          <w:tab w:val="center" w:pos="4677"/>
        </w:tabs>
      </w:pPr>
    </w:p>
    <w:p w:rsidR="00793EA9" w:rsidRPr="00BB5D51" w:rsidRDefault="00BB5D51">
      <w:pPr>
        <w:pStyle w:val="TOCHeading"/>
      </w:pPr>
      <w:r w:rsidRPr="00BB5D51">
        <w:br w:type="page"/>
      </w:r>
      <w:r w:rsidRPr="00BB5D51">
        <w:lastRenderedPageBreak/>
        <w:t>INDHOLD</w:t>
      </w:r>
    </w:p>
    <w:p w:rsidR="00793EA9" w:rsidRPr="00BB5D51" w:rsidRDefault="00BB5D51">
      <w:pPr>
        <w:pStyle w:val="TOCPage"/>
      </w:pPr>
      <w:r w:rsidRPr="00BB5D51">
        <w:t>Side</w:t>
      </w:r>
    </w:p>
    <w:p w:rsidR="00BB5D51" w:rsidRDefault="00BB5D51">
      <w:pPr>
        <w:pStyle w:val="TOC1"/>
        <w:tabs>
          <w:tab w:val="right" w:leader="dot" w:pos="9060"/>
        </w:tabs>
        <w:rPr>
          <w:rFonts w:asciiTheme="minorHAnsi" w:eastAsiaTheme="minorEastAsia" w:hAnsiTheme="minorHAnsi" w:cstheme="minorBidi"/>
          <w:noProof/>
          <w:sz w:val="22"/>
          <w:szCs w:val="22"/>
          <w:lang w:val="en-GB"/>
        </w:rPr>
      </w:pPr>
      <w:r w:rsidRPr="00BB5D51">
        <w:rPr>
          <w:b/>
        </w:rPr>
        <w:fldChar w:fldCharType="begin"/>
      </w:r>
      <w:r w:rsidRPr="00BB5D51">
        <w:rPr>
          <w:b/>
        </w:rPr>
        <w:instrText xml:space="preserve"> TOC \t "PageHeading;</w:instrText>
      </w:r>
      <w:r w:rsidRPr="00BB5D51">
        <w:rPr>
          <w:b/>
        </w:rPr>
        <w:instrText xml:space="preserve">1" </w:instrText>
      </w:r>
      <w:r w:rsidRPr="00BB5D51">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_Toc147226162 \h </w:instrText>
      </w:r>
      <w:r>
        <w:rPr>
          <w:noProof/>
        </w:rPr>
      </w:r>
      <w:r>
        <w:rPr>
          <w:noProof/>
        </w:rPr>
        <w:fldChar w:fldCharType="separate"/>
      </w:r>
      <w:r>
        <w:rPr>
          <w:noProof/>
        </w:rPr>
        <w:t>5</w:t>
      </w:r>
      <w:r>
        <w:rPr>
          <w:noProof/>
        </w:rPr>
        <w:fldChar w:fldCharType="end"/>
      </w:r>
    </w:p>
    <w:p w:rsidR="00BB5D51" w:rsidRDefault="00BB5D51">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_Toc147226163 \h </w:instrText>
      </w:r>
      <w:r>
        <w:rPr>
          <w:noProof/>
        </w:rPr>
      </w:r>
      <w:r>
        <w:rPr>
          <w:noProof/>
        </w:rPr>
        <w:fldChar w:fldCharType="separate"/>
      </w:r>
      <w:r>
        <w:rPr>
          <w:noProof/>
        </w:rPr>
        <w:t>17</w:t>
      </w:r>
      <w:r>
        <w:rPr>
          <w:noProof/>
        </w:rPr>
        <w:fldChar w:fldCharType="end"/>
      </w:r>
    </w:p>
    <w:p w:rsidR="002346B0" w:rsidRPr="00BB5D51" w:rsidRDefault="00BB5D51" w:rsidP="00C23324">
      <w:r w:rsidRPr="00BB5D51">
        <w:rPr>
          <w:b/>
        </w:rPr>
        <w:fldChar w:fldCharType="end"/>
      </w:r>
    </w:p>
    <w:p w:rsidR="00793EA9" w:rsidRPr="00BB5D51" w:rsidRDefault="00BB5D51">
      <w:pPr>
        <w:pStyle w:val="PageHeading"/>
      </w:pPr>
      <w:r w:rsidRPr="00BB5D51">
        <w:br w:type="page"/>
      </w:r>
      <w:r w:rsidRPr="00BB5D51">
        <w:lastRenderedPageBreak/>
        <w:br w:type="page"/>
      </w:r>
      <w:bookmarkStart w:id="0" w:name="_Toc147226162"/>
      <w:r w:rsidRPr="00BB5D51">
        <w:lastRenderedPageBreak/>
        <w:t>FORSLAG TIL EUROPA-PARLAMENTETS LOVGIVNINGSMÆSSIGE BESLUTNING</w:t>
      </w:r>
      <w:bookmarkEnd w:id="0"/>
    </w:p>
    <w:p w:rsidR="00135915" w:rsidRPr="00BB5D51" w:rsidRDefault="00BB5D51" w:rsidP="00135915">
      <w:pPr>
        <w:pStyle w:val="NormalBold"/>
      </w:pPr>
      <w:r w:rsidRPr="00BB5D51">
        <w:t xml:space="preserve">om forslag til Europa-Parlamentets og Rådets direktiv om ændring af direktiv 2009/18/EF om de grundlæggende principper for </w:t>
      </w:r>
      <w:r w:rsidRPr="00BB5D51">
        <w:t>undersøgelser af ulykker i søtransportsektoren</w:t>
      </w:r>
    </w:p>
    <w:p w:rsidR="00135915" w:rsidRPr="00BB5D51" w:rsidRDefault="00BB5D51" w:rsidP="00135915">
      <w:pPr>
        <w:pStyle w:val="NormalBold12a"/>
      </w:pPr>
      <w:r w:rsidRPr="00BB5D51">
        <w:t>(COM2023)0270 – C9</w:t>
      </w:r>
      <w:r w:rsidRPr="00BB5D51">
        <w:noBreakHyphen/>
        <w:t>0189/2023 – 2023/0164(COD))</w:t>
      </w:r>
    </w:p>
    <w:p w:rsidR="00793EA9" w:rsidRPr="00BB5D51" w:rsidRDefault="00BB5D51" w:rsidP="00A910C9">
      <w:pPr>
        <w:pStyle w:val="NormalBold"/>
      </w:pPr>
      <w:r w:rsidRPr="00BB5D51">
        <w:t>(Almindelig lovgivningsprocedure: førstebehandling)</w:t>
      </w:r>
    </w:p>
    <w:p w:rsidR="00793EA9" w:rsidRPr="00BB5D51" w:rsidRDefault="00BB5D51" w:rsidP="00A910C9">
      <w:pPr>
        <w:pStyle w:val="EPComma"/>
      </w:pPr>
      <w:r w:rsidRPr="00BB5D51">
        <w:rPr>
          <w:i/>
        </w:rPr>
        <w:t>Europa-Parlamentet</w:t>
      </w:r>
      <w:r w:rsidRPr="00BB5D51">
        <w:t>,</w:t>
      </w:r>
    </w:p>
    <w:p w:rsidR="00793EA9" w:rsidRPr="00BB5D51" w:rsidRDefault="00BB5D51" w:rsidP="00135915">
      <w:pPr>
        <w:pStyle w:val="NormalHanging12a"/>
      </w:pPr>
      <w:r w:rsidRPr="00BB5D51">
        <w:t>–</w:t>
      </w:r>
      <w:r w:rsidRPr="00BB5D51">
        <w:tab/>
        <w:t>der henviser til Kommissionens forslag til Europa-Parlamentet og Rådet (COM(2023)0270),</w:t>
      </w:r>
    </w:p>
    <w:p w:rsidR="00793EA9" w:rsidRPr="00BB5D51" w:rsidRDefault="00BB5D51" w:rsidP="00135915">
      <w:pPr>
        <w:pStyle w:val="NormalHanging12a"/>
      </w:pPr>
      <w:r w:rsidRPr="00BB5D51">
        <w:t>–</w:t>
      </w:r>
      <w:r w:rsidRPr="00BB5D51">
        <w:tab/>
        <w:t>der henviser til artikel 294, stk. 2, og artikel 100, stk. 2 i traktaten om Den Europæiske Unions funktionsmåde, på grundlag af hvilke Kommissionen har forelagt forslaget for Parlamentet (C9</w:t>
      </w:r>
      <w:r w:rsidRPr="00BB5D51">
        <w:noBreakHyphen/>
        <w:t>0189/2023),</w:t>
      </w:r>
    </w:p>
    <w:p w:rsidR="00A26F46" w:rsidRPr="00BB5D51" w:rsidRDefault="00BB5D51" w:rsidP="00A26F46">
      <w:pPr>
        <w:pStyle w:val="NormalHanging12a"/>
      </w:pPr>
      <w:r w:rsidRPr="00BB5D51">
        <w:t>–</w:t>
      </w:r>
      <w:r w:rsidRPr="00BB5D51">
        <w:tab/>
        <w:t>der henviser til artikel 294, stk. 3, i traktaten</w:t>
      </w:r>
      <w:r w:rsidRPr="00BB5D51">
        <w:t xml:space="preserve"> om Den Europæiske Unions funktionsmåde,</w:t>
      </w:r>
    </w:p>
    <w:p w:rsidR="00135915" w:rsidRPr="00BB5D51" w:rsidRDefault="00BB5D51" w:rsidP="00135915">
      <w:pPr>
        <w:pStyle w:val="NormalHanging12a"/>
      </w:pPr>
      <w:r w:rsidRPr="00BB5D51">
        <w:t>–</w:t>
      </w:r>
      <w:r w:rsidRPr="00BB5D51">
        <w:tab/>
        <w:t xml:space="preserve">der henviser til udtalelse af ... </w:t>
      </w:r>
      <w:r w:rsidRPr="00BB5D51">
        <w:t>fra Det Europæiske Økonomiske og Sociale Udvalg</w:t>
      </w:r>
      <w:r w:rsidRPr="00BB5D51">
        <w:rPr>
          <w:rStyle w:val="FootnoteReference"/>
        </w:rPr>
        <w:footnoteReference w:id="1"/>
      </w:r>
      <w:r w:rsidRPr="00BB5D51">
        <w:t>,</w:t>
      </w:r>
    </w:p>
    <w:p w:rsidR="00135915" w:rsidRPr="00BB5D51" w:rsidRDefault="00BB5D51" w:rsidP="00135915">
      <w:pPr>
        <w:pStyle w:val="NormalHanging12a"/>
      </w:pPr>
      <w:r w:rsidRPr="00BB5D51">
        <w:t>–</w:t>
      </w:r>
      <w:r w:rsidRPr="00BB5D51">
        <w:tab/>
        <w:t xml:space="preserve">der henviser til udtalelse af ... </w:t>
      </w:r>
      <w:r w:rsidRPr="00BB5D51">
        <w:t>fra Regionsudvalget</w:t>
      </w:r>
      <w:r w:rsidRPr="00BB5D51">
        <w:rPr>
          <w:rStyle w:val="FootnoteReference"/>
        </w:rPr>
        <w:footnoteReference w:id="2"/>
      </w:r>
      <w:r w:rsidRPr="00BB5D51">
        <w:t>,</w:t>
      </w:r>
    </w:p>
    <w:p w:rsidR="00793EA9" w:rsidRPr="00BB5D51" w:rsidRDefault="00BB5D51" w:rsidP="00135915">
      <w:pPr>
        <w:pStyle w:val="NormalHanging12a"/>
      </w:pPr>
      <w:r w:rsidRPr="00BB5D51">
        <w:t>–</w:t>
      </w:r>
      <w:r w:rsidRPr="00BB5D51">
        <w:tab/>
        <w:t>der henviser til forretningsordenens artikel 59,</w:t>
      </w:r>
    </w:p>
    <w:p w:rsidR="006A2F5D" w:rsidRPr="00BB5D51" w:rsidRDefault="00BB5D51" w:rsidP="00135915">
      <w:pPr>
        <w:pStyle w:val="NormalHanging12a"/>
      </w:pPr>
      <w:r w:rsidRPr="00BB5D51">
        <w:t>–</w:t>
      </w:r>
      <w:r w:rsidRPr="00BB5D51">
        <w:tab/>
        <w:t>der henviser til</w:t>
      </w:r>
      <w:r w:rsidRPr="00BB5D51">
        <w:t xml:space="preserve"> udtalelse fra Fiskeriudvalget,</w:t>
      </w:r>
    </w:p>
    <w:p w:rsidR="006A2F5D" w:rsidRPr="00BB5D51" w:rsidRDefault="00BB5D51" w:rsidP="00135915">
      <w:pPr>
        <w:pStyle w:val="NormalHanging12a"/>
      </w:pPr>
      <w:r w:rsidRPr="00BB5D51">
        <w:t>–</w:t>
      </w:r>
      <w:r w:rsidRPr="00BB5D51">
        <w:tab/>
        <w:t>der henviser til betænkning fra Transport- og Turismeudvalget (A9</w:t>
      </w:r>
      <w:r w:rsidRPr="00BB5D51">
        <w:noBreakHyphen/>
        <w:t>0000/2023),</w:t>
      </w:r>
    </w:p>
    <w:p w:rsidR="009F6C2F" w:rsidRPr="00BB5D51" w:rsidRDefault="00BB5D51" w:rsidP="009F6C2F">
      <w:pPr>
        <w:pStyle w:val="NormalHanging12a"/>
      </w:pPr>
      <w:r w:rsidRPr="00BB5D51">
        <w:t>1.</w:t>
      </w:r>
      <w:r w:rsidRPr="00BB5D51">
        <w:tab/>
        <w:t>vedtager nedenstående holdning ved førstebehandling;</w:t>
      </w:r>
    </w:p>
    <w:p w:rsidR="009F6C2F" w:rsidRPr="00BB5D51" w:rsidRDefault="00BB5D51" w:rsidP="00135915">
      <w:pPr>
        <w:pStyle w:val="NormalHanging12a"/>
      </w:pPr>
      <w:r w:rsidRPr="00BB5D51">
        <w:t>2.</w:t>
      </w:r>
      <w:r w:rsidRPr="00BB5D51">
        <w:tab/>
        <w:t>anmoder om fornyet forelæggelse, hvis Kommissionen erstatter, i væsentlig grad ændrer</w:t>
      </w:r>
      <w:r w:rsidRPr="00BB5D51">
        <w:t xml:space="preserve"> eller agter i væsentlig grad at ændre sit forslag;</w:t>
      </w:r>
    </w:p>
    <w:p w:rsidR="009F6C2F" w:rsidRPr="00BB5D51" w:rsidRDefault="00BB5D51" w:rsidP="009F6C2F">
      <w:pPr>
        <w:pStyle w:val="NormalHanging12a"/>
      </w:pPr>
      <w:r w:rsidRPr="00BB5D51">
        <w:t>3.</w:t>
      </w:r>
      <w:r w:rsidRPr="00BB5D51">
        <w:tab/>
        <w:t>pålægger sin formand at sende Parlamentets holdning til Rådet og Kommissionen samt til de nationale parlamenter.</w:t>
      </w:r>
    </w:p>
    <w:p w:rsidR="00D30DE2" w:rsidRPr="00BB5D51" w:rsidRDefault="00D30DE2" w:rsidP="00D30DE2"/>
    <w:p w:rsidR="002669B6" w:rsidRPr="00BB5D51" w:rsidRDefault="002669B6" w:rsidP="002669B6"/>
    <w:p w:rsidR="00135915" w:rsidRPr="00BB5D51" w:rsidRDefault="00BB5D51">
      <w:pPr>
        <w:widowControl/>
      </w:pPr>
      <w:r w:rsidRPr="00BB5D51">
        <w:br w:type="page"/>
      </w:r>
    </w:p>
    <w:p w:rsidR="00135915" w:rsidRPr="00BB5D51" w:rsidRDefault="00BB5D51" w:rsidP="00135915">
      <w:pPr>
        <w:pStyle w:val="AMNumberTabs0"/>
        <w:keepNext/>
      </w:pPr>
      <w:r w:rsidRPr="00BB5D51">
        <w:rPr>
          <w:rStyle w:val="HideTWBExt"/>
          <w:b w:val="0"/>
          <w:noProof w:val="0"/>
        </w:rPr>
        <w:lastRenderedPageBreak/>
        <w:t>&lt;RepeatBlock-Amend&gt;&lt;Amend&gt;</w:t>
      </w:r>
      <w:r w:rsidRPr="00BB5D51">
        <w:t>Ændringsforslag</w:t>
      </w:r>
      <w:r w:rsidRPr="00BB5D51">
        <w:tab/>
      </w:r>
      <w:r w:rsidRPr="00BB5D51">
        <w:tab/>
      </w:r>
      <w:r w:rsidRPr="00BB5D51">
        <w:rPr>
          <w:rStyle w:val="HideTWBExt"/>
          <w:b w:val="0"/>
          <w:noProof w:val="0"/>
        </w:rPr>
        <w:t>&lt;NumAm&gt;</w:t>
      </w:r>
      <w:r w:rsidRPr="00BB5D51">
        <w:t>1</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 xml:space="preserve">Forslag til </w:t>
      </w:r>
      <w:r w:rsidRPr="00BB5D51">
        <w:t>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Betragtning 0037</w:t>
      </w:r>
      <w:r w:rsidRPr="00BB5D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(7)</w:t>
            </w:r>
            <w:r w:rsidRPr="00BB5D51">
              <w:tab/>
              <w:t xml:space="preserve">Fiskerfartøjer med en længde på under 15 meter er i øjeblikket ikke omfattet af anvendelsesområdet for direktiv 2009/18/EF, og derfor er gennemførelsen af </w:t>
            </w:r>
            <w:r w:rsidRPr="00BB5D51">
              <w:t xml:space="preserve">undersøgelser af ulykker til søs, der involverer sådanne fiskerfartøjer, ikke systematisk og harmoniseret. </w:t>
            </w:r>
            <w:r w:rsidRPr="00BB5D51">
              <w:rPr>
                <w:b/>
                <w:i/>
              </w:rPr>
              <w:t>Sådanne fartøjer er mere tilbøjelige til at kæntre, og det er relativt almindeligt, at besætningsmedlemmer falder over bord. Der er derfor behov for</w:t>
            </w:r>
            <w:r w:rsidRPr="00BB5D51">
              <w:t xml:space="preserve"> </w:t>
            </w:r>
            <w:r w:rsidRPr="00BB5D51">
              <w:t>at beskytte disse fiskerfartøjer</w:t>
            </w:r>
            <w:r w:rsidRPr="00BB5D51">
              <w:rPr>
                <w:b/>
                <w:i/>
              </w:rPr>
              <w:t>,</w:t>
            </w:r>
            <w:r w:rsidRPr="00BB5D51">
              <w:t xml:space="preserve"> deres besætning</w:t>
            </w:r>
            <w:r w:rsidRPr="00BB5D51">
              <w:rPr>
                <w:b/>
                <w:i/>
              </w:rPr>
              <w:t xml:space="preserve"> og miljøet ved at indføre</w:t>
            </w:r>
            <w:r w:rsidRPr="00BB5D51">
              <w:t xml:space="preserve"> en </w:t>
            </w:r>
            <w:r w:rsidRPr="00BB5D51">
              <w:rPr>
                <w:b/>
                <w:i/>
              </w:rPr>
              <w:t>foreløbig</w:t>
            </w:r>
            <w:r w:rsidRPr="00BB5D51">
              <w:t xml:space="preserve"> vurdering </w:t>
            </w:r>
            <w:r w:rsidRPr="00BB5D51">
              <w:rPr>
                <w:b/>
                <w:i/>
              </w:rPr>
              <w:t>af meget alvorlige ulykker til søs, der involverer</w:t>
            </w:r>
            <w:r w:rsidRPr="00BB5D51">
              <w:t xml:space="preserve"> fiskerfartøjer med en længde på under 15 meter</w:t>
            </w:r>
            <w:r w:rsidRPr="00BB5D51">
              <w:rPr>
                <w:b/>
                <w:i/>
              </w:rPr>
              <w:t>,</w:t>
            </w:r>
            <w:r w:rsidRPr="00BB5D51">
              <w:t xml:space="preserve"> for at </w:t>
            </w:r>
            <w:r w:rsidRPr="00BB5D51">
              <w:rPr>
                <w:b/>
                <w:i/>
              </w:rPr>
              <w:t>afgøre, om myndighederne bør indlede en sikkerhedsu</w:t>
            </w:r>
            <w:r w:rsidRPr="00BB5D51">
              <w:rPr>
                <w:b/>
                <w:i/>
              </w:rPr>
              <w:t>ndersøgelse</w:t>
            </w:r>
            <w:r w:rsidRPr="00BB5D51">
              <w:t>.</w:t>
            </w:r>
          </w:p>
        </w:tc>
        <w:tc>
          <w:tcPr>
            <w:tcW w:w="4876" w:type="dxa"/>
            <w:hideMark/>
          </w:tcPr>
          <w:p w:rsidR="00135915" w:rsidRPr="00BB5D51" w:rsidRDefault="00BB5D51" w:rsidP="006F58A2">
            <w:pPr>
              <w:pStyle w:val="Normal6"/>
              <w:rPr>
                <w:szCs w:val="24"/>
              </w:rPr>
            </w:pPr>
            <w:r w:rsidRPr="00BB5D51">
              <w:t>(7)</w:t>
            </w:r>
            <w:r w:rsidRPr="00BB5D51">
              <w:tab/>
              <w:t>Fiskerfartøjer med en længde på under 15 meter er i øjeblikket ikke omfattet af anvendelsesområdet for direktiv 2009/18/EF, og derfor er gennemførelsen af undersøgelser af ulykker til søs, der involverer sådanne fiskerfartøjer, ikke system</w:t>
            </w:r>
            <w:r w:rsidRPr="00BB5D51">
              <w:t xml:space="preserve">atisk og harmoniseret. </w:t>
            </w:r>
            <w:r w:rsidRPr="00BB5D51">
              <w:rPr>
                <w:b/>
                <w:i/>
              </w:rPr>
              <w:t>Indførelsen af en mulighed for foreløbig vurdering af meget alvorlige ulykker til søs</w:t>
            </w:r>
            <w:r w:rsidRPr="00BB5D51">
              <w:t xml:space="preserve">, </w:t>
            </w:r>
            <w:r w:rsidRPr="00BB5D51">
              <w:rPr>
                <w:b/>
                <w:i/>
              </w:rPr>
              <w:t>der involverer fiskerfartøjer med en længde på under 15 meter</w:t>
            </w:r>
            <w:r w:rsidRPr="00BB5D51">
              <w:t>,</w:t>
            </w:r>
            <w:r w:rsidRPr="00BB5D51">
              <w:rPr>
                <w:b/>
                <w:i/>
              </w:rPr>
              <w:t xml:space="preserve"> for</w:t>
            </w:r>
            <w:r w:rsidRPr="00BB5D51">
              <w:t xml:space="preserve"> at </w:t>
            </w:r>
            <w:r w:rsidRPr="00BB5D51">
              <w:rPr>
                <w:b/>
                <w:i/>
              </w:rPr>
              <w:t xml:space="preserve">afgøre, om myndighederne bør indlede en sikkerhedsundersøgelse, vil medføre </w:t>
            </w:r>
            <w:r w:rsidRPr="00BB5D51">
              <w:rPr>
                <w:b/>
                <w:i/>
              </w:rPr>
              <w:t>visse fordele med hensyn til</w:t>
            </w:r>
            <w:r w:rsidRPr="00BB5D51">
              <w:t xml:space="preserve"> at beskytte disse fiskerfartøjer</w:t>
            </w:r>
            <w:r w:rsidRPr="00BB5D51">
              <w:rPr>
                <w:b/>
                <w:i/>
              </w:rPr>
              <w:t xml:space="preserve"> og</w:t>
            </w:r>
            <w:r w:rsidRPr="00BB5D51">
              <w:t xml:space="preserve"> deres besætning</w:t>
            </w:r>
            <w:r w:rsidRPr="00BB5D51">
              <w:rPr>
                <w:b/>
                <w:i/>
              </w:rPr>
              <w:t>.</w:t>
            </w:r>
            <w:r w:rsidRPr="00BB5D51">
              <w:t xml:space="preserve"> </w:t>
            </w:r>
            <w:r w:rsidRPr="00BB5D51">
              <w:rPr>
                <w:b/>
                <w:i/>
              </w:rPr>
              <w:t>Kommissionen bør imidlertid foretage en forudgående vurdering og en cost-benefit-analyse af udvidelsen af anvendelsesområdet til fiskerfartøjer med en længde på under 15 mete</w:t>
            </w:r>
            <w:r w:rsidRPr="00BB5D51">
              <w:rPr>
                <w:b/>
                <w:i/>
              </w:rPr>
              <w:t>r for at undgå administrative byrder for de nationale undersøgelsesmyndigheder.</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2</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Betragtning 12</w:t>
      </w:r>
      <w:r w:rsidRPr="00BB5D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 xml:space="preserve">Kommissionens </w:t>
            </w:r>
            <w:r w:rsidRPr="00BB5D51">
              <w:t>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(12)</w:t>
            </w:r>
            <w:r w:rsidRPr="00BB5D51">
              <w:tab/>
              <w:t>I lyset af det anførte bør EMSA tilrettelægge kurser i specifikke teknikker og i nye udviklingstendenser og teknologier, der kan være relevante for undersøgelser af ulykker i fremtiden. Sådanne kurser bør bl.a. fokusere på ved</w:t>
            </w:r>
            <w:r w:rsidRPr="00BB5D51">
              <w:t xml:space="preserve">varende og kulstoffattige brændstoffer, som er særligt relevante i lyset af "Fit for 55"-pakken, og automatisering samt på den </w:t>
            </w:r>
            <w:r w:rsidRPr="00BB5D51">
              <w:lastRenderedPageBreak/>
              <w:t>generelle forordning om databeskyttelse (GDPR).</w:t>
            </w:r>
          </w:p>
        </w:tc>
        <w:tc>
          <w:tcPr>
            <w:tcW w:w="4876" w:type="dxa"/>
            <w:hideMark/>
          </w:tcPr>
          <w:p w:rsidR="00135915" w:rsidRPr="00BB5D51" w:rsidRDefault="00BB5D51" w:rsidP="006F58A2">
            <w:pPr>
              <w:pStyle w:val="Normal6"/>
              <w:rPr>
                <w:szCs w:val="24"/>
              </w:rPr>
            </w:pPr>
            <w:r w:rsidRPr="00BB5D51">
              <w:lastRenderedPageBreak/>
              <w:t>(12)</w:t>
            </w:r>
            <w:r w:rsidRPr="00BB5D51">
              <w:tab/>
              <w:t xml:space="preserve">I lyset af det anførte bør EMSA tilrettelægge </w:t>
            </w:r>
            <w:r w:rsidRPr="00BB5D51">
              <w:rPr>
                <w:b/>
                <w:i/>
              </w:rPr>
              <w:t xml:space="preserve">regelmæssige </w:t>
            </w:r>
            <w:r w:rsidRPr="00BB5D51">
              <w:t>kurser</w:t>
            </w:r>
            <w:r w:rsidRPr="00BB5D51">
              <w:rPr>
                <w:b/>
                <w:i/>
              </w:rPr>
              <w:t xml:space="preserve"> og certifi</w:t>
            </w:r>
            <w:r w:rsidRPr="00BB5D51">
              <w:rPr>
                <w:b/>
                <w:i/>
              </w:rPr>
              <w:t>ceringsordninger</w:t>
            </w:r>
            <w:r w:rsidRPr="00BB5D51">
              <w:t xml:space="preserve"> i specifikke teknikker og i nye udviklingstendenser og teknologier, der kan være relevante for undersøgelser af ulykker i fremtiden. Sådanne kurser bør bl.a. fokusere på vedvarende og kulstoffattige brændstoffer, som er særligt relevante i</w:t>
            </w:r>
            <w:r w:rsidRPr="00BB5D51">
              <w:t xml:space="preserve"> lyset af "Fit for </w:t>
            </w:r>
            <w:r w:rsidRPr="00BB5D51">
              <w:lastRenderedPageBreak/>
              <w:t>55"-pakken, og automatisering samt på den generelle forordning om databeskyttelse (GDPR).</w:t>
            </w:r>
          </w:p>
        </w:tc>
      </w:tr>
    </w:tbl>
    <w:p w:rsidR="00135915" w:rsidRPr="00BB5D51" w:rsidRDefault="00BB5D51" w:rsidP="00135915">
      <w:pPr>
        <w:pStyle w:val="Olang"/>
        <w:rPr>
          <w:sz w:val="24"/>
          <w:szCs w:val="24"/>
        </w:rPr>
      </w:pPr>
      <w:r w:rsidRPr="00BB5D51">
        <w:rPr>
          <w:sz w:val="24"/>
          <w:szCs w:val="24"/>
        </w:rPr>
        <w:lastRenderedPageBreak/>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3</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 xml:space="preserve">Betragtning </w:t>
      </w:r>
      <w:r w:rsidRPr="00BB5D51">
        <w:t>14 a (ny)</w:t>
      </w:r>
      <w:r w:rsidRPr="00BB5D5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135915" w:rsidP="006F58A2">
            <w:pPr>
              <w:pStyle w:val="Normal6"/>
            </w:pPr>
          </w:p>
        </w:tc>
        <w:tc>
          <w:tcPr>
            <w:tcW w:w="4876" w:type="dxa"/>
            <w:hideMark/>
          </w:tcPr>
          <w:p w:rsidR="00135915" w:rsidRPr="00BB5D51" w:rsidRDefault="00BB5D51" w:rsidP="006F58A2">
            <w:pPr>
              <w:pStyle w:val="Normal6"/>
              <w:rPr>
                <w:b/>
                <w:bCs/>
                <w:i/>
                <w:iCs/>
                <w:szCs w:val="24"/>
              </w:rPr>
            </w:pPr>
            <w:r w:rsidRPr="00BB5D51">
              <w:rPr>
                <w:b/>
                <w:i/>
              </w:rPr>
              <w:t>(14a)</w:t>
            </w:r>
            <w:r w:rsidRPr="00BB5D51">
              <w:rPr>
                <w:b/>
                <w:i/>
              </w:rPr>
              <w:tab/>
              <w:t xml:space="preserve">Med henblik på at sikre at bilagene er opdateret, bør beføjelsen til at vedtage retsakter i overensstemmelse med artikel 290 i traktaten om Den Europæiske Unions funktionsmåde tillægges </w:t>
            </w:r>
            <w:r w:rsidRPr="00BB5D51">
              <w:rPr>
                <w:b/>
                <w:i/>
              </w:rPr>
              <w:t>Kommissionen, for så vidt angår ændringen af bilagene i lyset af ændringer i international søret, som reguleret af Den Internationale Søfartsorganisation. Det er navnlig vigtigt, at Kommissionen gennemfører relevante høringer under sit forberedende arbejde</w:t>
            </w:r>
            <w:r w:rsidRPr="00BB5D51">
              <w:rPr>
                <w:b/>
                <w:i/>
              </w:rPr>
              <w:t>, herunder på ekspertniveau, og at disse høringer gennemføres i overensstemmelse med principperne i den interinstitutionelle aftale af 13. april 2016 om bedre lovgivning*. For at sikre lige deltagelse i forberedelsen af delegerede retsakter modtager Europa</w:t>
            </w:r>
            <w:r w:rsidRPr="00BB5D51">
              <w:rPr>
                <w:b/>
                <w:i/>
              </w:rPr>
              <w:t>-Parlamentet og Rådet navnlig alle dokumenter på samme tid som medlemsstaternes eksperter, og deres eksperter har systematisk adgang til møder i de af Kommissionens ekspertgrupper, der beskæftiger sig med forberedelse af delegerede retsakter.</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w:t>
      </w:r>
      <w:r w:rsidRPr="00BB5D51">
        <w:rPr>
          <w:rStyle w:val="HideTWBExt"/>
          <w:noProof w:val="0"/>
        </w:rPr>
        <w:t>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4</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2 – litra b</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2 – stk. 2 – litra d</w:t>
      </w:r>
      <w:r w:rsidRPr="00BB5D51">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(b)</w:t>
            </w:r>
            <w:r w:rsidRPr="00BB5D51">
              <w:tab/>
              <w:t>Litra d) udgår.</w:t>
            </w:r>
          </w:p>
        </w:tc>
        <w:tc>
          <w:tcPr>
            <w:tcW w:w="4876" w:type="dxa"/>
            <w:hideMark/>
          </w:tcPr>
          <w:p w:rsidR="00135915" w:rsidRPr="00BB5D51" w:rsidRDefault="00BB5D51" w:rsidP="006F58A2">
            <w:pPr>
              <w:pStyle w:val="Normal6"/>
              <w:rPr>
                <w:szCs w:val="24"/>
              </w:rPr>
            </w:pPr>
            <w:r w:rsidRPr="00BB5D51">
              <w:t>(b)</w:t>
            </w:r>
            <w:r w:rsidRPr="00BB5D51">
              <w:tab/>
              <w:t xml:space="preserve">litra d) </w:t>
            </w:r>
            <w:r w:rsidRPr="00BB5D51">
              <w:rPr>
                <w:b/>
                <w:bCs/>
                <w:i/>
                <w:iCs/>
              </w:rPr>
              <w:t>affattes således:</w:t>
            </w:r>
          </w:p>
        </w:tc>
      </w:tr>
      <w:tr w:rsidR="00C847DF" w:rsidRPr="00BB5D51" w:rsidTr="006F58A2">
        <w:trPr>
          <w:jc w:val="center"/>
        </w:trPr>
        <w:tc>
          <w:tcPr>
            <w:tcW w:w="4876" w:type="dxa"/>
          </w:tcPr>
          <w:p w:rsidR="00135915" w:rsidRPr="00BB5D51" w:rsidRDefault="00135915" w:rsidP="006F58A2">
            <w:pPr>
              <w:pStyle w:val="Normal6"/>
            </w:pPr>
          </w:p>
        </w:tc>
        <w:tc>
          <w:tcPr>
            <w:tcW w:w="4876" w:type="dxa"/>
          </w:tcPr>
          <w:p w:rsidR="00135915" w:rsidRPr="00BB5D51" w:rsidRDefault="00BB5D51" w:rsidP="006F58A2">
            <w:pPr>
              <w:pStyle w:val="Normal6"/>
            </w:pPr>
            <w:r w:rsidRPr="00BB5D51">
              <w:rPr>
                <w:b/>
                <w:i/>
              </w:rPr>
              <w:t>d)</w:t>
            </w:r>
            <w:r w:rsidRPr="00BB5D51">
              <w:rPr>
                <w:b/>
                <w:i/>
              </w:rPr>
              <w:tab/>
              <w:t xml:space="preserve">fiskerfartøjer med en længde på under 15 meter, medmindre undersøgelsesmyndigheden beslutter ikke at indlede en sikkerhedsundersøgelse på grundlag </w:t>
            </w:r>
            <w:r w:rsidRPr="00BB5D51">
              <w:rPr>
                <w:b/>
                <w:i/>
              </w:rPr>
              <w:t>af en foreløbig vurdering.</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5</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5</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5 – stk. 2 – afsnit 1</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 xml:space="preserve">Hvis der er tale om et fiskerfartøj med en længde på under 15 meter, </w:t>
            </w:r>
            <w:r w:rsidRPr="00BB5D51">
              <w:rPr>
                <w:b/>
                <w:i/>
              </w:rPr>
              <w:t>foretager</w:t>
            </w:r>
            <w:r w:rsidRPr="00BB5D51">
              <w:t xml:space="preserve"> undersøgelsesmyndigheden en foreløbig vurdering af den meget alvorlige ulykke til søs for at af</w:t>
            </w:r>
            <w:r w:rsidRPr="00BB5D51">
              <w:t>gøre, om der skal gennemføres en sikkerhedsundersøgelse.</w:t>
            </w:r>
          </w:p>
        </w:tc>
        <w:tc>
          <w:tcPr>
            <w:tcW w:w="4876" w:type="dxa"/>
            <w:hideMark/>
          </w:tcPr>
          <w:p w:rsidR="00135915" w:rsidRPr="00BB5D51" w:rsidRDefault="00BB5D51" w:rsidP="006F58A2">
            <w:pPr>
              <w:pStyle w:val="Normal6"/>
              <w:rPr>
                <w:szCs w:val="24"/>
              </w:rPr>
            </w:pPr>
            <w:r w:rsidRPr="00BB5D51">
              <w:t xml:space="preserve">Hvis der er tale om et fiskerfartøj med en længde på under 15 meter, </w:t>
            </w:r>
            <w:r w:rsidRPr="00BB5D51">
              <w:rPr>
                <w:b/>
                <w:i/>
              </w:rPr>
              <w:t>kan</w:t>
            </w:r>
            <w:r w:rsidRPr="00BB5D51">
              <w:t xml:space="preserve"> undersøgelsesmyndigheden</w:t>
            </w:r>
            <w:r w:rsidRPr="00BB5D51">
              <w:rPr>
                <w:b/>
                <w:i/>
              </w:rPr>
              <w:t xml:space="preserve"> foretage</w:t>
            </w:r>
            <w:r w:rsidRPr="00BB5D51">
              <w:t xml:space="preserve"> en foreløbig vurdering af den meget alvorlige ulykke til søs for at afgøre, om der skal genn</w:t>
            </w:r>
            <w:r w:rsidRPr="00BB5D51">
              <w:t>emføres en sikkerhedsundersøgelse.</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6</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5</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5 – stk. 2 – afsnit 2</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rPr>
                <w:b/>
                <w:i/>
              </w:rPr>
              <w:t xml:space="preserve">Træffer undersøgelsesmyndigheden afgørelse om ikke at foretage en sikkerhedsundersøgelse af en meget alvorlig ulykke til søs, der involverer et fiskerfartøj med en </w:t>
            </w:r>
            <w:r w:rsidRPr="00BB5D51">
              <w:rPr>
                <w:b/>
                <w:i/>
              </w:rPr>
              <w:t>længde på under 15 meter, skal begrundelsen for denne afgørelse registreres og meddeles i overensstemmelse med artikel 17, stk. 3.</w:t>
            </w:r>
          </w:p>
        </w:tc>
        <w:tc>
          <w:tcPr>
            <w:tcW w:w="4876" w:type="dxa"/>
            <w:hideMark/>
          </w:tcPr>
          <w:p w:rsidR="00135915" w:rsidRPr="00BB5D51" w:rsidRDefault="00BB5D51" w:rsidP="006F58A2">
            <w:pPr>
              <w:pStyle w:val="Normal6"/>
              <w:rPr>
                <w:szCs w:val="24"/>
              </w:rPr>
            </w:pPr>
            <w:r w:rsidRPr="00BB5D51">
              <w:rPr>
                <w:b/>
                <w:i/>
              </w:rPr>
              <w:t>udgår</w:t>
            </w:r>
          </w:p>
        </w:tc>
      </w:tr>
    </w:tbl>
    <w:p w:rsidR="00135915" w:rsidRPr="00BB5D51" w:rsidRDefault="00BB5D51" w:rsidP="00135915">
      <w:pPr>
        <w:pStyle w:val="Olang"/>
        <w:rPr>
          <w:sz w:val="24"/>
          <w:szCs w:val="24"/>
        </w:rPr>
      </w:pPr>
      <w:r w:rsidRPr="00BB5D51">
        <w:rPr>
          <w:sz w:val="24"/>
          <w:szCs w:val="24"/>
        </w:rPr>
        <w:lastRenderedPageBreak/>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7</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w:t>
      </w:r>
      <w:r w:rsidRPr="00BB5D51">
        <w:rPr>
          <w:rStyle w:val="HideTWBExt"/>
          <w:b w:val="0"/>
          <w:noProof w:val="0"/>
        </w:rPr>
        <w:t>mend&gt;</w:t>
      </w:r>
    </w:p>
    <w:p w:rsidR="00135915" w:rsidRPr="00BB5D51" w:rsidRDefault="00BB5D51" w:rsidP="00135915">
      <w:pPr>
        <w:pStyle w:val="NormalBold"/>
      </w:pPr>
      <w:r w:rsidRPr="00BB5D51">
        <w:rPr>
          <w:rStyle w:val="HideTWBExt"/>
          <w:b w:val="0"/>
          <w:noProof w:val="0"/>
        </w:rPr>
        <w:t>&lt;Article&gt;</w:t>
      </w:r>
      <w:r w:rsidRPr="00BB5D51">
        <w:t>Artikel 1 – stk. 1 – nr. 5</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5 – stk. 6</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6.</w:t>
            </w:r>
            <w:r w:rsidRPr="00BB5D51">
              <w:tab/>
              <w:t xml:space="preserve">Når det afgøres, om en ulykke eller hændelse til søs, der finder sted, når </w:t>
            </w:r>
            <w:r w:rsidRPr="00BB5D51">
              <w:t>fartøjet er fortøjet eller i havn, og som involverer landarbejdere eller havnearbejdere, indtraf "direkte i forbindelse med et skibs drift" og derfor er genstand for en sikkerhedsundersøgelse, skal der tages særligt hensyn til, i hvilket omfang skibets kon</w:t>
            </w:r>
            <w:r w:rsidRPr="00BB5D51">
              <w:t>struktion, udstyr, procedurer, besætning og skibsadministration har betydning for og er relevante for den aktivitet, der udføres.</w:t>
            </w:r>
          </w:p>
        </w:tc>
        <w:tc>
          <w:tcPr>
            <w:tcW w:w="4876" w:type="dxa"/>
            <w:hideMark/>
          </w:tcPr>
          <w:p w:rsidR="00135915" w:rsidRPr="00BB5D51" w:rsidRDefault="00BB5D51" w:rsidP="006F58A2">
            <w:pPr>
              <w:pStyle w:val="Normal6"/>
              <w:rPr>
                <w:szCs w:val="24"/>
              </w:rPr>
            </w:pPr>
            <w:r w:rsidRPr="00BB5D51">
              <w:t>6.</w:t>
            </w:r>
            <w:r w:rsidRPr="00BB5D51">
              <w:tab/>
              <w:t>Når det afgøres, om en ulykke eller hændelse til søs, der finder sted, når fartøjet er fortøjet eller i havn, og som involv</w:t>
            </w:r>
            <w:r w:rsidRPr="00BB5D51">
              <w:t>erer landarbejdere eller havnearbejdere, indtraf "direkte i forbindelse med et skibs drift" og derfor er genstand for en sikkerhedsundersøgelse, skal der tages særligt hensyn til, i hvilket omfang skibets konstruktion, udstyr, procedurer, besætning og skib</w:t>
            </w:r>
            <w:r w:rsidRPr="00BB5D51">
              <w:t xml:space="preserve">sadministration har betydning for og er relevante for den aktivitet, der udføres. </w:t>
            </w:r>
            <w:r w:rsidRPr="00BB5D51">
              <w:rPr>
                <w:b/>
                <w:i/>
              </w:rPr>
              <w:t>Der skal om nødvendigt udfyldes en sikkerheds- og sundhedstjekliste.</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8</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 xml:space="preserve">Forslag til </w:t>
      </w:r>
      <w:r w:rsidRPr="00BB5D51">
        <w:t>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5</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5 – stk. 7</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7.</w:t>
            </w:r>
            <w:r w:rsidRPr="00BB5D51">
              <w:tab/>
            </w:r>
            <w:r w:rsidRPr="00BB5D51">
              <w:t xml:space="preserve">En sikkerhedsundersøgelse skal indledes uden ophold og under alle omstændigheder senest </w:t>
            </w:r>
            <w:r w:rsidRPr="00BB5D51">
              <w:rPr>
                <w:b/>
                <w:i/>
              </w:rPr>
              <w:t>to måneder</w:t>
            </w:r>
            <w:r w:rsidRPr="00BB5D51">
              <w:t xml:space="preserve"> efter, at ulykken eller hændelsen til søs har fundet sted.</w:t>
            </w:r>
          </w:p>
        </w:tc>
        <w:tc>
          <w:tcPr>
            <w:tcW w:w="4876" w:type="dxa"/>
            <w:hideMark/>
          </w:tcPr>
          <w:p w:rsidR="00135915" w:rsidRPr="00BB5D51" w:rsidRDefault="00BB5D51" w:rsidP="006F58A2">
            <w:pPr>
              <w:pStyle w:val="Normal6"/>
              <w:rPr>
                <w:szCs w:val="24"/>
              </w:rPr>
            </w:pPr>
            <w:r w:rsidRPr="00BB5D51">
              <w:t>7.</w:t>
            </w:r>
            <w:r w:rsidRPr="00BB5D51">
              <w:tab/>
              <w:t xml:space="preserve">En sikkerhedsundersøgelse skal indledes uden ophold og under alle omstændigheder senest </w:t>
            </w:r>
            <w:r w:rsidRPr="00BB5D51">
              <w:rPr>
                <w:b/>
                <w:i/>
              </w:rPr>
              <w:t>en måne</w:t>
            </w:r>
            <w:r w:rsidRPr="00BB5D51">
              <w:rPr>
                <w:b/>
                <w:i/>
              </w:rPr>
              <w:t>d</w:t>
            </w:r>
            <w:r w:rsidRPr="00BB5D51">
              <w:t xml:space="preserve"> efter, at ulykken eller hændelsen til søs har fundet sted.</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lastRenderedPageBreak/>
        <w:t>&lt;Amend&gt;</w:t>
      </w:r>
      <w:r w:rsidRPr="00BB5D51">
        <w:t>Ændringsforslag</w:t>
      </w:r>
      <w:r w:rsidRPr="00BB5D51">
        <w:tab/>
      </w:r>
      <w:r w:rsidRPr="00BB5D51">
        <w:tab/>
      </w:r>
      <w:r w:rsidRPr="00BB5D51">
        <w:rPr>
          <w:rStyle w:val="HideTWBExt"/>
          <w:b w:val="0"/>
          <w:noProof w:val="0"/>
        </w:rPr>
        <w:t>&lt;NumAm&gt;</w:t>
      </w:r>
      <w:r w:rsidRPr="00BB5D51">
        <w:t>9</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7 – litra a</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7 – stk. 1 – afsnit 3</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Gennemførelse af sideløbende sikkerhedsundersøgelser af samme ulykke eller hændelse til søs iværksættes kun i særlige situationer. I</w:t>
            </w:r>
            <w:r w:rsidRPr="00BB5D51">
              <w:t xml:space="preserve"> sådanne situationer underretter medlemsstaterne Kommissionen om grundene til gennemførelsen af sådanne sideløbende undersøgelser. Medlemsstater, der gennemfører sideløbende undersøgelser, samarbejder med hinanden. De berørte undersøgelsesmyndigheder skal </w:t>
            </w:r>
            <w:r w:rsidRPr="00BB5D51">
              <w:t xml:space="preserve">navnlig udveksle </w:t>
            </w:r>
            <w:r w:rsidRPr="00BB5D51">
              <w:rPr>
                <w:b/>
                <w:i/>
              </w:rPr>
              <w:t xml:space="preserve">relevante </w:t>
            </w:r>
            <w:r w:rsidRPr="00BB5D51">
              <w:t>oplysninger, som fremkommer ved deres undersøgelser med henblik på så vidt muligt at nå frem til konklusioner, som de er enige om.</w:t>
            </w:r>
            <w:r w:rsidRPr="00BB5D51">
              <w:rPr>
                <w:b/>
                <w:i/>
              </w:rPr>
              <w:t>"</w:t>
            </w:r>
          </w:p>
        </w:tc>
        <w:tc>
          <w:tcPr>
            <w:tcW w:w="4876" w:type="dxa"/>
            <w:hideMark/>
          </w:tcPr>
          <w:p w:rsidR="00135915" w:rsidRPr="00BB5D51" w:rsidRDefault="00BB5D51" w:rsidP="006F58A2">
            <w:pPr>
              <w:pStyle w:val="Normal6"/>
              <w:rPr>
                <w:szCs w:val="24"/>
              </w:rPr>
            </w:pPr>
            <w:r w:rsidRPr="00BB5D51">
              <w:t>Gennemførelse af sideløbende sikkerhedsundersøgelser af samme ulykke eller hændelse til søs iværk</w:t>
            </w:r>
            <w:r w:rsidRPr="00BB5D51">
              <w:t>sættes kun i særlige situationer. I sådanne situationer underretter medlemsstaterne Kommissionen om grundene til gennemførelsen af sådanne sideløbende undersøgelser. Medlemsstater, der gennemfører sideløbende undersøgelser, samarbejder med hinanden. De ber</w:t>
            </w:r>
            <w:r w:rsidRPr="00BB5D51">
              <w:t>ørte undersøgelsesmyndigheder skal navnlig udveksle oplysninger, som fremkommer ved deres</w:t>
            </w:r>
            <w:r w:rsidRPr="00BB5D51">
              <w:rPr>
                <w:b/>
                <w:i/>
              </w:rPr>
              <w:t xml:space="preserve"> rettidige</w:t>
            </w:r>
            <w:r w:rsidRPr="00BB5D51">
              <w:t xml:space="preserve"> undersøgelser med henblik på så vidt muligt at nå frem til konklusioner, som de er enige om.</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10</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7 – litra b</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7 – stk. 1a</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1a.</w:t>
            </w:r>
            <w:r w:rsidRPr="00BB5D51">
              <w:tab/>
              <w:t xml:space="preserve">Under gennemførelsen af søfartssikkerhedsundersøgelsen bør stater med en væsentlig interesse i sagen i det omfang, det er praktisk muligt, bistå den eller de medlemsstater, der undersøger sikkerheden til søs, med adgang til </w:t>
            </w:r>
            <w:r w:rsidRPr="00BB5D51">
              <w:rPr>
                <w:b/>
                <w:i/>
              </w:rPr>
              <w:t>relevante</w:t>
            </w:r>
            <w:r w:rsidRPr="00BB5D51">
              <w:t xml:space="preserve"> oplysninger med </w:t>
            </w:r>
            <w:r w:rsidRPr="00BB5D51">
              <w:t xml:space="preserve">henblik på søfartssikkerhedsundersøgelsen. Den eller de undersøgelsesmedarbejdere, der foretager en søfartssikkerhedsundersøgelse, bør også gives adgang til statslige inspektører, kystvagter, operatører af </w:t>
            </w:r>
            <w:r w:rsidRPr="00BB5D51">
              <w:lastRenderedPageBreak/>
              <w:t>skibstrafiktjenester, lodser og andet søfartsperso</w:t>
            </w:r>
            <w:r w:rsidRPr="00BB5D51">
              <w:t>nale fra staten med en væsentlig interesseret i sagen.</w:t>
            </w:r>
            <w:r w:rsidRPr="00BB5D51">
              <w:rPr>
                <w:b/>
                <w:i/>
              </w:rPr>
              <w:t>"</w:t>
            </w:r>
          </w:p>
        </w:tc>
        <w:tc>
          <w:tcPr>
            <w:tcW w:w="4876" w:type="dxa"/>
            <w:hideMark/>
          </w:tcPr>
          <w:p w:rsidR="00135915" w:rsidRPr="00BB5D51" w:rsidRDefault="00BB5D51" w:rsidP="006F58A2">
            <w:pPr>
              <w:pStyle w:val="Normal6"/>
              <w:rPr>
                <w:szCs w:val="24"/>
              </w:rPr>
            </w:pPr>
            <w:r w:rsidRPr="00BB5D51">
              <w:lastRenderedPageBreak/>
              <w:t>1a.</w:t>
            </w:r>
            <w:r w:rsidRPr="00BB5D51">
              <w:tab/>
            </w:r>
            <w:r w:rsidRPr="00BB5D51">
              <w:t xml:space="preserve">Under gennemførelsen af søfartssikkerhedsundersøgelsen bør stater med en væsentlig interesse i sagen i det omfang, det er praktisk muligt, bistå den eller de medlemsstater, der undersøger sikkerheden til søs, med adgang til </w:t>
            </w:r>
            <w:r w:rsidRPr="00BB5D51">
              <w:rPr>
                <w:b/>
                <w:i/>
              </w:rPr>
              <w:t>alle</w:t>
            </w:r>
            <w:r w:rsidRPr="00BB5D51">
              <w:t xml:space="preserve"> oplysninger med henblik på </w:t>
            </w:r>
            <w:r w:rsidRPr="00BB5D51">
              <w:t xml:space="preserve">søfartssikkerhedsundersøgelsen. Den eller de undersøgelsesmedarbejdere, der foretager en søfartssikkerhedsundersøgelse, bør også gives adgang til statslige inspektører, kystvagter, operatører af </w:t>
            </w:r>
            <w:r w:rsidRPr="00BB5D51">
              <w:lastRenderedPageBreak/>
              <w:t>skibstrafiktjenester, lodser og andet søfartspersonale fra st</w:t>
            </w:r>
            <w:r w:rsidRPr="00BB5D51">
              <w:t>aten med en væsentlig interesseret i sagen.</w:t>
            </w:r>
          </w:p>
        </w:tc>
      </w:tr>
    </w:tbl>
    <w:p w:rsidR="00135915" w:rsidRPr="00BB5D51" w:rsidRDefault="00BB5D51" w:rsidP="00135915">
      <w:pPr>
        <w:pStyle w:val="Olang"/>
        <w:rPr>
          <w:sz w:val="24"/>
          <w:szCs w:val="24"/>
        </w:rPr>
      </w:pPr>
      <w:r w:rsidRPr="00BB5D51">
        <w:rPr>
          <w:sz w:val="24"/>
          <w:szCs w:val="24"/>
        </w:rPr>
        <w:lastRenderedPageBreak/>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11</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8</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8 – stk. 1 – afsnit 3</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 xml:space="preserve">For at kunne foretage en upartisk sikkerhedsundersøgelse skal undersøgelsesmyndigheden i sin organisation, retlige struktur og beslutningstagning være </w:t>
            </w:r>
            <w:r w:rsidRPr="00BB5D51">
              <w:t>uafhængig af andre parter, hvis interesser kunne komme i konflikt med den opgave, den har fået pålagt.</w:t>
            </w:r>
          </w:p>
        </w:tc>
        <w:tc>
          <w:tcPr>
            <w:tcW w:w="4876" w:type="dxa"/>
            <w:hideMark/>
          </w:tcPr>
          <w:p w:rsidR="00135915" w:rsidRPr="00BB5D51" w:rsidRDefault="00BB5D51" w:rsidP="006F58A2">
            <w:pPr>
              <w:pStyle w:val="Normal6"/>
              <w:rPr>
                <w:szCs w:val="24"/>
              </w:rPr>
            </w:pPr>
            <w:r w:rsidRPr="00BB5D51">
              <w:t xml:space="preserve">For at kunne foretage en upartisk sikkerhedsundersøgelse </w:t>
            </w:r>
            <w:r w:rsidRPr="00BB5D51">
              <w:rPr>
                <w:b/>
                <w:i/>
              </w:rPr>
              <w:t xml:space="preserve">og for at undgå interessekonflikter </w:t>
            </w:r>
            <w:r w:rsidRPr="00BB5D51">
              <w:t>skal undersøgelsesmyndigheden i sin organisation, retlige st</w:t>
            </w:r>
            <w:r w:rsidRPr="00BB5D51">
              <w:t>ruktur og beslutningstagning være uafhængig af andre parter, hvis interesser kunne komme i konflikt med den opgave, den har fået pålagt.</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12</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w:t>
      </w:r>
      <w:r w:rsidRPr="00BB5D51">
        <w:rPr>
          <w:rStyle w:val="HideTWBExt"/>
          <w:b w:val="0"/>
          <w:noProof w:val="0"/>
        </w:rPr>
        <w:t>Amend&gt;</w:t>
      </w:r>
    </w:p>
    <w:p w:rsidR="00135915" w:rsidRPr="00BB5D51" w:rsidRDefault="00BB5D51" w:rsidP="00135915">
      <w:pPr>
        <w:pStyle w:val="NormalBold"/>
      </w:pPr>
      <w:r w:rsidRPr="00BB5D51">
        <w:rPr>
          <w:rStyle w:val="HideTWBExt"/>
          <w:b w:val="0"/>
          <w:noProof w:val="0"/>
        </w:rPr>
        <w:t>&lt;Article&gt;</w:t>
      </w:r>
      <w:r w:rsidRPr="00BB5D51">
        <w:t>Artikel 1 – stk. 1 – nr. 8</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8 – stk. 3</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3.</w:t>
            </w:r>
            <w:r w:rsidRPr="00BB5D51">
              <w:tab/>
              <w:t xml:space="preserve">De opgaver, der er pålagt undersøgelsesmyndigheden, </w:t>
            </w:r>
            <w:r w:rsidRPr="00BB5D51">
              <w:rPr>
                <w:b/>
                <w:i/>
              </w:rPr>
              <w:t xml:space="preserve">kan </w:t>
            </w:r>
            <w:r w:rsidRPr="00BB5D51">
              <w:t xml:space="preserve">udvides til at omfatte indsamling og </w:t>
            </w:r>
            <w:r w:rsidRPr="00BB5D51">
              <w:rPr>
                <w:b/>
                <w:i/>
              </w:rPr>
              <w:t>analyse</w:t>
            </w:r>
            <w:r w:rsidRPr="00BB5D51">
              <w:t xml:space="preserve"> af data vedrørende sikkerhed til søs, især til forebyggende formål, for så vidt som disse opgaver ikke påvirker myndighedens uafhængighed eller indebærer et ansvar for regulering, administration eller standardis</w:t>
            </w:r>
            <w:r w:rsidRPr="00BB5D51">
              <w:t>ering.</w:t>
            </w:r>
          </w:p>
        </w:tc>
        <w:tc>
          <w:tcPr>
            <w:tcW w:w="4876" w:type="dxa"/>
            <w:hideMark/>
          </w:tcPr>
          <w:p w:rsidR="00135915" w:rsidRPr="00BB5D51" w:rsidRDefault="00BB5D51" w:rsidP="006F58A2">
            <w:pPr>
              <w:pStyle w:val="Normal6"/>
              <w:rPr>
                <w:szCs w:val="24"/>
              </w:rPr>
            </w:pPr>
            <w:r w:rsidRPr="00BB5D51">
              <w:t>3.</w:t>
            </w:r>
            <w:r w:rsidRPr="00BB5D51">
              <w:tab/>
              <w:t>De opgaver, der er pålagt undersøgelsesmyndigheden, udvides til at omfatte indsamling</w:t>
            </w:r>
            <w:r w:rsidRPr="00BB5D51">
              <w:rPr>
                <w:b/>
                <w:i/>
              </w:rPr>
              <w:t>, analyse</w:t>
            </w:r>
            <w:r w:rsidRPr="00BB5D51">
              <w:t xml:space="preserve"> og </w:t>
            </w:r>
            <w:r w:rsidRPr="00BB5D51">
              <w:rPr>
                <w:b/>
                <w:i/>
              </w:rPr>
              <w:t>behandling</w:t>
            </w:r>
            <w:r w:rsidRPr="00BB5D51">
              <w:t xml:space="preserve"> af data vedrørende sikkerhed til søs, især til forebyggende formål, for så vidt som disse opgaver ikke påvirker myndighedens uafhængighed</w:t>
            </w:r>
            <w:r w:rsidRPr="00BB5D51">
              <w:t xml:space="preserve"> eller indebærer et ansvar for regulering, administration eller standardisering.</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lastRenderedPageBreak/>
        <w:t>&lt;Amend&gt;</w:t>
      </w:r>
      <w:r w:rsidRPr="00BB5D51">
        <w:t>Ændringsforslag</w:t>
      </w:r>
      <w:r w:rsidRPr="00BB5D51">
        <w:tab/>
      </w:r>
      <w:r w:rsidRPr="00BB5D51">
        <w:tab/>
      </w:r>
      <w:r w:rsidRPr="00BB5D51">
        <w:rPr>
          <w:rStyle w:val="HideTWBExt"/>
          <w:b w:val="0"/>
          <w:noProof w:val="0"/>
        </w:rPr>
        <w:t>&lt;NumAm&gt;</w:t>
      </w:r>
      <w:r w:rsidRPr="00BB5D51">
        <w:t>13</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8</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8 – stk. 4</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4.</w:t>
            </w:r>
            <w:r w:rsidRPr="00BB5D51">
              <w:tab/>
              <w:t>Medlemsstaterne, som handler inden for rammerne af deres respektive retssystemer, sørger for, at undersøgelsesmedarbejderne i der</w:t>
            </w:r>
            <w:r w:rsidRPr="00BB5D51">
              <w:t>es egen undersøgelsesmyndighed eller i enhver anden undersøgelsesmyndighed, som de har overdraget søfartssikkerhedsundersøgelsesopgaverne til, eventuelt i samarbejde med de myndigheder, der har ansvaret for den retslige undersøgelse, modtager alle de oplys</w:t>
            </w:r>
            <w:r w:rsidRPr="00BB5D51">
              <w:t>ninger, der er relevante for søfartssikkerhedsundersøgelsen, og er bemyndiget til at:</w:t>
            </w:r>
          </w:p>
        </w:tc>
        <w:tc>
          <w:tcPr>
            <w:tcW w:w="4876" w:type="dxa"/>
            <w:hideMark/>
          </w:tcPr>
          <w:p w:rsidR="00135915" w:rsidRPr="00BB5D51" w:rsidRDefault="00BB5D51" w:rsidP="006F58A2">
            <w:pPr>
              <w:pStyle w:val="Normal6"/>
              <w:rPr>
                <w:szCs w:val="24"/>
              </w:rPr>
            </w:pPr>
            <w:r w:rsidRPr="00BB5D51">
              <w:t>4.</w:t>
            </w:r>
            <w:r w:rsidRPr="00BB5D51">
              <w:tab/>
              <w:t>Medlemsstaterne, som handler inden for rammerne af deres respektive retssystemer, sørger for, at undersøgelsesmedarbejderne i deres egen undersøgelsesmyndighed eller i</w:t>
            </w:r>
            <w:r w:rsidRPr="00BB5D51">
              <w:t xml:space="preserve"> enhver anden undersøgelsesmyndighed, som de har overdraget søfartssikkerhedsundersøgelsesopgaverne til, eventuelt i samarbejde med de myndigheder, der har ansvaret for den retslige undersøgelse, modtager alle de oplysninger</w:t>
            </w:r>
            <w:r w:rsidRPr="00BB5D51">
              <w:rPr>
                <w:b/>
                <w:i/>
              </w:rPr>
              <w:t xml:space="preserve"> og teknologiske midler</w:t>
            </w:r>
            <w:r w:rsidRPr="00BB5D51">
              <w:t xml:space="preserve">, der er </w:t>
            </w:r>
            <w:r w:rsidRPr="00BB5D51">
              <w:t>relevante for søfartssikkerhedsundersøgelsen, og er bemyndiget til at:</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14</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8</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8 – stk. 4 – litra i a (nyt)</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(ia)</w:t>
            </w:r>
            <w:r w:rsidRPr="00BB5D51">
              <w:rPr>
                <w:b/>
                <w:i/>
              </w:rPr>
              <w:tab/>
              <w:t xml:space="preserve">anmode om bistand fra Kommissionen og Det Europæiske Agentur for Søfartssikkerhed (EMSA) i overensstemmelse med </w:t>
            </w:r>
            <w:r w:rsidRPr="00BB5D51">
              <w:rPr>
                <w:b/>
                <w:i/>
              </w:rPr>
              <w:t>artikel 17a, stk. 2</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15</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15</w:t>
      </w:r>
      <w:r w:rsidRPr="00BB5D51">
        <w:rPr>
          <w:rStyle w:val="HideTWBExt"/>
          <w:b w:val="0"/>
          <w:noProof w:val="0"/>
        </w:rPr>
        <w:t>&lt;/Article&gt;</w:t>
      </w:r>
    </w:p>
    <w:p w:rsidR="00135915" w:rsidRPr="00BB5D51" w:rsidRDefault="00BB5D51" w:rsidP="00135915">
      <w:pPr>
        <w:keepNext/>
      </w:pPr>
      <w:r w:rsidRPr="00BB5D51">
        <w:rPr>
          <w:rStyle w:val="HideTWBExt"/>
          <w:noProof w:val="0"/>
        </w:rPr>
        <w:lastRenderedPageBreak/>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17</w:t>
      </w:r>
      <w:r w:rsidRPr="00BB5D51">
        <w:t xml:space="preserve"> a – stk. 1</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1.</w:t>
            </w:r>
            <w:r w:rsidRPr="00BB5D51">
              <w:tab/>
              <w:t xml:space="preserve">Kommissionen fremmer kapacitetsudvikling og udveksling af viden i og mellem undersøgelsesmyndighederne ved at tilbyde </w:t>
            </w:r>
            <w:r w:rsidRPr="00BB5D51">
              <w:rPr>
                <w:b/>
                <w:i/>
              </w:rPr>
              <w:t>uddannelse</w:t>
            </w:r>
            <w:r w:rsidRPr="00BB5D51">
              <w:t xml:space="preserve"> i ny juridisk og teknologisk udvikling, specifikke teknikker og værktøjer og teknologier vedrørende skibe, deres udstyr og drift.</w:t>
            </w:r>
          </w:p>
        </w:tc>
        <w:tc>
          <w:tcPr>
            <w:tcW w:w="4876" w:type="dxa"/>
            <w:hideMark/>
          </w:tcPr>
          <w:p w:rsidR="00135915" w:rsidRPr="00BB5D51" w:rsidRDefault="00BB5D51" w:rsidP="006F58A2">
            <w:pPr>
              <w:pStyle w:val="Normal6"/>
              <w:rPr>
                <w:szCs w:val="24"/>
              </w:rPr>
            </w:pPr>
            <w:r w:rsidRPr="00BB5D51">
              <w:t>1.</w:t>
            </w:r>
            <w:r w:rsidRPr="00BB5D51">
              <w:tab/>
              <w:t xml:space="preserve">Kommissionen </w:t>
            </w:r>
            <w:r w:rsidRPr="00BB5D51">
              <w:rPr>
                <w:b/>
                <w:i/>
              </w:rPr>
              <w:t xml:space="preserve">og Det Europæiske Agentur for Søfartssikkerhed (EMSA) </w:t>
            </w:r>
            <w:r w:rsidRPr="00BB5D51">
              <w:t>fremmer kapacitetsudvikling og udveksling af viden i og</w:t>
            </w:r>
            <w:r w:rsidRPr="00BB5D51">
              <w:t xml:space="preserve"> mellem undersøgelsesmyndighederne ved at tilbyde </w:t>
            </w:r>
            <w:r w:rsidRPr="00BB5D51">
              <w:rPr>
                <w:b/>
                <w:i/>
              </w:rPr>
              <w:t>regelmæssige uddannelser og certificeringer</w:t>
            </w:r>
            <w:r w:rsidRPr="00BB5D51">
              <w:t xml:space="preserve"> i ny juridisk og teknologisk udvikling, specifikke teknikker og værktøjer og teknologier vedrørende skibe, deres udstyr og drift.</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16</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15</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17 a – stk. 2</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t>2.</w:t>
            </w:r>
            <w:r w:rsidRPr="00BB5D51">
              <w:tab/>
              <w:t xml:space="preserve">Efter anmodning fra medlemsstaternes undersøgelsesmyndigheder og under forudsætning af, at der ikke opstår interessekonflikter, yder Kommissionen driftsmæssig støtte til disse medlemsstater i forbindelse med gennemførelsen af deres </w:t>
            </w:r>
            <w:r w:rsidRPr="00BB5D51">
              <w:t>sikkerhedsundersøgelser. Denne støtte omfatter levering af specialiseret analyseværktøj eller -udstyr samt ekspertise.</w:t>
            </w:r>
          </w:p>
        </w:tc>
        <w:tc>
          <w:tcPr>
            <w:tcW w:w="4876" w:type="dxa"/>
            <w:hideMark/>
          </w:tcPr>
          <w:p w:rsidR="00135915" w:rsidRPr="00BB5D51" w:rsidRDefault="00BB5D51" w:rsidP="006F58A2">
            <w:pPr>
              <w:pStyle w:val="Normal6"/>
              <w:rPr>
                <w:szCs w:val="24"/>
              </w:rPr>
            </w:pPr>
            <w:r w:rsidRPr="00BB5D51">
              <w:t>2.</w:t>
            </w:r>
            <w:r w:rsidRPr="00BB5D51">
              <w:tab/>
              <w:t>Efter anmodning fra medlemsstaternes undersøgelsesmyndigheder og under forudsætning af, at der ikke opstår interessekonflikter, yder K</w:t>
            </w:r>
            <w:r w:rsidRPr="00BB5D51">
              <w:t xml:space="preserve">ommissionen </w:t>
            </w:r>
            <w:r w:rsidRPr="00BB5D51">
              <w:rPr>
                <w:b/>
                <w:i/>
              </w:rPr>
              <w:t xml:space="preserve">og EMSA </w:t>
            </w:r>
            <w:r w:rsidRPr="00BB5D51">
              <w:t>driftsmæssig</w:t>
            </w:r>
            <w:r w:rsidRPr="00BB5D51">
              <w:rPr>
                <w:b/>
                <w:i/>
              </w:rPr>
              <w:t xml:space="preserve"> og teknologisk</w:t>
            </w:r>
            <w:r w:rsidRPr="00BB5D51">
              <w:t xml:space="preserve"> støtte til disse medlemsstater i forbindelse med gennemførelsen af deres sikkerhedsundersøgelser. Denne støtte omfatter levering af specialiseret analyseværktøj eller -udstyr samt ekspertise.</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17</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15</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17 a – stk. 2 a (nyt)</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2a.</w:t>
            </w:r>
            <w:r w:rsidRPr="00BB5D51">
              <w:rPr>
                <w:b/>
                <w:i/>
              </w:rPr>
              <w:tab/>
              <w:t>Kommissionen og EMSA tilbyder undersøgelsesmyndigheder målrettet uddannelse i brug af undersøgelsesteknologier og -udstyr og i nye teknologier i forbindelse med udviklingen inden for søtransport.</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vanish/>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18</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17 – indledning</w:t>
      </w:r>
      <w:r w:rsidRPr="00BB5D5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tcPr>
          <w:p w:rsidR="00135915" w:rsidRPr="00BB5D51" w:rsidRDefault="00BB5D51" w:rsidP="006F58A2">
            <w:pPr>
              <w:pStyle w:val="Normal6"/>
            </w:pPr>
            <w:r w:rsidRPr="00BB5D51">
              <w:t>17)</w:t>
            </w:r>
            <w:r w:rsidRPr="00BB5D51">
              <w:rPr>
                <w:b/>
                <w:i/>
              </w:rPr>
              <w:tab/>
            </w:r>
            <w:r w:rsidRPr="00BB5D51">
              <w:t>Artikel 20, stk. 4, affattes således:</w:t>
            </w:r>
          </w:p>
        </w:tc>
        <w:tc>
          <w:tcPr>
            <w:tcW w:w="4876" w:type="dxa"/>
            <w:hideMark/>
          </w:tcPr>
          <w:p w:rsidR="00135915" w:rsidRPr="00BB5D51" w:rsidRDefault="00BB5D51" w:rsidP="006F58A2">
            <w:pPr>
              <w:pStyle w:val="Normal6"/>
              <w:rPr>
                <w:szCs w:val="24"/>
              </w:rPr>
            </w:pPr>
            <w:r w:rsidRPr="00BB5D51">
              <w:t>(17)</w:t>
            </w:r>
            <w:r w:rsidRPr="00BB5D51">
              <w:tab/>
              <w:t>Artikel 20 affattes således:</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pStyle w:val="CrossRef"/>
      </w:pPr>
      <w:r w:rsidRPr="00BB5D51">
        <w:t>(32009L0018)</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19</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17</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w:t>
      </w:r>
      <w:r w:rsidRPr="00BB5D51">
        <w:rPr>
          <w:rStyle w:val="HideTWBExt"/>
          <w:noProof w:val="0"/>
        </w:rPr>
        <w:t>mend2&gt;</w:t>
      </w:r>
    </w:p>
    <w:p w:rsidR="00135915" w:rsidRPr="00BB5D51" w:rsidRDefault="00BB5D51" w:rsidP="00135915">
      <w:r w:rsidRPr="00BB5D51">
        <w:rPr>
          <w:rStyle w:val="HideTWBExt"/>
          <w:noProof w:val="0"/>
        </w:rPr>
        <w:t>&lt;Article2&gt;</w:t>
      </w:r>
      <w:r w:rsidRPr="00BB5D51">
        <w:t>Artikel 20 – stk. 1</w:t>
      </w:r>
      <w:r w:rsidRPr="00BB5D51">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Gældende ordlyd</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tcPr>
          <w:p w:rsidR="00135915" w:rsidRPr="00BB5D51" w:rsidRDefault="00BB5D51" w:rsidP="006F58A2">
            <w:pPr>
              <w:pStyle w:val="Normal6"/>
            </w:pPr>
            <w:r w:rsidRPr="00BB5D51">
              <w:rPr>
                <w:b/>
                <w:i/>
              </w:rPr>
              <w:t>Kommissionen kan ajourføre definitionerne</w:t>
            </w:r>
            <w:r w:rsidRPr="00BB5D51">
              <w:t xml:space="preserve"> i dette direktiv </w:t>
            </w:r>
            <w:r w:rsidRPr="00BB5D51">
              <w:rPr>
                <w:b/>
                <w:i/>
              </w:rPr>
              <w:t>og henvisningerne til EF-retsakter</w:t>
            </w:r>
            <w:r w:rsidRPr="00BB5D51">
              <w:t xml:space="preserve"> og </w:t>
            </w:r>
            <w:r w:rsidRPr="00BB5D51">
              <w:rPr>
                <w:b/>
                <w:i/>
              </w:rPr>
              <w:t>IMO-instrumenter</w:t>
            </w:r>
            <w:r w:rsidRPr="00BB5D51">
              <w:t xml:space="preserve"> for at </w:t>
            </w:r>
            <w:r w:rsidRPr="00BB5D51">
              <w:rPr>
                <w:b/>
                <w:i/>
              </w:rPr>
              <w:t>bringe dem</w:t>
            </w:r>
            <w:r w:rsidRPr="00BB5D51">
              <w:t xml:space="preserve"> i </w:t>
            </w:r>
            <w:r w:rsidRPr="00BB5D51">
              <w:rPr>
                <w:b/>
                <w:i/>
              </w:rPr>
              <w:t xml:space="preserve">overensstemmelse med EF- eller </w:t>
            </w:r>
            <w:r w:rsidRPr="00BB5D51">
              <w:rPr>
                <w:b/>
                <w:i/>
              </w:rPr>
              <w:t>IMO-foranstaltninger</w:t>
            </w:r>
            <w:r w:rsidRPr="00BB5D51">
              <w:t>, der er trådt i kraft, forudsat at direktivets bestemmelser overholdes.</w:t>
            </w:r>
          </w:p>
        </w:tc>
        <w:tc>
          <w:tcPr>
            <w:tcW w:w="4876" w:type="dxa"/>
          </w:tcPr>
          <w:p w:rsidR="00135915" w:rsidRPr="00BB5D51" w:rsidRDefault="00BB5D51" w:rsidP="006F58A2">
            <w:pPr>
              <w:pStyle w:val="Normal6"/>
              <w:rPr>
                <w:b/>
                <w:i/>
              </w:rPr>
            </w:pPr>
            <w:r w:rsidRPr="00BB5D51">
              <w:rPr>
                <w:b/>
                <w:i/>
              </w:rPr>
              <w:t>"Kommissionen vedtager delegerede retsakter</w:t>
            </w:r>
            <w:r w:rsidRPr="00BB5D51">
              <w:t xml:space="preserve"> i </w:t>
            </w:r>
            <w:r w:rsidRPr="00BB5D51">
              <w:rPr>
                <w:b/>
                <w:i/>
              </w:rPr>
              <w:t xml:space="preserve">overensstemmelse med artikel 20a med henblik på at ændre </w:t>
            </w:r>
            <w:r w:rsidRPr="00BB5D51">
              <w:t xml:space="preserve">dette direktiv </w:t>
            </w:r>
            <w:r w:rsidRPr="00BB5D51">
              <w:rPr>
                <w:b/>
                <w:i/>
              </w:rPr>
              <w:t>ved at ajourføre definitionerne</w:t>
            </w:r>
            <w:r w:rsidRPr="00BB5D51">
              <w:t xml:space="preserve"> og </w:t>
            </w:r>
            <w:r w:rsidRPr="00BB5D51">
              <w:rPr>
                <w:b/>
                <w:i/>
              </w:rPr>
              <w:t>bilagene</w:t>
            </w:r>
            <w:r w:rsidRPr="00BB5D51">
              <w:t xml:space="preserve"> f</w:t>
            </w:r>
            <w:r w:rsidRPr="00BB5D51">
              <w:t xml:space="preserve">or at </w:t>
            </w:r>
            <w:r w:rsidRPr="00BB5D51">
              <w:rPr>
                <w:b/>
                <w:i/>
              </w:rPr>
              <w:t>efterkomme ændringer</w:t>
            </w:r>
            <w:r w:rsidRPr="00BB5D51">
              <w:t xml:space="preserve"> i </w:t>
            </w:r>
            <w:r w:rsidRPr="00BB5D51">
              <w:rPr>
                <w:b/>
                <w:i/>
              </w:rPr>
              <w:t>den internationale søfartslovgivning, som reguleret af IMO, samt for at ajourføre henvisningerne til andre EU-retsakter og IMO-instrumenter</w:t>
            </w:r>
            <w:r w:rsidRPr="00BB5D51">
              <w:t>, der er trådt i kraft, forudsat at direktivets bestemmelser overholdes.</w:t>
            </w:r>
            <w:r w:rsidRPr="00BB5D51">
              <w:rPr>
                <w:b/>
                <w:i/>
              </w:rPr>
              <w:t xml:space="preserve"> </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w:t>
      </w:r>
      <w:r w:rsidRPr="00BB5D51">
        <w:rPr>
          <w:rStyle w:val="HideTWBExt"/>
          <w:noProof w:val="0"/>
        </w:rPr>
        <w:t>&gt;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pStyle w:val="CrossRef"/>
      </w:pPr>
      <w:r w:rsidRPr="00BB5D51">
        <w:t>(32009L0018)</w:t>
      </w:r>
    </w:p>
    <w:p w:rsidR="00135915" w:rsidRPr="00BB5D51" w:rsidRDefault="00BB5D51" w:rsidP="00135915">
      <w:pPr>
        <w:rPr>
          <w:szCs w:val="24"/>
        </w:rPr>
      </w:pPr>
      <w:r w:rsidRPr="00BB5D51">
        <w:rPr>
          <w:rStyle w:val="HideTWBExt"/>
          <w:noProof w:val="0"/>
        </w:rPr>
        <w:lastRenderedPageBreak/>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20</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17</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20 – stk. 2</w:t>
      </w:r>
      <w:r w:rsidRPr="00BB5D51">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Gældende ordlyd</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hideMark/>
          </w:tcPr>
          <w:p w:rsidR="00135915" w:rsidRPr="00BB5D51" w:rsidRDefault="00BB5D51" w:rsidP="006F58A2">
            <w:pPr>
              <w:pStyle w:val="Normal6"/>
            </w:pPr>
            <w:r w:rsidRPr="00BB5D51">
              <w:rPr>
                <w:b/>
                <w:i/>
              </w:rPr>
              <w:t>Disse foranstaltninger, der har til formål at ændre ikke-væsentlige bestemmelser i dette direktiv, herunder ved at supplere det, vedtages efter forskriftsproceduren med kontrol i artikel 19, stk. 3.</w:t>
            </w:r>
          </w:p>
        </w:tc>
        <w:tc>
          <w:tcPr>
            <w:tcW w:w="4876" w:type="dxa"/>
          </w:tcPr>
          <w:p w:rsidR="00135915" w:rsidRPr="00BB5D51" w:rsidRDefault="00BB5D51" w:rsidP="006F58A2">
            <w:pPr>
              <w:pStyle w:val="Normal6"/>
              <w:rPr>
                <w:b/>
                <w:i/>
                <w:szCs w:val="24"/>
              </w:rPr>
            </w:pPr>
            <w:r w:rsidRPr="00BB5D51">
              <w:rPr>
                <w:b/>
                <w:i/>
              </w:rPr>
              <w:t>udgår</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pStyle w:val="CrossRef"/>
      </w:pPr>
      <w:r w:rsidRPr="00BB5D51">
        <w:t>(32009L0018)</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21</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Artikel 1 – stk. 1 – nr. 17</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20 – stk. 3</w:t>
      </w:r>
      <w:r w:rsidRPr="00BB5D51">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Gældende ordlyd</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tcPr>
          <w:p w:rsidR="00135915" w:rsidRPr="00BB5D51" w:rsidRDefault="00BB5D51" w:rsidP="006F58A2">
            <w:pPr>
              <w:pStyle w:val="Normal6"/>
              <w:rPr>
                <w:b/>
                <w:i/>
              </w:rPr>
            </w:pPr>
            <w:r w:rsidRPr="00BB5D51">
              <w:rPr>
                <w:b/>
                <w:i/>
              </w:rPr>
              <w:t>Kommissionen kan også ændre bilagene efter samme procedure.</w:t>
            </w:r>
          </w:p>
        </w:tc>
        <w:tc>
          <w:tcPr>
            <w:tcW w:w="4876" w:type="dxa"/>
          </w:tcPr>
          <w:p w:rsidR="00135915" w:rsidRPr="00BB5D51" w:rsidRDefault="00BB5D51" w:rsidP="006F58A2">
            <w:pPr>
              <w:pStyle w:val="Normal6"/>
              <w:rPr>
                <w:b/>
                <w:i/>
              </w:rPr>
            </w:pPr>
            <w:r w:rsidRPr="00BB5D51">
              <w:rPr>
                <w:b/>
                <w:i/>
              </w:rPr>
              <w:t>udgår</w:t>
            </w:r>
          </w:p>
        </w:tc>
      </w:tr>
    </w:tbl>
    <w:p w:rsidR="00135915" w:rsidRPr="00BB5D51" w:rsidRDefault="00BB5D51" w:rsidP="00135915">
      <w:pPr>
        <w:pStyle w:val="Olang"/>
        <w:rPr>
          <w:sz w:val="24"/>
          <w:szCs w:val="24"/>
        </w:rPr>
      </w:pPr>
      <w:r w:rsidRPr="00BB5D51">
        <w:rPr>
          <w:sz w:val="24"/>
          <w:szCs w:val="24"/>
        </w:rPr>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pStyle w:val="CrossRef"/>
      </w:pPr>
      <w:r w:rsidRPr="00BB5D51">
        <w:t>(32009L0018)</w:t>
      </w:r>
    </w:p>
    <w:p w:rsidR="00135915" w:rsidRPr="00BB5D51" w:rsidRDefault="00BB5D51" w:rsidP="00135915">
      <w:pPr>
        <w:rPr>
          <w:szCs w:val="24"/>
        </w:rPr>
      </w:pPr>
      <w:r w:rsidRPr="00BB5D51">
        <w:rPr>
          <w:rStyle w:val="HideTWBExt"/>
          <w:noProof w:val="0"/>
        </w:rPr>
        <w:t>&lt;/Amend&gt;</w:t>
      </w:r>
    </w:p>
    <w:p w:rsidR="00135915" w:rsidRPr="00BB5D51" w:rsidRDefault="00BB5D51" w:rsidP="00135915">
      <w:pPr>
        <w:pStyle w:val="AMNumberTabs0"/>
        <w:keepNext/>
      </w:pPr>
      <w:r w:rsidRPr="00BB5D51">
        <w:rPr>
          <w:rStyle w:val="HideTWBExt"/>
          <w:b w:val="0"/>
          <w:noProof w:val="0"/>
        </w:rPr>
        <w:t>&lt;Amend&gt;</w:t>
      </w:r>
      <w:r w:rsidRPr="00BB5D51">
        <w:t>Ændringsforslag</w:t>
      </w:r>
      <w:r w:rsidRPr="00BB5D51">
        <w:tab/>
      </w:r>
      <w:r w:rsidRPr="00BB5D51">
        <w:tab/>
      </w:r>
      <w:r w:rsidRPr="00BB5D51">
        <w:rPr>
          <w:rStyle w:val="HideTWBExt"/>
          <w:b w:val="0"/>
          <w:noProof w:val="0"/>
        </w:rPr>
        <w:t>&lt;NumAm&gt;</w:t>
      </w:r>
      <w:r w:rsidRPr="00BB5D51">
        <w:t>22</w:t>
      </w:r>
      <w:r w:rsidRPr="00BB5D51">
        <w:rPr>
          <w:rStyle w:val="HideTWBExt"/>
          <w:b w:val="0"/>
          <w:noProof w:val="0"/>
        </w:rPr>
        <w:t>&lt;/NumAm&gt;</w:t>
      </w:r>
    </w:p>
    <w:p w:rsidR="00135915" w:rsidRPr="00BB5D51" w:rsidRDefault="00BB5D51" w:rsidP="00135915">
      <w:pPr>
        <w:pStyle w:val="NormalBold12b"/>
        <w:keepNext/>
      </w:pPr>
      <w:r w:rsidRPr="00BB5D51">
        <w:rPr>
          <w:rStyle w:val="HideTWBExt"/>
          <w:b w:val="0"/>
          <w:noProof w:val="0"/>
        </w:rPr>
        <w:t>&lt;DocAmend&gt;</w:t>
      </w:r>
      <w:r w:rsidRPr="00BB5D51">
        <w:t>Forslag til direktiv</w:t>
      </w:r>
      <w:r w:rsidRPr="00BB5D51">
        <w:rPr>
          <w:rStyle w:val="HideTWBExt"/>
          <w:b w:val="0"/>
          <w:noProof w:val="0"/>
        </w:rPr>
        <w:t>&lt;/DocAmend&gt;</w:t>
      </w:r>
    </w:p>
    <w:p w:rsidR="00135915" w:rsidRPr="00BB5D51" w:rsidRDefault="00BB5D51" w:rsidP="00135915">
      <w:pPr>
        <w:pStyle w:val="NormalBold"/>
      </w:pPr>
      <w:r w:rsidRPr="00BB5D51">
        <w:rPr>
          <w:rStyle w:val="HideTWBExt"/>
          <w:b w:val="0"/>
          <w:noProof w:val="0"/>
        </w:rPr>
        <w:t>&lt;Article&gt;</w:t>
      </w:r>
      <w:r w:rsidRPr="00BB5D51">
        <w:t xml:space="preserve">Artikel </w:t>
      </w:r>
      <w:r w:rsidRPr="00BB5D51">
        <w:t>1 – stk. 1 – nr. 17 a (nyt)</w:t>
      </w:r>
      <w:r w:rsidRPr="00BB5D51">
        <w:rPr>
          <w:rStyle w:val="HideTWBExt"/>
          <w:b w:val="0"/>
          <w:noProof w:val="0"/>
        </w:rPr>
        <w:t>&lt;/Article&gt;</w:t>
      </w:r>
    </w:p>
    <w:p w:rsidR="00135915" w:rsidRPr="00BB5D51" w:rsidRDefault="00BB5D51" w:rsidP="00135915">
      <w:pPr>
        <w:keepNext/>
      </w:pPr>
      <w:r w:rsidRPr="00BB5D51">
        <w:rPr>
          <w:rStyle w:val="HideTWBExt"/>
          <w:noProof w:val="0"/>
        </w:rPr>
        <w:t>&lt;DocAmend2&gt;</w:t>
      </w:r>
      <w:r w:rsidRPr="00BB5D51">
        <w:t>Direktiv 2009/18/EF</w:t>
      </w:r>
      <w:r w:rsidRPr="00BB5D51">
        <w:rPr>
          <w:rStyle w:val="HideTWBExt"/>
          <w:noProof w:val="0"/>
        </w:rPr>
        <w:t>&lt;/DocAmend2&gt;</w:t>
      </w:r>
    </w:p>
    <w:p w:rsidR="00135915" w:rsidRPr="00BB5D51" w:rsidRDefault="00BB5D51" w:rsidP="00135915">
      <w:r w:rsidRPr="00BB5D51">
        <w:rPr>
          <w:rStyle w:val="HideTWBExt"/>
          <w:noProof w:val="0"/>
        </w:rPr>
        <w:t>&lt;Article2&gt;</w:t>
      </w:r>
      <w:r w:rsidRPr="00BB5D51">
        <w:t>Artikel 20 a (ny)</w:t>
      </w:r>
      <w:r w:rsidRPr="00BB5D5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847DF" w:rsidRPr="00BB5D51" w:rsidTr="006F58A2">
        <w:trPr>
          <w:jc w:val="center"/>
        </w:trPr>
        <w:tc>
          <w:tcPr>
            <w:tcW w:w="9752" w:type="dxa"/>
            <w:gridSpan w:val="2"/>
          </w:tcPr>
          <w:p w:rsidR="00135915" w:rsidRPr="00BB5D51" w:rsidRDefault="00135915" w:rsidP="006F58A2">
            <w:pPr>
              <w:keepNext/>
            </w:pPr>
          </w:p>
        </w:tc>
      </w:tr>
      <w:tr w:rsidR="00C847DF" w:rsidRPr="00BB5D51" w:rsidTr="006F58A2">
        <w:trPr>
          <w:jc w:val="center"/>
        </w:trPr>
        <w:tc>
          <w:tcPr>
            <w:tcW w:w="4876" w:type="dxa"/>
            <w:hideMark/>
          </w:tcPr>
          <w:p w:rsidR="00135915" w:rsidRPr="00BB5D51" w:rsidRDefault="00BB5D51" w:rsidP="006F58A2">
            <w:pPr>
              <w:pStyle w:val="ColumnHeading"/>
              <w:keepNext/>
            </w:pPr>
            <w:r w:rsidRPr="00BB5D51">
              <w:t>Kommissionens forslag</w:t>
            </w:r>
          </w:p>
        </w:tc>
        <w:tc>
          <w:tcPr>
            <w:tcW w:w="4876" w:type="dxa"/>
            <w:hideMark/>
          </w:tcPr>
          <w:p w:rsidR="00135915" w:rsidRPr="00BB5D51" w:rsidRDefault="00BB5D51" w:rsidP="006F58A2">
            <w:pPr>
              <w:pStyle w:val="ColumnHeading"/>
              <w:keepNext/>
            </w:pPr>
            <w:r w:rsidRPr="00BB5D51">
              <w:t>Ændringsforslag</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(17a)</w:t>
            </w:r>
            <w:r w:rsidRPr="00BB5D51">
              <w:rPr>
                <w:b/>
                <w:i/>
              </w:rPr>
              <w:tab/>
              <w:t>Følgende indsættes som artikel 20a:</w:t>
            </w:r>
          </w:p>
        </w:tc>
      </w:tr>
      <w:tr w:rsidR="00C847DF" w:rsidRPr="00BB5D51" w:rsidTr="006F58A2">
        <w:trPr>
          <w:jc w:val="center"/>
        </w:trPr>
        <w:tc>
          <w:tcPr>
            <w:tcW w:w="4876" w:type="dxa"/>
          </w:tcPr>
          <w:p w:rsidR="00135915" w:rsidRPr="00BB5D51" w:rsidRDefault="00135915" w:rsidP="006F58A2">
            <w:pPr>
              <w:pStyle w:val="Normal6"/>
            </w:pPr>
          </w:p>
        </w:tc>
        <w:tc>
          <w:tcPr>
            <w:tcW w:w="4876" w:type="dxa"/>
          </w:tcPr>
          <w:p w:rsidR="00135915" w:rsidRPr="00BB5D51" w:rsidRDefault="00BB5D51" w:rsidP="006F58A2">
            <w:pPr>
              <w:pStyle w:val="Normal6"/>
              <w:rPr>
                <w:b/>
                <w:i/>
              </w:rPr>
            </w:pPr>
            <w:r w:rsidRPr="00BB5D51">
              <w:rPr>
                <w:b/>
                <w:i/>
              </w:rPr>
              <w:t xml:space="preserve">Artikel 20a </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 xml:space="preserve">Udøvelse af de delegerede </w:t>
            </w:r>
            <w:r w:rsidRPr="00BB5D51">
              <w:rPr>
                <w:b/>
                <w:i/>
              </w:rPr>
              <w:t>beføjelser</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 xml:space="preserve">1. </w:t>
            </w:r>
            <w:r w:rsidRPr="00BB5D51">
              <w:rPr>
                <w:b/>
                <w:i/>
              </w:rPr>
              <w:tab/>
              <w:t>Beføjelsen til at vedtage delegerede retsakter tillægges Kommissionen på de i denne artikel fastlagte betingelser.</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 xml:space="preserve">2. </w:t>
            </w:r>
            <w:r w:rsidRPr="00BB5D51">
              <w:rPr>
                <w:b/>
                <w:i/>
              </w:rPr>
              <w:tab/>
              <w:t>Kommissionen tillægges beføjelser til at vedtage de i artikel 20 omhandlede delegerede retsakter på ubestemt tid fra [</w:t>
            </w:r>
            <w:r w:rsidRPr="00BB5D51">
              <w:rPr>
                <w:b/>
                <w:i/>
              </w:rPr>
              <w:t>datoen for ikrafttrædelse].</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 xml:space="preserve">3. </w:t>
            </w:r>
            <w:r w:rsidRPr="00BB5D51">
              <w:rPr>
                <w:b/>
                <w:i/>
              </w:rPr>
              <w:tab/>
              <w:t>Den i artikel 20 omhandlede delegation af beføjelser kan til enhver tid tilbagekaldes af Europa-Parlamentet eller Rådet. En afgørelse om tilbagekaldelse bringer delegationen af de beføjelser, der er angivet i den pågældend</w:t>
            </w:r>
            <w:r w:rsidRPr="00BB5D51">
              <w:rPr>
                <w:b/>
                <w:i/>
              </w:rPr>
              <w:t>e afgørelse, til ophør. Den får virkning dagen efter offentliggørelsen af afgørelsen i Den Europæiske Unions Tidende eller på et senere tidspunkt, der angives i afgørelsen. Den berører ikke gyldigheden af delegerede retsakter, der allerede er i kraft.</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4.</w:t>
            </w:r>
            <w:r w:rsidRPr="00BB5D51">
              <w:rPr>
                <w:b/>
                <w:i/>
              </w:rPr>
              <w:t xml:space="preserve"> </w:t>
            </w:r>
            <w:r w:rsidRPr="00BB5D51">
              <w:rPr>
                <w:b/>
                <w:i/>
              </w:rPr>
              <w:tab/>
              <w:t>Inden vedtagelsen af en delegeret retsakt hører Kommissionen eksperter, som er udpeget af hver enkelt medlemsstat, i overensstemmelse med principperne i den interinstitutionelle aftale om bedre lovgivning af 13. april 2016.</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 xml:space="preserve">5. </w:t>
            </w:r>
            <w:r w:rsidRPr="00BB5D51">
              <w:rPr>
                <w:b/>
                <w:i/>
              </w:rPr>
              <w:tab/>
              <w:t xml:space="preserve">Så snart Kommissionen </w:t>
            </w:r>
            <w:r w:rsidRPr="00BB5D51">
              <w:rPr>
                <w:b/>
                <w:i/>
              </w:rPr>
              <w:t>vedtager en delegeret retsakt, giver den samtidigt Europa-Parlamentet og Rådet meddelelse herom.</w:t>
            </w:r>
          </w:p>
        </w:tc>
      </w:tr>
      <w:tr w:rsidR="00C847DF" w:rsidRPr="00BB5D51" w:rsidTr="006F58A2">
        <w:trPr>
          <w:jc w:val="center"/>
        </w:trPr>
        <w:tc>
          <w:tcPr>
            <w:tcW w:w="4876" w:type="dxa"/>
          </w:tcPr>
          <w:p w:rsidR="00135915" w:rsidRPr="00BB5D51" w:rsidRDefault="00135915" w:rsidP="006F58A2">
            <w:pPr>
              <w:pStyle w:val="Normal6"/>
            </w:pPr>
          </w:p>
        </w:tc>
        <w:tc>
          <w:tcPr>
            <w:tcW w:w="4876" w:type="dxa"/>
            <w:hideMark/>
          </w:tcPr>
          <w:p w:rsidR="00135915" w:rsidRPr="00BB5D51" w:rsidRDefault="00BB5D51" w:rsidP="006F58A2">
            <w:pPr>
              <w:pStyle w:val="Normal6"/>
              <w:rPr>
                <w:szCs w:val="24"/>
              </w:rPr>
            </w:pPr>
            <w:r w:rsidRPr="00BB5D51">
              <w:rPr>
                <w:b/>
                <w:i/>
              </w:rPr>
              <w:t xml:space="preserve">6. </w:t>
            </w:r>
            <w:r w:rsidRPr="00BB5D51">
              <w:rPr>
                <w:b/>
                <w:i/>
              </w:rPr>
              <w:tab/>
              <w:t xml:space="preserve">En delegeret retsakt vedtaget i henhold til artikel 20 træder kun i kraft, hvis hverken Europa-Parlamentet eller Rådet har gjort indsigelse inden for en </w:t>
            </w:r>
            <w:r w:rsidRPr="00BB5D51">
              <w:rPr>
                <w:b/>
                <w:i/>
              </w:rPr>
              <w:t>frist på to måneder fra meddelelsen af den pågældende retsakt til Europa-Parlamentet og Rådet, eller hvis Europa-Parlamentet og Rådet inden udløbet af denne frist begge har underrettet Kommissionen om, at de ikke agter at gøre indsigelse. Fristen forlænges</w:t>
            </w:r>
            <w:r w:rsidRPr="00BB5D51">
              <w:rPr>
                <w:b/>
                <w:i/>
              </w:rPr>
              <w:t xml:space="preserve"> med to måneder på Europa-Parlamentets eller </w:t>
            </w:r>
            <w:r w:rsidRPr="00BB5D51">
              <w:rPr>
                <w:b/>
                <w:i/>
              </w:rPr>
              <w:lastRenderedPageBreak/>
              <w:t>Rådets initiativ.</w:t>
            </w:r>
          </w:p>
        </w:tc>
      </w:tr>
    </w:tbl>
    <w:p w:rsidR="00135915" w:rsidRPr="00BB5D51" w:rsidRDefault="00BB5D51" w:rsidP="00135915">
      <w:pPr>
        <w:pStyle w:val="Olang"/>
        <w:rPr>
          <w:sz w:val="24"/>
          <w:szCs w:val="24"/>
        </w:rPr>
      </w:pPr>
      <w:r w:rsidRPr="00BB5D51">
        <w:rPr>
          <w:sz w:val="24"/>
          <w:szCs w:val="24"/>
        </w:rPr>
        <w:lastRenderedPageBreak/>
        <w:t xml:space="preserve">Or. </w:t>
      </w:r>
      <w:r w:rsidRPr="00BB5D51">
        <w:rPr>
          <w:rStyle w:val="HideTWBExt"/>
          <w:noProof w:val="0"/>
        </w:rPr>
        <w:t>&lt;Original&gt;</w:t>
      </w:r>
      <w:r w:rsidRPr="00BB5D51">
        <w:rPr>
          <w:rStyle w:val="HideTWBInt"/>
          <w:sz w:val="24"/>
          <w:szCs w:val="24"/>
        </w:rPr>
        <w:t>{EN}</w:t>
      </w:r>
      <w:r w:rsidRPr="00BB5D51">
        <w:rPr>
          <w:sz w:val="24"/>
          <w:szCs w:val="24"/>
        </w:rPr>
        <w:t>en</w:t>
      </w:r>
      <w:r w:rsidRPr="00BB5D51">
        <w:rPr>
          <w:rStyle w:val="HideTWBExt"/>
          <w:noProof w:val="0"/>
        </w:rPr>
        <w:t>&lt;/Original&gt;</w:t>
      </w:r>
    </w:p>
    <w:p w:rsidR="00135915" w:rsidRPr="00BB5D51" w:rsidRDefault="00BB5D51" w:rsidP="00135915">
      <w:pPr>
        <w:rPr>
          <w:szCs w:val="24"/>
        </w:rPr>
      </w:pPr>
      <w:r w:rsidRPr="00BB5D51">
        <w:rPr>
          <w:rStyle w:val="HideTWBExt"/>
          <w:noProof w:val="0"/>
        </w:rPr>
        <w:t>&lt;/Amend&gt;&lt;/RepeatBlock-Amend&gt;</w:t>
      </w:r>
    </w:p>
    <w:p w:rsidR="00135915" w:rsidRPr="00BB5D51" w:rsidRDefault="00135915" w:rsidP="00135915"/>
    <w:p w:rsidR="00135915" w:rsidRPr="00BB5D51" w:rsidRDefault="00135915" w:rsidP="00135915"/>
    <w:p w:rsidR="00135915" w:rsidRPr="00BB5D51" w:rsidRDefault="00135915" w:rsidP="00135915">
      <w:pPr>
        <w:sectPr w:rsidR="00135915" w:rsidRPr="00BB5D51" w:rsidSect="0013591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35915" w:rsidRPr="00BB5D51" w:rsidRDefault="00BB5D51" w:rsidP="00135915">
      <w:pPr>
        <w:pStyle w:val="PageHeading"/>
      </w:pPr>
      <w:bookmarkStart w:id="1" w:name="_Toc146119417"/>
      <w:bookmarkStart w:id="2" w:name="_Toc147226163"/>
      <w:r w:rsidRPr="00BB5D51">
        <w:lastRenderedPageBreak/>
        <w:t>BEGRUNDELSE</w:t>
      </w:r>
      <w:bookmarkEnd w:id="1"/>
      <w:bookmarkEnd w:id="2"/>
    </w:p>
    <w:p w:rsidR="00135915" w:rsidRPr="00BB5D51" w:rsidRDefault="00BB5D51" w:rsidP="00BB5D51">
      <w:pPr>
        <w:spacing w:after="240"/>
      </w:pPr>
      <w:r w:rsidRPr="00BB5D51">
        <w:t>Dette forslag fra Kommissionen vedrører en ændring af Europa-Parlamentets og Rådets direktiv 2009/</w:t>
      </w:r>
      <w:r w:rsidRPr="00BB5D51">
        <w:t>18/EF af 23. april 2009 om de grundlæggende principper for undersøgelser af ulykker i søtransportsektoren og om ændring af Rådets direktiv 1999/35/EF og Europa-Parlamentets og Rådets direktiv 2002/59/EF.</w:t>
      </w:r>
    </w:p>
    <w:p w:rsidR="00135915" w:rsidRPr="00BB5D51" w:rsidRDefault="00BB5D51" w:rsidP="00BB5D51">
      <w:pPr>
        <w:spacing w:after="240"/>
      </w:pPr>
      <w:r w:rsidRPr="00BB5D51">
        <w:t xml:space="preserve">Direktivet indeholder bestemmelser om et system med </w:t>
      </w:r>
      <w:r w:rsidRPr="00BB5D51">
        <w:t>sikkerhedsundersøgelser for at tage ved lære af ulykker til søs og forhindre, at de gentager sig. Ulykker til søs, der falder ind under direktivets anvendelsesområde, undersøges for at forbedre sikkerheden til søs og beskytte havmiljøet.</w:t>
      </w:r>
    </w:p>
    <w:p w:rsidR="00135915" w:rsidRPr="00BB5D51" w:rsidRDefault="00BB5D51" w:rsidP="00BB5D51">
      <w:pPr>
        <w:spacing w:after="240"/>
      </w:pPr>
      <w:r w:rsidRPr="00BB5D51">
        <w:t>Det overordnede må</w:t>
      </w:r>
      <w:r w:rsidRPr="00BB5D51">
        <w:t>l med revisionen af direktivet er at forbedre sikkerheden til søs og beskyttelsen af havmiljøet. EU's nuværende lovgivningsmæssige rammer bør ajourføres med henblik på i) at opretholde EU-reglerne, hvor det er nødvendigt og forholdsmæssigt, ii) sikre, at r</w:t>
      </w:r>
      <w:r w:rsidRPr="00BB5D51">
        <w:t>eglerne gennemføres korrekt, og iii) at eventuelle overlappende forpligtelser samt uoverensstemmelser med beslægtet lovgivning undgås. Det overordnede mål er at skabe en klar, enkel og ajourført retlig ramme, der øger det generelle sikkerhedsniveau.</w:t>
      </w:r>
    </w:p>
    <w:p w:rsidR="00135915" w:rsidRPr="00BB5D51" w:rsidRDefault="00BB5D51" w:rsidP="00BB5D51">
      <w:pPr>
        <w:spacing w:after="240"/>
      </w:pPr>
      <w:r w:rsidRPr="00BB5D51">
        <w:t>Ordfør</w:t>
      </w:r>
      <w:r w:rsidRPr="00BB5D51">
        <w:t>eren foreslår nogle ændringer, der tager sigte på fuld tilpasning til international søret, en realistisk tilgang til anvendelsesområdet samt sikkerhedsundersøgelser og øget sikkerhed for havnearbejdere, der er involveret i ulykker til søs.</w:t>
      </w:r>
    </w:p>
    <w:p w:rsidR="00135915" w:rsidRPr="00BB5D51" w:rsidRDefault="00BB5D51" w:rsidP="00BB5D51">
      <w:pPr>
        <w:spacing w:after="240"/>
      </w:pPr>
      <w:r w:rsidRPr="00BB5D51">
        <w:t>For det første a</w:t>
      </w:r>
      <w:r w:rsidRPr="00BB5D51">
        <w:t xml:space="preserve">nføres det i forslaget, at sikkerhedsundersøgelsen skal påbegyndes senest to måneder efter, at den har fundet sted. Ordføreren foreslår, at denne periode afkortes for at øge undersøgelsesprocessens effektivitet. </w:t>
      </w:r>
    </w:p>
    <w:p w:rsidR="00135915" w:rsidRPr="00BB5D51" w:rsidRDefault="00BB5D51" w:rsidP="00BB5D51">
      <w:pPr>
        <w:spacing w:after="240"/>
      </w:pPr>
      <w:r w:rsidRPr="00BB5D51">
        <w:t>For det andet foreslår Kommissionen, at der</w:t>
      </w:r>
      <w:r w:rsidRPr="00BB5D51">
        <w:t xml:space="preserve"> lægges større vægt på årsagerne til ulykker og hændelser fra fiskerfartøjer. Med en analyse af de mulige konsekvenser for, at mindre fiskerfartøjer kan blive omfattet af dette direktivs anvendelsesområde, rejste ordføreren en vis tvivl om, hvorvidt det er</w:t>
      </w:r>
      <w:r w:rsidRPr="00BB5D51">
        <w:t xml:space="preserve"> praktisk muligt at udvide anvendelsesområdet. Man skal være klar over, at selv om det kunne være meget nyttigt at lette medlemsstaternes deltagelse i gennemførelsen af undersøgelser af ulykker på små fiskerfartøjer baseret på standardiserede ulykkesrelate</w:t>
      </w:r>
      <w:r w:rsidRPr="00BB5D51">
        <w:t>rede data, vil inklusionen af mindre fiskerfartøjer i dette direktivs anvendelsesområde, kunne få stor indvirkning på de ressourcer, der er til rådighed for medlemsstaternes undersøgelsesmyndigheder. Kort sagt er det et spørgsmål om praktisk gennemførlighe</w:t>
      </w:r>
      <w:r w:rsidRPr="00BB5D51">
        <w:t>d og gennemførlighed fra medlemsstaternes perspektiv.</w:t>
      </w:r>
    </w:p>
    <w:p w:rsidR="00135915" w:rsidRPr="00BB5D51" w:rsidRDefault="00BB5D51" w:rsidP="00BB5D51">
      <w:pPr>
        <w:spacing w:after="240"/>
      </w:pPr>
      <w:r w:rsidRPr="00BB5D51">
        <w:t xml:space="preserve">Endelig mener ordføreren, at direktivet bør være i overensstemmelse med international søret og dermed IMO-lovgivningen. Det betyder, at direktivets bestemmelser bør være tilstrækkeligt fleksible (behov </w:t>
      </w:r>
      <w:r w:rsidRPr="00BB5D51">
        <w:t>for dynamiske henvisninger til international lovgivning), således at direktivet kan tilpasses efter ændringer i IMO-lovgivningen.</w:t>
      </w:r>
    </w:p>
    <w:p w:rsidR="002669B6" w:rsidRPr="00BB5D51" w:rsidRDefault="002669B6" w:rsidP="00BB5D51">
      <w:pPr>
        <w:spacing w:after="240"/>
      </w:pPr>
      <w:bookmarkStart w:id="3" w:name="_GoBack"/>
      <w:bookmarkEnd w:id="3"/>
    </w:p>
    <w:sectPr w:rsidR="002669B6" w:rsidRPr="00BB5D51" w:rsidSect="00135915">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B5D51">
      <w:r>
        <w:separator/>
      </w:r>
    </w:p>
  </w:endnote>
  <w:endnote w:type="continuationSeparator" w:id="0">
    <w:p w:rsidR="00000000" w:rsidRDefault="00BB5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15" w:rsidRPr="00135915" w:rsidRDefault="00BB5D51" w:rsidP="00135915">
    <w:pPr>
      <w:pStyle w:val="EPFooter"/>
    </w:pPr>
    <w:r w:rsidRPr="00135915">
      <w:t>PE</w:t>
    </w:r>
    <w:r w:rsidRPr="00135915">
      <w:rPr>
        <w:rStyle w:val="HideTWBExt"/>
      </w:rPr>
      <w:t>&lt;NoPE&gt;</w:t>
    </w:r>
    <w:r w:rsidRPr="00135915">
      <w:t>753.003</w:t>
    </w:r>
    <w:r w:rsidRPr="00135915">
      <w:rPr>
        <w:rStyle w:val="HideTWBExt"/>
      </w:rPr>
      <w:t>&lt;/NoPE&gt;&lt;Version&gt;</w:t>
    </w:r>
    <w:r w:rsidRPr="00135915">
      <w:t>v01-00</w:t>
    </w:r>
    <w:r w:rsidRPr="00135915">
      <w:rPr>
        <w:rStyle w:val="HideTWBExt"/>
      </w:rPr>
      <w:t>&lt;/Version&gt;</w:t>
    </w:r>
    <w:r w:rsidRPr="00135915">
      <w:tab/>
    </w:r>
    <w:r w:rsidRPr="00135915">
      <w:fldChar w:fldCharType="begin"/>
    </w:r>
    <w:r w:rsidRPr="00135915">
      <w:instrText xml:space="preserve"> PAGE  \* MERGEFORMAT </w:instrText>
    </w:r>
    <w:r w:rsidRPr="00135915">
      <w:fldChar w:fldCharType="separate"/>
    </w:r>
    <w:r>
      <w:rPr>
        <w:noProof/>
      </w:rPr>
      <w:t>14</w:t>
    </w:r>
    <w:r w:rsidRPr="00135915">
      <w:fldChar w:fldCharType="end"/>
    </w:r>
    <w:r w:rsidRPr="00135915">
      <w:t>/</w:t>
    </w:r>
    <w:r w:rsidR="00E9559A">
      <w:fldChar w:fldCharType="begin"/>
    </w:r>
    <w:r>
      <w:instrText xml:space="preserve"> NUMPAGES  \* MERGEFORMAT </w:instrText>
    </w:r>
    <w:r w:rsidR="00E9559A">
      <w:fldChar w:fldCharType="separate"/>
    </w:r>
    <w:r>
      <w:rPr>
        <w:noProof/>
      </w:rPr>
      <w:t>17</w:t>
    </w:r>
    <w:r w:rsidR="00E9559A">
      <w:rPr>
        <w:noProof/>
      </w:rPr>
      <w:fldChar w:fldCharType="end"/>
    </w:r>
    <w:r w:rsidRPr="00135915">
      <w:tab/>
    </w:r>
    <w:r w:rsidRPr="00135915">
      <w:rPr>
        <w:rStyle w:val="HideTWBExt"/>
      </w:rPr>
      <w:t>&lt;PathFdR&gt;</w:t>
    </w:r>
    <w:r w:rsidRPr="00135915">
      <w:t>PR\1285780DA.docx</w:t>
    </w:r>
    <w:r w:rsidRPr="00135915">
      <w:rPr>
        <w:rStyle w:val="HideTWBExt"/>
      </w:rPr>
      <w:t>&lt;/PathFdR&gt;</w:t>
    </w:r>
  </w:p>
  <w:p w:rsidR="00135915" w:rsidRPr="00135915" w:rsidRDefault="00BB5D51" w:rsidP="00135915">
    <w:pPr>
      <w:pStyle w:val="EPFooter2"/>
    </w:pPr>
    <w:r w:rsidRPr="00135915">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15" w:rsidRPr="00135915" w:rsidRDefault="00BB5D51" w:rsidP="00135915">
    <w:pPr>
      <w:pStyle w:val="EPFooter"/>
    </w:pPr>
    <w:r w:rsidRPr="00135915">
      <w:rPr>
        <w:rStyle w:val="HideTWBExt"/>
      </w:rPr>
      <w:t>&lt;PathFdR&gt;</w:t>
    </w:r>
    <w:r w:rsidRPr="00135915">
      <w:t>PR\1285780DA.docx</w:t>
    </w:r>
    <w:r w:rsidRPr="00135915">
      <w:rPr>
        <w:rStyle w:val="HideTWBExt"/>
      </w:rPr>
      <w:t>&lt;/PathFdR&gt;</w:t>
    </w:r>
    <w:r w:rsidRPr="00135915">
      <w:tab/>
    </w:r>
    <w:r w:rsidRPr="00135915">
      <w:fldChar w:fldCharType="begin"/>
    </w:r>
    <w:r w:rsidRPr="00135915">
      <w:instrText xml:space="preserve"> PAGE  \* MERGEFORMAT </w:instrText>
    </w:r>
    <w:r w:rsidRPr="00135915">
      <w:fldChar w:fldCharType="separate"/>
    </w:r>
    <w:r>
      <w:rPr>
        <w:noProof/>
      </w:rPr>
      <w:t>13</w:t>
    </w:r>
    <w:r w:rsidRPr="00135915">
      <w:fldChar w:fldCharType="end"/>
    </w:r>
    <w:r w:rsidRPr="00135915">
      <w:t>/</w:t>
    </w:r>
    <w:r w:rsidR="00E9559A">
      <w:fldChar w:fldCharType="begin"/>
    </w:r>
    <w:r>
      <w:instrText xml:space="preserve"> NUMPAGES  \* MERGEFORMAT </w:instrText>
    </w:r>
    <w:r w:rsidR="00E9559A">
      <w:fldChar w:fldCharType="separate"/>
    </w:r>
    <w:r>
      <w:rPr>
        <w:noProof/>
      </w:rPr>
      <w:t>17</w:t>
    </w:r>
    <w:r w:rsidR="00E9559A">
      <w:rPr>
        <w:noProof/>
      </w:rPr>
      <w:fldChar w:fldCharType="end"/>
    </w:r>
    <w:r w:rsidRPr="00135915">
      <w:tab/>
      <w:t>PE</w:t>
    </w:r>
    <w:r w:rsidRPr="00135915">
      <w:rPr>
        <w:rStyle w:val="HideTWBExt"/>
      </w:rPr>
      <w:t>&lt;NoPE&gt;</w:t>
    </w:r>
    <w:r w:rsidRPr="00135915">
      <w:t>753.003</w:t>
    </w:r>
    <w:r w:rsidRPr="00135915">
      <w:rPr>
        <w:rStyle w:val="HideTWBExt"/>
      </w:rPr>
      <w:t>&lt;/NoPE&gt;&lt;Version&gt;</w:t>
    </w:r>
    <w:r w:rsidRPr="00135915">
      <w:t>v01-00</w:t>
    </w:r>
    <w:r w:rsidRPr="00135915">
      <w:rPr>
        <w:rStyle w:val="HideTWBExt"/>
      </w:rPr>
      <w:t>&lt;/Version&gt;</w:t>
    </w:r>
  </w:p>
  <w:p w:rsidR="00135915" w:rsidRPr="00135915" w:rsidRDefault="00BB5D51" w:rsidP="00135915">
    <w:pPr>
      <w:pStyle w:val="EPFooter2"/>
    </w:pPr>
    <w:r w:rsidRPr="00135915">
      <w:tab/>
    </w:r>
    <w:r w:rsidRPr="00135915">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15" w:rsidRPr="00135915" w:rsidRDefault="00BB5D51" w:rsidP="00135915">
    <w:pPr>
      <w:pStyle w:val="EPFooter"/>
    </w:pPr>
    <w:r w:rsidRPr="00135915">
      <w:rPr>
        <w:rStyle w:val="HideTWBExt"/>
      </w:rPr>
      <w:t>&lt;PathFdR&gt;</w:t>
    </w:r>
    <w:r w:rsidRPr="00135915">
      <w:t>PR\1285780DA.docx</w:t>
    </w:r>
    <w:r w:rsidRPr="00135915">
      <w:rPr>
        <w:rStyle w:val="HideTWBExt"/>
      </w:rPr>
      <w:t>&lt;/PathFdR&gt;</w:t>
    </w:r>
    <w:r w:rsidRPr="00135915">
      <w:tab/>
    </w:r>
    <w:r w:rsidRPr="00135915">
      <w:tab/>
      <w:t>PE</w:t>
    </w:r>
    <w:r w:rsidRPr="00135915">
      <w:rPr>
        <w:rStyle w:val="HideTWBExt"/>
      </w:rPr>
      <w:t>&lt;NoPE&gt;</w:t>
    </w:r>
    <w:r w:rsidRPr="00135915">
      <w:t>753.003</w:t>
    </w:r>
    <w:r w:rsidRPr="00135915">
      <w:rPr>
        <w:rStyle w:val="HideTWBExt"/>
      </w:rPr>
      <w:t>&lt;/NoPE&gt;&lt;Version&gt;</w:t>
    </w:r>
    <w:r w:rsidRPr="00135915">
      <w:t>v01-00</w:t>
    </w:r>
    <w:r w:rsidRPr="00135915">
      <w:rPr>
        <w:rStyle w:val="HideTWBExt"/>
      </w:rPr>
      <w:t>&lt;/Version&gt;</w:t>
    </w:r>
  </w:p>
  <w:p w:rsidR="00135915" w:rsidRPr="00135915" w:rsidRDefault="00BB5D51" w:rsidP="00135915">
    <w:pPr>
      <w:pStyle w:val="EPFooter2"/>
    </w:pPr>
    <w:r w:rsidRPr="00135915">
      <w:t>DA</w:t>
    </w:r>
    <w:r w:rsidRPr="00135915">
      <w:tab/>
    </w:r>
    <w:r w:rsidRPr="00135915">
      <w:rPr>
        <w:b w:val="0"/>
        <w:i/>
        <w:color w:val="C0C0C0"/>
        <w:sz w:val="22"/>
      </w:rPr>
      <w:t>Forenet i mangfoldighed</w:t>
    </w:r>
    <w:r w:rsidRPr="00135915">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135915" w:rsidRDefault="00BB5D51" w:rsidP="00135915">
    <w:pPr>
      <w:pStyle w:val="EPFooter"/>
    </w:pPr>
    <w:r w:rsidRPr="00135915">
      <w:rPr>
        <w:rStyle w:val="HideTWBExt"/>
      </w:rPr>
      <w:t>&lt;PathFdR&gt;</w:t>
    </w:r>
    <w:r w:rsidR="00135915" w:rsidRPr="00135915">
      <w:rPr>
        <w:color w:val="auto"/>
      </w:rPr>
      <w:t>PR\1285780DA.docx</w:t>
    </w:r>
    <w:r w:rsidRPr="00135915">
      <w:rPr>
        <w:rStyle w:val="HideTWBExt"/>
      </w:rPr>
      <w:t>&lt;/PathFdR&gt;</w:t>
    </w:r>
    <w:r w:rsidRPr="00135915">
      <w:tab/>
    </w:r>
    <w:r w:rsidRPr="00135915">
      <w:tab/>
      <w:t>PE</w:t>
    </w:r>
    <w:r w:rsidRPr="00135915">
      <w:rPr>
        <w:rStyle w:val="HideTWBExt"/>
      </w:rPr>
      <w:t>&lt;NoPE&gt;</w:t>
    </w:r>
    <w:r w:rsidR="00135915" w:rsidRPr="00135915">
      <w:rPr>
        <w:color w:val="auto"/>
      </w:rPr>
      <w:t>753.003</w:t>
    </w:r>
    <w:r w:rsidRPr="00135915">
      <w:rPr>
        <w:rStyle w:val="HideTWBExt"/>
      </w:rPr>
      <w:t>&lt;/NoPE&gt;&lt;Version&gt;</w:t>
    </w:r>
    <w:r w:rsidR="006E3B17" w:rsidRPr="00135915">
      <w:t>v</w:t>
    </w:r>
    <w:r w:rsidR="00135915" w:rsidRPr="00135915">
      <w:rPr>
        <w:color w:val="auto"/>
      </w:rPr>
      <w:t>01-00</w:t>
    </w:r>
    <w:r w:rsidRPr="00135915">
      <w:rPr>
        <w:rStyle w:val="HideTWBExt"/>
      </w:rPr>
      <w:t>&lt;/Version&gt;</w:t>
    </w:r>
  </w:p>
  <w:p w:rsidR="00FB52FE" w:rsidRPr="00135915" w:rsidRDefault="00BB5D51" w:rsidP="00135915">
    <w:pPr>
      <w:pStyle w:val="EPFooter2"/>
      <w:tabs>
        <w:tab w:val="clear" w:pos="4535"/>
        <w:tab w:val="center" w:pos="4536"/>
      </w:tabs>
    </w:pPr>
    <w:r w:rsidRPr="00135915">
      <w:fldChar w:fldCharType="begin"/>
    </w:r>
    <w:r w:rsidRPr="00135915">
      <w:instrText xml:space="preserve"> DOCPROPERTY "&lt;Extension&gt;" </w:instrText>
    </w:r>
    <w:r w:rsidRPr="00135915">
      <w:fldChar w:fldCharType="separate"/>
    </w:r>
    <w:r>
      <w:t>DA</w:t>
    </w:r>
    <w:r w:rsidRPr="00135915">
      <w:fldChar w:fldCharType="end"/>
    </w:r>
    <w:r w:rsidRPr="00135915">
      <w:tab/>
    </w:r>
    <w:r w:rsidR="00135915" w:rsidRPr="00135915">
      <w:rPr>
        <w:b w:val="0"/>
        <w:i/>
        <w:color w:val="C0C0C0"/>
        <w:sz w:val="22"/>
        <w:szCs w:val="22"/>
      </w:rPr>
      <w:t>Forenet i mangfoldighed</w:t>
    </w:r>
    <w:r w:rsidRPr="00135915">
      <w:tab/>
    </w:r>
    <w:r w:rsidRPr="00135915">
      <w:fldChar w:fldCharType="begin"/>
    </w:r>
    <w:r w:rsidRPr="00135915">
      <w:instrText xml:space="preserve"> DOCPROPERTY "&lt;Extension&gt;" </w:instrText>
    </w:r>
    <w:r w:rsidRPr="00135915">
      <w:fldChar w:fldCharType="separate"/>
    </w:r>
    <w:r>
      <w:t>DA</w:t>
    </w:r>
    <w:r w:rsidRPr="001359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B17" w:rsidRPr="00135915" w:rsidRDefault="00BB5D51">
      <w:r w:rsidRPr="00135915">
        <w:separator/>
      </w:r>
    </w:p>
  </w:footnote>
  <w:footnote w:type="continuationSeparator" w:id="0">
    <w:p w:rsidR="006E3B17" w:rsidRPr="00135915" w:rsidRDefault="00BB5D51">
      <w:r w:rsidRPr="00135915">
        <w:continuationSeparator/>
      </w:r>
    </w:p>
  </w:footnote>
  <w:footnote w:id="1">
    <w:p w:rsidR="00BB5D51" w:rsidRPr="00135915" w:rsidRDefault="00BB5D51" w:rsidP="00BB5D51">
      <w:pPr>
        <w:pStyle w:val="FootnoteText"/>
      </w:pPr>
      <w:r>
        <w:rPr>
          <w:rStyle w:val="FootnoteReference"/>
        </w:rPr>
        <w:footnoteRef/>
      </w:r>
      <w:r>
        <w:t xml:space="preserve"> EUT C ... / Endnu ikke offentliggjort i EUT.</w:t>
      </w:r>
    </w:p>
  </w:footnote>
  <w:footnote w:id="2">
    <w:p w:rsidR="00BB5D51" w:rsidRPr="00135915" w:rsidRDefault="00BB5D51" w:rsidP="00BB5D51">
      <w:pPr>
        <w:pStyle w:val="FootnoteText"/>
      </w:pPr>
      <w:r>
        <w:rPr>
          <w:rStyle w:val="FootnoteReference"/>
        </w:rPr>
        <w:footnoteRef/>
      </w:r>
      <w:r>
        <w:t xml:space="preserve"> EUT C ... / Endnu ikke offentliggjort i EUT.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59A" w:rsidRDefault="00E955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59A" w:rsidRDefault="00E955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59A" w:rsidRDefault="00E955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15" w:rsidRDefault="001359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15" w:rsidRDefault="001359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15" w:rsidRDefault="00135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TRAN"/>
    <w:docVar w:name="EPSTATMNU" w:val=" 5"/>
    <w:docVar w:name="INSTITUTIONSMNU" w:val=" 1"/>
    <w:docVar w:name="JURI1MNU" w:val=" 2"/>
    <w:docVar w:name="JURI2MNU" w:val=" 2"/>
    <w:docVar w:name="LastEditedSection" w:val=" 1"/>
    <w:docVar w:name="OTHERSTATMNU" w:val=" 4"/>
    <w:docVar w:name="PARLIAMENTSMNU" w:val=" 2"/>
    <w:docVar w:name="RepeatBlock-AmendDA" w:val="{\rtf1\adeflang1025\ansi\ansicpg1252\uc1\adeff0\deff0\stshfdbch0\stshfloch0\stshfhich0\stshfbi0\deflang1030\deflangfe1030\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5\fbidi \froman\fcharset238\fprq2 Times New Roman CE;}{\f296\fbidi \froman\fcharset204\fprq2 Times New Roman Cyr;}_x000d__x000a_{\f298\fbidi \froman\fcharset161\fprq2 Times New Roman Greek;}{\f299\fbidi \froman\fcharset162\fprq2 Times New Roman Tur;}{\f300\fbidi \froman\fcharset177\fprq2 Times New Roman (Hebrew);}{\f301\fbidi \froman\fcharset178\fprq2 Times New Roman (Arabic);}_x000d__x000a_{\f302\fbidi \froman\fcharset186\fprq2 Times New Roman Baltic;}{\f303\fbidi \froman\fcharset163\fprq2 Times New Roman (Vietnamese);}{\f305\fbidi \fswiss\fcharset238\fprq2 Arial CE;}{\f306\fbidi \fswiss\fcharset204\fprq2 Arial Cyr;}_x000d__x000a_{\f308\fbidi \fswiss\fcharset161\fprq2 Arial Greek;}{\f309\fbidi \fswiss\fcharset162\fprq2 Arial Tur;}{\f310\fbidi \fswiss\fcharset177\fprq2 Arial (Hebrew);}{\f311\fbidi \fswiss\fcharset178\fprq2 Arial (Arabic);}_x000d__x000a_{\f312\fbidi \fswiss\fcharset186\fprq2 Arial Baltic;}{\f313\fbidi \fswiss\fcharset163\fprq2 Arial (Vietnamese);}{\f635\fbidi \froman\fcharset238\fprq2 Cambria Math CE;}{\f636\fbidi \froman\fcharset204\fprq2 Cambria Math Cyr;}_x000d__x000a_{\f638\fbidi \froman\fcharset161\fprq2 Cambria Math Greek;}{\f639\fbidi \froman\fcharset162\fprq2 Cambria Math Tur;}{\f642\fbidi \froman\fcharset186\fprq2 Cambria Math Baltic;}{\f64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9255 HideTWBExt;}{\*\cs18 \additive \v\f1\fs20\cf15 _x000d__x000a_\spriority0 \styrsid1669255 HideTWBInt;}{\s19\ql \li0\ri0\sa120\nowidctlpar\wrapdefault\aspalpha\aspnum\faauto\adjustright\rin0\lin0\itap0 \rtlch\fcs1 \af0\afs20\alang1025 \ltrch\fcs0 \fs24\lang1030\langfe2057\cgrid\langnp1030\langfenp2057 _x000d__x000a_\sbasedon0 \snext19 \spriority0 \styrsid1669255 Normal6a;}{\s20\ql \li0\ri0\nowidctlpar\wrapdefault\aspalpha\aspnum\faauto\adjustright\rin0\lin0\itap0 \rtlch\fcs1 \af0\afs20\alang1025 \ltrch\fcs0 \b\fs24\lang1030\langfe2057\cgrid\langnp1030\langfenp2057 _x000d__x000a_\sbasedon0 \snext20 \spriority0 \styrsid1669255 NormalBold;}{\s21\ql \li0\ri0\sa240\nowidctlpar\wrapdefault\aspalpha\aspnum\faauto\adjustright\rin0\lin0\itap0 \rtlch\fcs1 \af0\afs20\alang1025 \ltrch\fcs0 _x000d__x000a_\i\fs24\lang1030\langfe2057\cgrid\langnp1030\langfenp2057 \sbasedon0 \snext21 \spriority0 \styrsid1669255 AmJustText;}{\s22\qc \li0\ri0\sb240\sa240\nowidctlpar\wrapdefault\aspalpha\aspnum\faauto\adjustright\rin0\lin0\itap0 \rtlch\fcs1 _x000d__x000a_\af0\afs20\alang1025 \ltrch\fcs0 \i\fs24\lang1030\langfe2057\cgrid\langnp1030\langfenp2057 \sbasedon0 \snext22 \spriority0 \styrsid1669255 AmCrossRef;}{_x000d__x000a_\s23\qc \li0\ri0\sb240\sa240\keepn\nowidctlpar\wrapdefault\aspalpha\aspnum\faauto\adjustright\rin0\lin0\itap0 \rtlch\fcs1 \af0\afs20\alang1025 \ltrch\fcs0 \i\fs24\lang1030\langfe2057\cgrid\langnp1030\langfenp2057 _x000d__x000a_\sbasedon0 \snext21 \spriority0 \styrsid1669255 AmJustTitle;}{\s24\qr \li0\ri0\sb240\sa240\nowidctlpar\wrapdefault\aspalpha\aspnum\faauto\adjustright\rin0\lin0\itap0 \rtlch\fcs1 \af0\afs20\alang1025 \ltrch\fcs0 _x000d__x000a_\fs24\lang1030\langfe2057\cgrid\langnp1030\langfenp2057 \sbasedon0 \snext24 \spriority0 \styrsid1669255 AmOrLang;}{\s25\qc \li0\ri0\sa240\nowidctlpar\wrapdefault\aspalpha\aspnum\faauto\adjustright\rin0\lin0\itap0 \rtlch\fcs1 \af0\afs20\alang1025 _x000d__x000a_\ltrch\fcs0 \i\fs24\lang1030\langfe2057\cgrid\langnp1030\langfenp2057 \sbasedon0 \snext25 \spriority0 \styrsid16692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1669255 AmNumberTabs;}{\s27\ql \li0\ri0\sb240\nowidctlpar\wrapdefault\aspalpha\aspnum\faauto\adjustright\rin0\lin0\itap0 \rtlch\fcs1 _x000d__x000a_\af0\afs20\alang1025 \ltrch\fcs0 \b\fs24\lang1030\langfe2057\cgrid\langnp1030\langfenp2057 \sbasedon0 \snext27 \spriority0 \styrsid1669255 NormalBold12b;}}{\*\rsidtbl \rsid24658\rsid223860\rsid735077\rsid1669255\rsid1718133\rsid2892074\rsid3565327_x000d__x000a_\rsid4666813\rsid6641733\rsid7823322\rsid9636012\rsid9910275\rsid10377208\rsid11215221\rsid11549030\rsid12154954\rsid14382809\rsid14424199\rsid15204470\rsid15285974\rsid15950462\rsid16324206\rsid16662270}{\mmathPr\mmathFont34\mbrkBin0\mbrkBinSub0_x000d__x000a_\msmallFrac0\mdispDef1\mlMargin0\mrMargin0\mdefJc1\mwrapIndent1440\mintLim0\mnaryLim1}{\info{\author JOHANNSEN Lena}{\operator JOHANNSEN Lena}{\creatim\yr2023\mo9\dy25\hr10\min45}{\revtim\yr2023\mo9\dy25\hr10\min45}{\version1}{\edmins0}{\nofpages1}_x000d__x000a_{\nofwords99}{\nofchars608}{\nofcharsws706}{\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9255\newtblstyruls\nogrowautofit\usenormstyforlist\noindnmbrts\felnbrelev\nocxsptable\indrlsweleven\noafcnsttbl\afelev\utinl\hwelev\spltpgpar\notcvasp\notbrkcnstfrctbl\notvatxbx\krnprsnet\cachedcolbal _x000d__x000a_\nouicompat \fet0{\*\wgrffmtfilter 013f}\nofeaturethrottle1\ilfomacatclnup0{\*\template C:\\Users\\LJOHAN~1\\AppData\\Local\\Temp\\Blank1.dotx}{\*\ftnsep \ltrpar \pard\plain \ltrpar_x000d__x000a_\ql \li0\ri0\widctlpar\wrapdefault\aspalpha\aspnum\faauto\adjustright\rin0\lin0\itap0 \rtlch\fcs1 \af0\afs20\alang1025 \ltrch\fcs0 \fs24\lang2057\langfe2057\cgrid\langnp2057\langfenp2057 {\rtlch\fcs1 \af0 \ltrch\fcs0 \insrsid9910275 \chftnsep _x000d__x000a_\par }}{\*\ftnsepc \ltrpar \pard\plain \ltrpar\ql \li0\ri0\widctlpar\wrapdefault\aspalpha\aspnum\faauto\adjustright\rin0\lin0\itap0 \rtlch\fcs1 \af0\afs20\alang1025 \ltrch\fcs0 \fs24\lang2057\langfe2057\cgrid\langnp2057\langfenp2057 {\rtlch\fcs1 \af0 _x000d__x000a_\ltrch\fcs0 \insrsid9910275 \chftnsepc _x000d__x000a_\par }}{\*\aftnsep \ltrpar \pard\plain \ltrpar\ql \li0\ri0\widctlpar\wrapdefault\aspalpha\aspnum\faauto\adjustright\rin0\lin0\itap0 \rtlch\fcs1 \af0\afs20\alang1025 \ltrch\fcs0 \fs24\lang2057\langfe2057\cgrid\langnp2057\langfenp2057 {\rtlch\fcs1 \af0 _x000d__x000a_\ltrch\fcs0 \insrsid9910275 \chftnsep _x000d__x000a_\par }}{\*\aftnsepc \ltrpar \pard\plain \ltrpar\ql \li0\ri0\widctlpar\wrapdefault\aspalpha\aspnum\faauto\adjustright\rin0\lin0\itap0 \rtlch\fcs1 \af0\afs20\alang1025 \ltrch\fcs0 \fs24\lang2057\langfe2057\cgrid\langnp2057\langfenp2057 {\rtlch\fcs1 \af0 _x000d__x000a_\ltrch\fcs0 \insrsid99102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69255 \rtlch\fcs1 _x000d__x000a_\af0\afs20\alang1025 \ltrch\fcs0 \b\fs24\lang1030\langfe2057\cgrid\langnp1030\langfenp2057 {\rtlch\fcs1 \af0 \ltrch\fcs0 \cs17\b0\v\fs20\cf9\lang1024\langfe1024\loch\af1\hich\af1\dbch\af31501\noproof\insrsid1669255\charrsid3148130 {\*\bkmkstart restart}_x000d__x000a_\hich\af1\dbch\af31501\loch\f1 &lt;Amend&gt;}{\rtlch\fcs1 \af0 \ltrch\fcs0 \insrsid1669255\charrsid3148130 \'c6ndringsforslag\tab \tab }{\rtlch\fcs1 \af0 \ltrch\fcs0 _x000d__x000a_\cs17\b0\v\fs20\cf9\lang1024\langfe1024\loch\af1\hich\af1\dbch\af31501\noproof\insrsid1669255\charrsid3148130 \hich\af1\dbch\af31501\loch\f1 &lt;NumAm&gt;}{\rtlch\fcs1 \af0 \ltrch\fcs0 \insrsid1669255\charrsid3148130 #}{\rtlch\fcs1 \af1 \ltrch\fcs0 _x000d__x000a_\cs18\v\f1\fs20\cf15\insrsid1669255\charrsid3148130 ENMIENDA@NRAM@}{\rtlch\fcs1 \af0 \ltrch\fcs0 \insrsid1669255\charrsid3148130 #}{\rtlch\fcs1 \af0 \ltrch\fcs0 _x000d__x000a_\cs17\b0\v\fs20\cf9\lang1024\langfe1024\loch\af1\hich\af1\dbch\af31501\noproof\insrsid1669255\charrsid3148130 \hich\af1\dbch\af31501\loch\f1 &lt;/NumAm&gt;}{\rtlch\fcs1 \af0 \ltrch\fcs0 \insrsid1669255\charrsid3148130 _x000d__x000a_\par }\pard\plain \ltrpar\s27\ql \li0\ri0\sb240\keepn\nowidctlpar\wrapdefault\aspalpha\aspnum\faauto\adjustright\rin0\lin0\itap0\pararsid1669255 \rtlch\fcs1 \af0\afs20\alang1025 \ltrch\fcs0 \b\fs24\lang1030\langfe2057\cgrid\langnp1030\langfenp2057 {_x000d__x000a_\rtlch\fcs1 \af0 \ltrch\fcs0 \cs17\b0\v\fs20\cf9\lang1024\langfe1024\loch\af1\hich\af1\dbch\af31501\noproof\insrsid1669255\charrsid3148130 \hich\af1\dbch\af31501\loch\f1 &lt;DocAmend&gt;}{\rtlch\fcs1 \af0 \ltrch\fcs0 \insrsid1669255\charrsid3148130 Forslag til _x000d__x000a_#}{\rtlch\fcs1 \af1 \ltrch\fcs0 \cs18\v\f1\fs20\cf15\insrsid1669255\charrsid3148130 MNU[DOC1][DOC2][DOC3]@DOCMSG@DOCMNU}{\rtlch\fcs1 \af0 \ltrch\fcs0 \insrsid1669255\charrsid3148130 ##}{\rtlch\fcs1 \af1 \ltrch\fcs0 _x000d__x000a_\cs18\v\f1\fs20\cf15\insrsid1669255\charrsid3148130 MNU[AMACTYES][NOTAPP]@CHOICE@AMACTMNU}{\rtlch\fcs1 \af0 \ltrch\fcs0 \insrsid1669255\charrsid3148130 #}{\rtlch\fcs1 \af0 \ltrch\fcs0 _x000d__x000a_\cs17\b0\v\fs20\cf9\lang1024\langfe1024\loch\af1\hich\af1\dbch\af31501\noproof\insrsid1669255\charrsid3148130 \hich\af1\dbch\af31501\loch\f1 &lt;/DocAmend&gt;}{\rtlch\fcs1 \af0 \ltrch\fcs0 \insrsid1669255\charrsid3148130 _x000d__x000a_\par }\pard\plain \ltrpar\s20\ql \li0\ri0\keepn\nowidctlpar\wrapdefault\aspalpha\aspnum\faauto\adjustright\rin0\lin0\itap0\pararsid1669255 \rtlch\fcs1 \af0\afs20\alang1025 \ltrch\fcs0 \b\fs24\lang1030\langfe2057\cgrid\langnp1030\langfenp2057 {\rtlch\fcs1 \af0 _x000d__x000a_\ltrch\fcs0 \cs17\b0\v\fs20\cf9\lang1024\langfe1024\loch\af1\hich\af1\dbch\af31501\noproof\insrsid1669255\charrsid3148130 \hich\af1\dbch\af31501\loch\f1 &lt;Article&gt;}{\rtlch\fcs1 \af0 \ltrch\fcs0 \insrsid1669255\charrsid3148130 #}{\rtlch\fcs1 \af1 _x000d__x000a_\ltrch\fcs0 \cs18\v\f1\fs20\cf15\insrsid1669255\charrsid3148130 MNU[AMACTPARTYES][AMACTPARTNO]@CHOICE@AMACTMNU}{\rtlch\fcs1 \af0 \ltrch\fcs0 \insrsid1669255\charrsid3148130 #}{\rtlch\fcs1 \af0 \ltrch\fcs0 _x000d__x000a_\cs17\b0\v\fs20\cf9\lang1024\langfe1024\loch\af1\hich\af1\dbch\af31501\noproof\insrsid1669255\charrsid3148130 \hich\af1\dbch\af31501\loch\f1 &lt;/Article&gt;}{\rtlch\fcs1 \af0 \ltrch\fcs0 \insrsid1669255\charrsid3148130 _x000d__x000a_\par }\pard\plain \ltrpar\ql \li0\ri0\keepn\widctlpar\wrapdefault\aspalpha\aspnum\faauto\adjustright\rin0\lin0\itap0\pararsid1669255 \rtlch\fcs1 \af0\afs20\alang1025 \ltrch\fcs0 \fs24\lang2057\langfe2057\cgrid\langnp2057\langfenp2057 {\rtlch\fcs1 \af0 _x000d__x000a_\ltrch\fcs0 \cs17\v\fs20\cf9\lang1024\langfe1024\loch\af1\hich\af1\dbch\af31501\noproof\langnp1030\insrsid1669255\charrsid3148130 \hich\af1\dbch\af31501\loch\f1 &lt;DocAmend2&gt;&lt;OptDel&gt;}{\rtlch\fcs1 \af0 \ltrch\fcs0 _x000d__x000a_\lang1030\langfe2057\langnp1030\insrsid1669255\charrsid3148130 #}{\rtlch\fcs1 \af1 \ltrch\fcs0 \cs18\v\f1\fs20\cf15\lang1030\langfe2057\langnp1030\insrsid1669255\charrsid3148130 MNU[OPTNRACTYES][NOTAPP]@CHOICE@AMACTMNU}{\rtlch\fcs1 \af0 \ltrch\fcs0 _x000d__x000a_\lang1030\langfe2057\langnp1030\insrsid1669255\charrsid3148130 #}{\rtlch\fcs1 \af0 \ltrch\fcs0 \cs17\v\fs20\cf9\lang1024\langfe1024\loch\af1\hich\af1\dbch\af31501\noproof\langnp1030\insrsid1669255\charrsid3148130 \hich\af1\dbch\af31501\loch\f1 _x000d__x000a_&lt;/OptDel&gt;&lt;/DocAmend2&gt;}{\rtlch\fcs1 \af0 \ltrch\fcs0 \lang1030\langfe2057\langnp1030\insrsid1669255\charrsid3148130 _x000d__x000a_\par }\pard \ltrpar\ql \li0\ri0\widctlpar\wrapdefault\aspalpha\aspnum\faauto\adjustright\rin0\lin0\itap0\pararsid1669255 {\rtlch\fcs1 \af0 \ltrch\fcs0 _x000d__x000a_\cs17\v\fs20\cf9\lang1024\langfe1024\loch\af1\hich\af1\dbch\af31501\noproof\langnp1030\insrsid1669255\charrsid3148130 \hich\af1\dbch\af31501\loch\f1 &lt;Article2&gt;&lt;OptDel&gt;}{\rtlch\fcs1 \af0 \ltrch\fcs0 _x000d__x000a_\lang1030\langfe2057\langnp1030\insrsid1669255\charrsid3148130 #}{\rtlch\fcs1 \af1 \ltrch\fcs0 \cs18\v\f1\fs20\cf15\lang1030\langfe2057\langnp1030\insrsid1669255\charrsid3148130 MNU[OPTACTPARTYES][NOTAPP]@CHOICE@AMACTMNU}{\rtlch\fcs1 \af0 \ltrch\fcs0 _x000d__x000a_\lang1030\langfe2057\langnp1030\insrsid1669255\charrsid3148130 #}{\rtlch\fcs1 \af0 \ltrch\fcs0 \cs17\v\fs20\cf9\lang1024\langfe1024\loch\af1\hich\af1\dbch\af31501\noproof\langnp1030\insrsid1669255\charrsid3148130 \hich\af1\dbch\af31501\loch\f1 _x000d__x000a_&lt;/OptDel&gt;&lt;/Article2&gt;}{\rtlch\fcs1 \af0 \ltrch\fcs0 \lang1030\langfe2057\langnp1030\insrsid1669255\charrsid314813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30\langfe2057\langnp1030\insrsid1669255\charrsid3148130 \cell }\pard\plain \ltrpar_x000d__x000a_\ql \li0\ri0\widctlpar\intbl\wrapdefault\aspalpha\aspnum\faauto\adjustright\rin0\lin0 \rtlch\fcs1 \af0\afs20\alang1025 \ltrch\fcs0 \fs24\lang2057\langfe2057\cgrid\langnp2057\langfenp2057 {\rtlch\fcs1 \af0 \ltrch\fcs0 _x000d__x000a_\lang1030\langfe2057\langnp1030\insrsid1669255\charrsid314813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30\langfe2057\cgrid\langnp1030\langfenp2057 {\rtlch\fcs1 \af0 \ltrch\fcs0 _x000d__x000a_\insrsid1669255\charrsid3148130 #}{\rtlch\fcs1 \af1 \ltrch\fcs0 \cs18\v\f1\fs20\cf15\insrsid1669255\charrsid3148130 MNU[OPTLEFTAMACT][LEFTPROP]@CHOICE@AMACTMNU}{\rtlch\fcs1 \af0 \ltrch\fcs0 \insrsid1669255\charrsid3148130 #\cell \'c6ndringsforslag\cell _x000d__x000a_}\pard\plain \ltrpar\ql \li0\ri0\widctlpar\intbl\wrapdefault\aspalpha\aspnum\faauto\adjustright\rin0\lin0 \rtlch\fcs1 \af0\afs20\alang1025 \ltrch\fcs0 \fs24\lang2057\langfe2057\cgrid\langnp2057\langfenp2057 {\rtlch\fcs1 \af0 \ltrch\fcs0 _x000d__x000a_\lang1030\langfe2057\langnp1030\insrsid1669255\charrsid3148130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30\langfe2057\cgrid\langnp1030\langfenp2057 {\rtlch\fcs1 \af0 \ltrch\fcs0 _x000d__x000a_\insrsid1669255\charrsid3148130 ##\cell ##}{\rtlch\fcs1 \af0\afs24 \ltrch\fcs0 \insrsid1669255\charrsid3148130 \cell }\pard\plain \ltrpar\ql \li0\ri0\widctlpar\intbl\wrapdefault\aspalpha\aspnum\faauto\adjustright\rin0\lin0 \rtlch\fcs1 _x000d__x000a_\af0\afs20\alang1025 \ltrch\fcs0 \fs24\lang2057\langfe2057\cgrid\langnp2057\langfenp2057 {\rtlch\fcs1 \af0 \ltrch\fcs0 \lang1030\langfe2057\langnp1030\insrsid1669255\charrsid314813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69255 \rtlch\fcs1 \af0\afs20\alang1025 \ltrch\fcs0 \fs24\lang1030\langfe2057\cgrid\langnp1030\langfenp2057 {\rtlch\fcs1 \af0 \ltrch\fcs0 _x000d__x000a_\insrsid1669255\charrsid3148130 Or. }{\rtlch\fcs1 \af0 \ltrch\fcs0 \cs17\v\fs20\cf9\lang1024\langfe1024\loch\af1\hich\af1\dbch\af31501\noproof\insrsid1669255\charrsid3148130 \hich\af1\dbch\af31501\loch\f1 &lt;Original&gt;}{\rtlch\fcs1 \af0 \ltrch\fcs0 _x000d__x000a_\insrsid1669255\charrsid3148130 #}{\rtlch\fcs1 \af1 \ltrch\fcs0 \cs18\v\f1\fs20\cf15\insrsid1669255\charrsid3148130 MNU[ORLANGONE][ORLANGMORE]@CHOICE@ORLANGMNU}{\rtlch\fcs1 \af0 \ltrch\fcs0 \insrsid1669255\charrsid3148130 #}{\rtlch\fcs1 \af0 \ltrch\fcs0 _x000d__x000a_\cs17\v\fs20\cf9\lang1024\langfe1024\loch\af1\hich\af1\dbch\af31501\noproof\insrsid1669255\charrsid3148130 \hich\af1\dbch\af31501\loch\f1 &lt;/Original&gt;}{\rtlch\fcs1 \af0 \ltrch\fcs0 \insrsid1669255\charrsid3148130 _x000d__x000a_\par }\pard\plain \ltrpar\s22\qc \li0\ri0\sb240\sa240\nowidctlpar\wrapdefault\aspalpha\aspnum\faauto\adjustright\rin0\lin0\itap0\pararsid1669255 \rtlch\fcs1 \af0\afs20\alang1025 \ltrch\fcs0 \i\fs24\lang1030\langfe2057\cgrid\langnp1030\langfenp2057 {_x000d__x000a_\rtlch\fcs1 \af0 \ltrch\fcs0 \cs17\i0\v\fs20\cf9\lang1024\langfe1024\loch\af1\hich\af1\dbch\af31501\noproof\insrsid1669255\charrsid3148130 \hich\af1\dbch\af31501\loch\f1 &lt;OptDel&gt;}{\rtlch\fcs1 \af0 \ltrch\fcs0 \insrsid1669255\charrsid3148130 #}{_x000d__x000a_\rtlch\fcs1 \af1 \ltrch\fcs0 \cs18\v\f1\fs20\cf15\insrsid1669255\charrsid3148130 MNU[CROSSREFNO][CROSSREFYES]@CHOICE@}{\rtlch\fcs1 \af0 \ltrch\fcs0 \insrsid1669255\charrsid3148130 #}{\rtlch\fcs1 \af0 \ltrch\fcs0 _x000d__x000a_\cs17\i0\v\fs20\cf9\lang1024\langfe1024\loch\af1\hich\af1\dbch\af31501\noproof\insrsid1669255\charrsid3148130 \hich\af1\dbch\af31501\loch\f1 &lt;/OptDel&gt;}{\rtlch\fcs1 \af0 \ltrch\fcs0 \insrsid1669255\charrsid3148130 _x000d__x000a_\par }\pard\plain \ltrpar\s23\qc \li0\ri0\sb240\sa240\keepn\nowidctlpar\wrapdefault\aspalpha\aspnum\faauto\adjustright\rin0\lin0\itap0\pararsid1669255 \rtlch\fcs1 \af0\afs20\alang1025 \ltrch\fcs0 \i\fs24\lang1030\langfe2057\cgrid\langnp1030\langfenp2057 {_x000d__x000a_\rtlch\fcs1 \af0 \ltrch\fcs0 \cs17\i0\v\fs20\cf9\lang1024\langfe1024\loch\af1\hich\af1\dbch\af31501\noproof\insrsid1669255\charrsid3148130 \hich\af1\dbch\af31501\loch\f1 &lt;TitreJust&gt;}{\rtlch\fcs1 \af0 \ltrch\fcs0 \insrsid1669255\charrsid3148130 Begrundelse_x000d__x000a_}{\rtlch\fcs1 \af0 \ltrch\fcs0 \cs17\i0\v\fs20\cf9\lang1024\langfe1024\loch\af1\hich\af1\dbch\af31501\noproof\insrsid1669255\charrsid3148130 \hich\af1\dbch\af31501\loch\f1 &lt;/TitreJust&gt;}{\rtlch\fcs1 \af0 \ltrch\fcs0 \insrsid1669255\charrsid3148130 _x000d__x000a_\par }\pard\plain \ltrpar\s21\ql \li0\ri0\sa240\nowidctlpar\wrapdefault\aspalpha\aspnum\faauto\adjustright\rin0\lin0\itap0\pararsid1669255 \rtlch\fcs1 \af0\afs20\alang1025 \ltrch\fcs0 \i\fs24\lang1030\langfe2057\cgrid\langnp1030\langfenp2057 {\rtlch\fcs1 \af0 _x000d__x000a_\ltrch\fcs0 \cs17\i0\v\fs20\cf9\lang1024\langfe1024\loch\af1\hich\af1\dbch\af31501\noproof\insrsid1669255\charrsid3148130 \hich\af1\dbch\af31501\loch\f1 &lt;OptDelPrev&gt;}{\rtlch\fcs1 \af0 \ltrch\fcs0 \insrsid1669255\charrsid3148130 #}{\rtlch\fcs1 \af1 _x000d__x000a_\ltrch\fcs0 \cs18\v\f1\fs20\cf15\insrsid1669255\charrsid3148130 MNU[TEXTJUSTYES][TEXTJUSTNO]@CHOICE@}{\rtlch\fcs1 \af0 \ltrch\fcs0 \insrsid1669255\charrsid3148130 #}{\rtlch\fcs1 \af0 \ltrch\fcs0 _x000d__x000a_\cs17\i0\v\fs20\cf9\lang1024\langfe1024\loch\af1\hich\af1\dbch\af31501\noproof\insrsid1669255\charrsid3148130 \hich\af1\dbch\af31501\loch\f1 &lt;/OptDelPrev&gt;}{\rtlch\fcs1 \af0 \ltrch\fcs0 \insrsid1669255\charrsid3148130 _x000d__x000a_\par }\pard\plain \ltrpar\ql \li0\ri0\widctlpar\wrapdefault\aspalpha\aspnum\faauto\adjustright\rin0\lin0\itap0\pararsid1669255 \rtlch\fcs1 \af0\afs20\alang1025 \ltrch\fcs0 \fs24\lang2057\langfe2057\cgrid\langnp2057\langfenp2057 {\rtlch\fcs1 \af0 \ltrch\fcs0 _x000d__x000a_\cs17\v\fs20\cf9\lang1024\langfe1024\loch\af1\hich\af1\dbch\af31501\noproof\langnp1030\insrsid1669255\charrsid31481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5_x000d__x000a_d59e8cef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XTAUTHOR" w:val="Caroline Nagtegaal"/>
    <w:docVar w:name="TXTLANGUE" w:val="DA"/>
    <w:docVar w:name="TXTLANGUEMIN" w:val="da"/>
    <w:docVar w:name="TXTNRC" w:val="0189/2023"/>
    <w:docVar w:name="TXTNRCOD" w:val="2023/0164"/>
    <w:docVar w:name="TXTNRCOM" w:val="(2023)0270"/>
    <w:docVar w:name="TXTNRPE" w:val="753.003"/>
    <w:docVar w:name="TXTPEorAP" w:val="PE"/>
    <w:docVar w:name="TXTROUTE" w:val="PR\1285780DA.docx"/>
    <w:docVar w:name="TXTVERSION" w:val="01-00"/>
  </w:docVars>
  <w:rsids>
    <w:rsidRoot w:val="006E3B17"/>
    <w:rsid w:val="00011AAB"/>
    <w:rsid w:val="00012351"/>
    <w:rsid w:val="000139E5"/>
    <w:rsid w:val="00084DD2"/>
    <w:rsid w:val="00084E89"/>
    <w:rsid w:val="000B7489"/>
    <w:rsid w:val="000F1096"/>
    <w:rsid w:val="00120948"/>
    <w:rsid w:val="00123DD5"/>
    <w:rsid w:val="001277AE"/>
    <w:rsid w:val="00135915"/>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1005B"/>
    <w:rsid w:val="00323EF8"/>
    <w:rsid w:val="003316DD"/>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E3B17"/>
    <w:rsid w:val="006F58A2"/>
    <w:rsid w:val="006F7907"/>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5D51"/>
    <w:rsid w:val="00BC6489"/>
    <w:rsid w:val="00BD480C"/>
    <w:rsid w:val="00C20954"/>
    <w:rsid w:val="00C23324"/>
    <w:rsid w:val="00C36C9E"/>
    <w:rsid w:val="00C42A41"/>
    <w:rsid w:val="00C47E74"/>
    <w:rsid w:val="00C57A72"/>
    <w:rsid w:val="00C73602"/>
    <w:rsid w:val="00C847DF"/>
    <w:rsid w:val="00C85D0F"/>
    <w:rsid w:val="00CF60C8"/>
    <w:rsid w:val="00D30DE2"/>
    <w:rsid w:val="00D32924"/>
    <w:rsid w:val="00D503A3"/>
    <w:rsid w:val="00DA6ED0"/>
    <w:rsid w:val="00DC5011"/>
    <w:rsid w:val="00E171B6"/>
    <w:rsid w:val="00E72695"/>
    <w:rsid w:val="00E9559A"/>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DC524E-1456-4C12-8D0F-CBC33B444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35915"/>
    <w:pPr>
      <w:tabs>
        <w:tab w:val="right" w:pos="454"/>
        <w:tab w:val="left" w:pos="737"/>
      </w:tabs>
      <w:ind w:left="737" w:hanging="737"/>
    </w:pPr>
    <w:rPr>
      <w:snapToGrid w:val="0"/>
      <w:sz w:val="18"/>
      <w:lang w:eastAsia="en-US"/>
    </w:rPr>
  </w:style>
  <w:style w:type="paragraph" w:customStyle="1" w:styleId="Lgendetitre">
    <w:name w:val="Légende titre"/>
    <w:basedOn w:val="Normal"/>
    <w:rsid w:val="00135915"/>
    <w:pPr>
      <w:spacing w:before="240" w:after="240"/>
    </w:pPr>
    <w:rPr>
      <w:b/>
      <w:i/>
      <w:snapToGrid w:val="0"/>
      <w:lang w:eastAsia="en-US"/>
    </w:rPr>
  </w:style>
  <w:style w:type="paragraph" w:customStyle="1" w:styleId="Lgendestandard">
    <w:name w:val="Légende standard"/>
    <w:basedOn w:val="Normal"/>
    <w:rsid w:val="00135915"/>
    <w:rPr>
      <w:sz w:val="18"/>
    </w:rPr>
  </w:style>
  <w:style w:type="character" w:customStyle="1" w:styleId="NormalBoldChar">
    <w:name w:val="NormalBold Char"/>
    <w:basedOn w:val="DefaultParagraphFont"/>
    <w:link w:val="NormalBold"/>
    <w:locked/>
    <w:rsid w:val="00135915"/>
    <w:rPr>
      <w:b/>
      <w:sz w:val="24"/>
      <w:lang w:val="da-DK"/>
    </w:rPr>
  </w:style>
  <w:style w:type="paragraph" w:styleId="FootnoteText">
    <w:name w:val="footnote text"/>
    <w:basedOn w:val="Normal"/>
    <w:link w:val="FootnoteTextChar"/>
    <w:rsid w:val="00135915"/>
    <w:rPr>
      <w:sz w:val="20"/>
    </w:rPr>
  </w:style>
  <w:style w:type="character" w:customStyle="1" w:styleId="FootnoteTextChar">
    <w:name w:val="Footnote Text Char"/>
    <w:basedOn w:val="DefaultParagraphFont"/>
    <w:link w:val="FootnoteText"/>
    <w:rsid w:val="00135915"/>
    <w:rPr>
      <w:lang w:val="da-DK"/>
    </w:rPr>
  </w:style>
  <w:style w:type="character" w:styleId="FootnoteReference">
    <w:name w:val="footnote reference"/>
    <w:basedOn w:val="DefaultParagraphFont"/>
    <w:rsid w:val="00135915"/>
    <w:rPr>
      <w:vertAlign w:val="superscript"/>
    </w:rPr>
  </w:style>
  <w:style w:type="character" w:customStyle="1" w:styleId="Normal6Char">
    <w:name w:val="Normal6 Char"/>
    <w:basedOn w:val="DefaultParagraphFont"/>
    <w:link w:val="Normal6"/>
    <w:locked/>
    <w:rsid w:val="00135915"/>
    <w:rPr>
      <w:sz w:val="24"/>
      <w:lang w:val="da-DK"/>
    </w:rPr>
  </w:style>
  <w:style w:type="paragraph" w:customStyle="1" w:styleId="Normal6">
    <w:name w:val="Normal6"/>
    <w:basedOn w:val="Normal"/>
    <w:link w:val="Normal6Char"/>
    <w:rsid w:val="00135915"/>
    <w:pPr>
      <w:spacing w:after="120"/>
    </w:pPr>
  </w:style>
  <w:style w:type="paragraph" w:customStyle="1" w:styleId="ColumnHeading">
    <w:name w:val="ColumnHeading"/>
    <w:basedOn w:val="Normal"/>
    <w:rsid w:val="00135915"/>
    <w:pPr>
      <w:spacing w:after="240"/>
      <w:jc w:val="center"/>
    </w:pPr>
    <w:rPr>
      <w:i/>
    </w:rPr>
  </w:style>
  <w:style w:type="paragraph" w:customStyle="1" w:styleId="AMNumberTabs0">
    <w:name w:val="AMNumberTabs"/>
    <w:basedOn w:val="Normal"/>
    <w:rsid w:val="00135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35915"/>
    <w:pPr>
      <w:jc w:val="right"/>
    </w:pPr>
  </w:style>
  <w:style w:type="paragraph" w:customStyle="1" w:styleId="CrossRef">
    <w:name w:val="CrossRef"/>
    <w:basedOn w:val="Normal"/>
    <w:rsid w:val="00135915"/>
    <w:pPr>
      <w:spacing w:before="240"/>
      <w:jc w:val="center"/>
    </w:pPr>
    <w:rPr>
      <w:i/>
    </w:rPr>
  </w:style>
  <w:style w:type="paragraph" w:styleId="Footer">
    <w:name w:val="footer"/>
    <w:basedOn w:val="Normal"/>
    <w:link w:val="FooterChar"/>
    <w:semiHidden/>
    <w:rsid w:val="00BB5D51"/>
    <w:pPr>
      <w:tabs>
        <w:tab w:val="center" w:pos="4513"/>
        <w:tab w:val="right" w:pos="9026"/>
      </w:tabs>
    </w:pPr>
  </w:style>
  <w:style w:type="character" w:customStyle="1" w:styleId="FooterChar">
    <w:name w:val="Footer Char"/>
    <w:basedOn w:val="DefaultParagraphFont"/>
    <w:link w:val="Footer"/>
    <w:semiHidden/>
    <w:rsid w:val="00BB5D5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1B0B5-867E-402C-A507-356C738A6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3722</Words>
  <Characters>23599</Characters>
  <Application>Microsoft Office Word</Application>
  <DocSecurity>0</DocSecurity>
  <Lines>907</Lines>
  <Paragraphs>364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JOHANNSEN Lena</dc:creator>
  <cp:lastModifiedBy>HEINSOEE Katja</cp:lastModifiedBy>
  <cp:revision>2</cp:revision>
  <cp:lastPrinted>2004-11-04T09:41:00Z</cp:lastPrinted>
  <dcterms:created xsi:type="dcterms:W3CDTF">2023-10-03T09:49:00Z</dcterms:created>
  <dcterms:modified xsi:type="dcterms:W3CDTF">2023-10-03T09:49:00Z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1285780</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\\eiciBRUpr1\pdocep$\DocEP\TRANSFIL\DA\PR_COD_1amCom.DA(29/06/2022 10:20:55)</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PR\1285780DA.docx</vt:lpwstr>
  </property>
  <property fmtid="{D5CDD505-2E9C-101B-9397-08002B2CF9AE}" pid="10" name="LastEdited with">
    <vt:lpwstr>9.16.1 Build [20230915]</vt:lpwstr>
  </property>
  <property fmtid="{D5CDD505-2E9C-101B-9397-08002B2CF9AE}" pid="11" name="PE number">
    <vt:lpwstr>753.003</vt:lpwstr>
  </property>
  <property fmtid="{D5CDD505-2E9C-101B-9397-08002B2CF9AE}" pid="12" name="SDLStudio">
    <vt:lpwstr/>
  </property>
  <property fmtid="{D5CDD505-2E9C-101B-9397-08002B2CF9AE}" pid="13" name="Bookout">
    <vt:lpwstr>OK - 2023/10/03 11:49</vt:lpwstr>
  </property>
</Properties>
</file>