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E-002012/2024</w:t>
      </w:r>
    </w:p>
    <w:p>
      <w:pPr>
        <w:pStyle w:val="NormalBold"/>
      </w:pPr>
      <w:r>
        <w:t xml:space="preserve">to the </w:t>
      </w:r>
      <w:r>
        <w:t>Commission</w:t>
      </w:r>
    </w:p>
    <w:p>
      <w:r>
        <w:t>Rule 144</w:t>
      </w:r>
    </w:p>
    <w:p>
      <w:r>
        <w:rPr>
          <w:b/>
        </w:rPr>
        <w:t>France Jamet</w:t>
      </w:r>
      <w:r>
        <w:rPr>
          <w:b/>
        </w:rPr>
        <w:t xml:space="preserve"> (</w:t>
      </w:r>
      <w:r>
        <w:rPr>
          <w:b/>
        </w:rPr>
        <w:t>PfE</w:t>
      </w:r>
      <w:r>
        <w:rPr>
          <w:b/>
        </w:rPr>
        <w:t xml:space="preserve">), </w:t>
      </w:r>
      <w:r>
        <w:rPr>
          <w:b/>
        </w:rPr>
        <w:t>Julien Leonardelli</w:t>
      </w:r>
      <w:r>
        <w:rPr>
          <w:b/>
        </w:rPr>
        <w:t xml:space="preserve"> (</w:t>
      </w:r>
      <w:r>
        <w:rPr>
          <w:b/>
        </w:rPr>
        <w:t>PfE</w:t>
      </w:r>
      <w:r>
        <w:rPr>
          <w:b/>
        </w:rPr>
        <w:t xml:space="preserve">), </w:t>
      </w:r>
      <w:r>
        <w:rPr>
          <w:b/>
        </w:rPr>
        <w:t>Julien Sanchez</w:t>
      </w:r>
      <w:r>
        <w:rPr>
          <w:b/>
        </w:rPr>
        <w:t xml:space="preserve"> (</w:t>
      </w:r>
      <w:r>
        <w:rPr>
          <w:b/>
        </w:rPr>
        <w:t>PfE</w:t>
      </w:r>
      <w:r>
        <w:rPr>
          <w:b/>
        </w:rPr>
        <w:t xml:space="preserve">), </w:t>
      </w:r>
      <w:r>
        <w:rPr>
          <w:b/>
        </w:rPr>
        <w:t>Rody Tolassy</w:t>
      </w:r>
      <w:r>
        <w:rPr>
          <w:b/>
        </w:rPr>
        <w:t xml:space="preserve"> (</w:t>
      </w:r>
      <w:r>
        <w:rPr>
          <w:b/>
        </w:rPr>
        <w:t>PfE</w:t>
      </w:r>
      <w:r>
        <w:rPr>
          <w:b/>
        </w:rPr>
        <w:t xml:space="preserve">), </w:t>
      </w:r>
      <w:r>
        <w:rPr>
          <w:b/>
        </w:rPr>
        <w:t>Alexandre Varaut</w:t>
      </w:r>
      <w:r>
        <w:rPr>
          <w:b/>
        </w:rPr>
        <w:t xml:space="preserve"> (</w:t>
      </w:r>
      <w:r>
        <w:rPr>
          <w:b/>
        </w:rPr>
        <w:t>PfE</w:t>
      </w:r>
      <w:r>
        <w:rPr>
          <w:b/>
        </w:rPr>
        <w:t xml:space="preserve">), </w:t>
      </w:r>
      <w:r>
        <w:rPr>
          <w:b/>
        </w:rPr>
        <w:t>André Rougé</w:t>
      </w:r>
      <w:r>
        <w:rPr>
          <w:b/>
        </w:rPr>
        <w:t xml:space="preserve"> (</w:t>
      </w:r>
      <w:r>
        <w:rPr>
          <w:b/>
        </w:rPr>
        <w:t>PfE</w:t>
      </w:r>
      <w:r>
        <w:rPr>
          <w:b/>
        </w:rPr>
        <w:t xml:space="preserve">), </w:t>
      </w:r>
      <w:r>
        <w:rPr>
          <w:b/>
        </w:rPr>
        <w:t>Anne-Sophie Frigout</w:t>
      </w:r>
      <w:r>
        <w:rPr>
          <w:b/>
        </w:rPr>
        <w:t xml:space="preserve"> (</w:t>
      </w:r>
      <w:r>
        <w:rPr>
          <w:b/>
        </w:rPr>
        <w:t>PfE</w:t>
      </w:r>
      <w:r>
        <w:rPr>
          <w:b/>
        </w:rPr>
        <w:t xml:space="preserve">), </w:t>
      </w:r>
      <w:r>
        <w:rPr>
          <w:b/>
        </w:rPr>
        <w:t>Thierry Mariani</w:t>
      </w:r>
      <w:r>
        <w:rPr>
          <w:b/>
        </w:rPr>
        <w:t xml:space="preserve"> (</w:t>
      </w:r>
      <w:r>
        <w:rPr>
          <w:b/>
        </w:rPr>
        <w:t>PfE</w:t>
      </w:r>
      <w:r>
        <w:rPr>
          <w:b/>
        </w:rPr>
        <w:t xml:space="preserve">), </w:t>
      </w:r>
      <w:r>
        <w:rPr>
          <w:b/>
        </w:rPr>
        <w:t>Jean-Paul Garraud</w:t>
      </w:r>
      <w:r>
        <w:rPr>
          <w:b/>
        </w:rPr>
        <w:t xml:space="preserve"> (</w:t>
      </w:r>
      <w:r>
        <w:rPr>
          <w:b/>
        </w:rPr>
        <w:t>PfE</w:t>
      </w:r>
      <w:r>
        <w:rPr>
          <w:b/>
        </w:rPr>
        <w:t>)</w:t>
      </w:r>
    </w:p>
    <w:p/>
    <w:p>
      <w:pPr>
        <w:pStyle w:val="QuestionSubject"/>
      </w:pPr>
      <w:r>
        <w:t>Subject:</w:t>
        <w:tab/>
      </w:r>
      <w:r>
        <w:t>Sharp increase in illegal fishing in French Guiana</w:t>
      </w:r>
    </w:p>
    <w:p>
      <w:pPr>
        <w:pStyle w:val="Normal12a"/>
      </w:pPr>
      <w:r>
        <w:t>On 16 September 2024, the French Government published a report showing that illegal fishing has doubled in the waters of French Guiana.</w:t>
      </w:r>
    </w:p>
    <w:p>
      <w:pPr>
        <w:pStyle w:val="Normal12a"/>
      </w:pPr>
      <w:r>
        <w:t>According to the report, even though just 20 or so French vessels fish legally in those waters, there are sometimes 50 or even 100 foreign vessels sailing into our waters and fishing there illegally.</w:t>
      </w:r>
    </w:p>
    <w:p>
      <w:pPr>
        <w:pStyle w:val="Normal12a"/>
      </w:pPr>
      <w:r>
        <w:t>French fishers are subject to increasingly rigorous constraints, yet the EU’s strategy to combat illegal, unreported and unregulated fishing is an utter failure in French Guiana.</w:t>
      </w:r>
    </w:p>
    <w:p>
      <w:pPr>
        <w:pStyle w:val="Normal12a"/>
      </w:pPr>
      <w:r>
        <w:t>What reforms will the Commission carry out to prevent the looting of our overseas waters? Will it provide monitoring personnel and resources to ensure that our fishers who respect the rules and their environment are no longer hounded, and focus instead on the maritime predators who undermine them through unfair competition?</w:t>
      </w:r>
    </w:p>
    <w:p>
      <w:pPr>
        <w:pStyle w:val="Normal12a"/>
      </w:pPr>
      <w:r>
        <w:t xml:space="preserve">Submitted: </w:t>
      </w:r>
      <w:r>
        <w:t>10.10.2024</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PE765.567v01-00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PE765.567v01-00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PE765.567v01-00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Hanging12a">
    <w:name w:val="NormalHanging12a"/>
    <w:basedOn w:val="Normal"/>
    <w:pPr>
      <w:widowControl w:val="0"/>
      <w:overflowPunct/>
      <w:spacing w:after="240"/>
      <w:ind w:left="566" w:hanging="566"/>
    </w:pPr>
  </w:style>
  <w:style w:type="paragraph" w:customStyle="1" w:styleId="FootnoteTextForceStyle">
    <w:name w:val="Footnote Text ForceStyle"/>
    <w:pPr>
      <w:widowControl w:val="0"/>
      <w:tabs>
        <w:tab w:val="left" w:pos="284"/>
      </w:tabs>
      <w:overflowPunct/>
      <w:ind w:left="284" w:hanging="284"/>
    </w:pPr>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val="0"/>
      <w:spacing w:after="240"/>
    </w:p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val="0"/>
      <w:overflowPunct/>
      <w:spacing w:after="240"/>
      <w:ind w:left="1134" w:hanging="1134"/>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eading1Char">
    <w:name w:val="Heading 1 Char"/>
    <w:rPr>
      <w:rFonts w:ascii="Calibri Light" w:hAnsi="Calibri Light"/>
      <w:b/>
      <w:sz w:val="32"/>
    </w:rPr>
  </w:style>
  <w:style w:type="character" w:customStyle="1" w:styleId="HideTWBInt">
    <w:name w:val="HideTWBInt"/>
    <w:rPr>
      <w:rFonts w:ascii="Arial" w:eastAsia="Arial" w:hAnsi="Arial" w:cs="Arial"/>
      <w:vanish/>
      <w:color w:val="808080"/>
      <w:sz w:val="20"/>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val="0"/>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181</Words>
  <Characters>1016</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80244</vt:lpwstr>
  </property>
  <property fmtid="{D5CDD505-2E9C-101B-9397-08002B2CF9AE}" pid="3" name="dmxml.render.traceId">
    <vt:lpwstr>671670b7f7dc424c15888e9a2cfd08a0</vt:lpwstr>
  </property>
</Properties>
</file>