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p>
      <w:pPr>
        <w:pStyle w:val="NormalBold"/>
      </w:pPr>
      <w:r>
        <w:t>Pytanie wymagające odpowiedzi na piśmie</w:t>
      </w:r>
      <w:r>
        <w:t xml:space="preserve"> </w:t>
      </w:r>
      <w:r>
        <w:t>E-002829/2024</w:t>
      </w:r>
    </w:p>
    <w:p>
      <w:pPr>
        <w:pStyle w:val="NormalBold"/>
      </w:pPr>
      <w:r>
        <w:t xml:space="preserve">do </w:t>
      </w:r>
      <w:r>
        <w:t>Komisji</w:t>
      </w:r>
    </w:p>
    <w:p>
      <w:r>
        <w:t>Art. 144 Regulaminu</w:t>
      </w:r>
    </w:p>
    <w:p>
      <w:r>
        <w:rPr>
          <w:b/>
        </w:rPr>
        <w:t>Adam Jarubas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Krzysztof Hetman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Elżbieta Katarzyna Łukacijewska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Jacek Protas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Marta Wcisło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Dariusz Joński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Andrzej Buła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Bartłomiej Sienkiewicz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Mirosława Nykiel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Hanna Gronkiewicz-Waltz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Bogdan Andrzej Zdrojewski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Janusz Lewandowski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Ewa Kopacz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Magdalena Adamowicz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Krzysztof Brejza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Kamila Gasiuk-Pihowicz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Michał Wawrykiewicz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Jagna Marczułajtis-Walczak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 xml:space="preserve">), </w:t>
      </w:r>
      <w:r>
        <w:rPr>
          <w:b/>
        </w:rPr>
        <w:t>Łukasz Kohut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</w:t>
      </w:r>
    </w:p>
    <w:p/>
    <w:p>
      <w:pPr>
        <w:pStyle w:val="QuestionSubject"/>
      </w:pPr>
      <w:r>
        <w:t>Przedmiot:</w:t>
        <w:tab/>
      </w:r>
      <w:r>
        <w:t>Umowa UE–Mercosur</w:t>
      </w:r>
    </w:p>
    <w:p>
      <w:pPr>
        <w:pStyle w:val="Normal12a"/>
      </w:pPr>
      <w:r>
        <w:t>Europejscy rolnicy, konsumenci i organizacje działające na rzecz ochrony środowiska, w tym klimatu, są zaniepokojone finalizacją negocjowanej od 2000 r. umowy UE–Mercosur. W Parlamencie Europejskim, od momentu osiągnięcia porozumienia politycznego w 2019 r., protestowaliśmy przeciw ryzykom, jakie brak odpowiednich zabezpieczeń w umowie może tworzyć: nieuczciwej konkurencji mogącej zniszczyć europejskie rolnictwo przestrzegające europejskich standardów; zagrożeniu dla bezpieczeństwa żywnościowego UE i jakości żywności, a tym samym dla zdrowia Europejczyków; ryzyku wylesiania w państwach Mercosur, m.in. pod pastwiska i uprawy, w tym przyczyniania się do pożarów lasów deszczowych Amazonii, tzw. płuc świata i ważnego rezerwuaru bioróżnorodności czy ryzyku zwiększonej emisji CO</w:t>
      </w:r>
      <w:r>
        <w:rPr>
          <w:vertAlign w:val="subscript"/>
        </w:rPr>
        <w:t>2</w:t>
      </w:r>
      <w:r>
        <w:t xml:space="preserve"> z transportu morskiego i lotniczego.</w:t>
      </w:r>
    </w:p>
    <w:p>
      <w:pPr>
        <w:pStyle w:val="NormalHanging12a"/>
      </w:pPr>
      <w:r>
        <w:t>1.</w:t>
      </w:r>
      <w:r>
        <w:tab/>
      </w:r>
      <w:r>
        <w:t>Jak umowa zabezpiecza równe warunki konkurowania rolników UE i Mercosur, szczególnie w kontekście kosztów i ograniczeń, z którymi mierzą się rolnicy w UE, oraz jakości żywności trafiającej na rynek UE?</w:t>
      </w:r>
    </w:p>
    <w:p>
      <w:pPr>
        <w:pStyle w:val="NormalHanging12a"/>
      </w:pPr>
      <w:r>
        <w:t>2.</w:t>
      </w:r>
      <w:r>
        <w:tab/>
      </w:r>
      <w:r>
        <w:t>Jak umowa zabezpiecza porównywalne do wspólnotowych wymagania środowiskowe, uwzględniając emisje CO</w:t>
      </w:r>
      <w:r>
        <w:rPr>
          <w:vertAlign w:val="subscript"/>
        </w:rPr>
        <w:t>2</w:t>
      </w:r>
      <w:r>
        <w:t>, dla produkcji z państw Mercosur trafiających do UE, jak zapobiega wylesieniom w państwach Mercosur i zapobiega wzrostowi emisji z transportu dóbr z państw Mercosur do UE?</w:t>
      </w:r>
    </w:p>
    <w:p>
      <w:pPr>
        <w:pStyle w:val="NormalHanging12a"/>
      </w:pPr>
      <w:r>
        <w:t>3.</w:t>
      </w:r>
      <w:r>
        <w:tab/>
      </w:r>
      <w:r>
        <w:t>Jako że umowa znacząco wykracza poza kwestie handlowe, które są nierozdzielne od kwestii politycznych, czy Komisja zakłada pełną ścieżkę ratyfikacji Umowy przez państwa członkowskie?</w:t>
      </w:r>
    </w:p>
    <w:p>
      <w:pPr>
        <w:pStyle w:val="Normal12a"/>
      </w:pPr>
      <w:r>
        <w:t xml:space="preserve">Przedłożone: </w:t>
      </w:r>
      <w:r>
        <w:t>9.12.2024</w:t>
      </w:r>
    </w:p>
    <w:sectPr>
      <w:footerReference w:type="even" r:id="rId4"/>
      <w:footerReference w:type="default" r:id="rId5"/>
      <w:footerReference w:type="first" r:id="rId6"/>
      <w:pgSz w:w="11909" w:h="16834"/>
      <w:pgMar w:top="1134" w:right="1417" w:bottom="1417" w:left="1417" w:header="1134" w:footer="567"/>
      <w:cols w:space="720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PE767.454v01-00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PE767.454v01-00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PE767.454v01-00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ormalHanging12a">
    <w:name w:val="NormalHanging12a"/>
    <w:basedOn w:val="Normal"/>
    <w:pPr>
      <w:widowControl w:val="0"/>
      <w:overflowPunct/>
      <w:spacing w:after="240"/>
      <w:ind w:left="566" w:hanging="566"/>
    </w:pPr>
  </w:style>
  <w:style w:type="paragraph" w:customStyle="1" w:styleId="FootnoteTextForceStyle">
    <w:name w:val="Footnote Text ForceStyle"/>
    <w:pPr>
      <w:widowControl w:val="0"/>
      <w:tabs>
        <w:tab w:val="left" w:pos="284"/>
      </w:tabs>
      <w:overflowPunct/>
      <w:ind w:left="284" w:hanging="284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Normal12a">
    <w:name w:val="Normal12a"/>
    <w:basedOn w:val="Normal"/>
    <w:pPr>
      <w:widowControl w:val="0"/>
      <w:spacing w:after="240"/>
    </w:p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QuestionSubject">
    <w:name w:val="QuestionSubject"/>
    <w:basedOn w:val="Normal"/>
    <w:pPr>
      <w:widowControl w:val="0"/>
      <w:overflowPunct/>
      <w:spacing w:after="240"/>
      <w:ind w:left="1134" w:hanging="1134"/>
    </w:p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Heading1Char">
    <w:name w:val="Heading 1 Char"/>
    <w:rPr>
      <w:rFonts w:ascii="Calibri Light" w:hAnsi="Calibri Light"/>
      <w:b/>
      <w:sz w:val="32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paragraph" w:styleId="Footer">
    <w:name w:val="footer"/>
    <w:basedOn w:val="Normal"/>
    <w:rsid w:val="00EF7B9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274</Words>
  <Characters>1842</Characters>
  <Application>Microsoft Office Word</Application>
  <DocSecurity>0</DocSecurity>
  <Lines>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.render.id">
    <vt:lpwstr>102140</vt:lpwstr>
  </property>
  <property fmtid="{D5CDD505-2E9C-101B-9397-08002B2CF9AE}" pid="3" name="dmxml.render.traceId">
    <vt:lpwstr>67605067dee5d198415a76221ee3770b</vt:lpwstr>
  </property>
</Properties>
</file>