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Ερώτηση με αίτημα γραπτής απάντησης</w:t>
      </w:r>
      <w:r>
        <w:t xml:space="preserve"> </w:t>
      </w:r>
      <w:r>
        <w:t>E-001028/2025</w:t>
      </w:r>
    </w:p>
    <w:p>
      <w:pPr>
        <w:pStyle w:val="NormalBold"/>
      </w:pPr>
      <w:r>
        <w:t xml:space="preserve">προς την </w:t>
      </w:r>
      <w:r>
        <w:t>Επιτροπή</w:t>
      </w:r>
    </w:p>
    <w:p>
      <w:r>
        <w:t>Άρθρο 144 του Κανονισμού</w:t>
      </w:r>
    </w:p>
    <w:p>
      <w:r>
        <w:rPr>
          <w:b/>
        </w:rPr>
        <w:t>Κώστας Παπαδάκης</w:t>
      </w:r>
      <w:r>
        <w:rPr>
          <w:b/>
        </w:rPr>
        <w:t xml:space="preserve"> (</w:t>
      </w:r>
      <w:r>
        <w:rPr>
          <w:b/>
        </w:rPr>
        <w:t>NI</w:t>
      </w:r>
      <w:r>
        <w:rPr>
          <w:b/>
        </w:rPr>
        <w:t xml:space="preserve">), </w:t>
      </w:r>
      <w:r>
        <w:rPr>
          <w:b/>
        </w:rPr>
        <w:t>Λευτέρης Νικολάου-Αλαβάνος</w:t>
      </w:r>
      <w:r>
        <w:rPr>
          <w:b/>
        </w:rPr>
        <w:t xml:space="preserve"> (</w:t>
      </w:r>
      <w:r>
        <w:rPr>
          <w:b/>
        </w:rPr>
        <w:t>NI</w:t>
      </w:r>
      <w:r>
        <w:rPr>
          <w:b/>
        </w:rPr>
        <w:t>)</w:t>
      </w:r>
    </w:p>
    <w:p/>
    <w:p>
      <w:pPr>
        <w:pStyle w:val="QuestionSubject"/>
      </w:pPr>
      <w:r>
        <w:t>Θέμα:</w:t>
        <w:tab/>
      </w:r>
      <w:r>
        <w:t>Η κυβερνητική επιχείρηση συγκάλυψης του εγκλήματος στην Πύλο</w:t>
      </w:r>
    </w:p>
    <w:p>
      <w:pPr>
        <w:pStyle w:val="Normal12a"/>
      </w:pPr>
      <w:r>
        <w:t>Το τραγικό ναυάγιο-έγκλημα της Πύλου, με τουλάχιστον 600 νεκρούς πρόσφυγες και μετανάστες, παραμένει ατιμώρητο. Το πόρισμα του Συνηγόρου του Πολίτη φέρνει στην επιφάνεια τεράστιες ευθύνες της κυβέρνησης ΝΔ.</w:t>
      </w:r>
    </w:p>
    <w:p>
      <w:pPr>
        <w:pStyle w:val="Normal12a"/>
      </w:pPr>
      <w:r>
        <w:t>Το τελευταίο έρχεται σε συνέχεια του αντίστοιχου πορίσματος του Frontex, που επέρριπτε βαριές ευθύνες σε Υπουργείο Ναυτιλίας και Λιμενικό. Από το πόρισμα, όμως, αποσιωπώνται και συγκαλύπτονται οι τεράστιες ευθύνες του ίδιου του Frontex. Αν και το αεροπλάνο του Frontex εντόπισε το αλιευτικό και την επικίνδυνη πορεία, ωστόσο δεν εξέδωσε σήμα κινδύνου για διάσωση και δεν έκανε το παραμικρό για να αποτρέψει το ναυάγιο γιατί «δεν το επέτρεπε η εντολή του».</w:t>
      </w:r>
    </w:p>
    <w:p>
      <w:pPr>
        <w:pStyle w:val="Normal12a"/>
      </w:pPr>
      <w:r>
        <w:t>Ερωτάται η Επιτροπή:</w:t>
      </w:r>
    </w:p>
    <w:p>
      <w:pPr>
        <w:pStyle w:val="NormalHanging12a"/>
      </w:pPr>
      <w:r>
        <w:t>1.</w:t>
      </w:r>
      <w:r>
        <w:tab/>
      </w:r>
      <w:r>
        <w:t>Πώς τοποθετείται σχετικά με τα στοιχεία που φέρνει στο φως το πόρισμα του Συνηγόρου του Πολίτη, αλλά και τα προηγούμενα του Γραφείου Θεμελιωδών Δικαιωμάτων του Frontex και της Ευρωπαίας Διαμεσολαβήτριας, από τα οποία προκύπτουν αντικειμενικές ευθύνες της κυβέρνησης ΝΔ και των ελληνικών αρχών για το πολύνεκρο ναυάγιο της Πύλου, αλλά και του ίδιου του Frontex που —παρά την παρουσία του στην περιοχή— δεν έκανε καμία προσπάθεια να αποτρέψει το ναυάγιο;</w:t>
      </w:r>
    </w:p>
    <w:p>
      <w:pPr>
        <w:pStyle w:val="NormalHanging12a"/>
      </w:pPr>
      <w:r>
        <w:t>2.</w:t>
      </w:r>
      <w:r>
        <w:tab/>
      </w:r>
      <w:r>
        <w:t>Πώς τοποθετείται σχετικά με το γεγονός ότι τα συνεχή και επαναλαμβανόμενα περιστατικά ναυαγίων που έχουν μετατρέψει τη Μεσόγειο σε θάλασσα νεκρών είναι αποτέλεσμα κατεύθυνσης από ΕΕ και κυβερνήσεις για ένταση καταστολής στα σύνορα με τη συνδρομή του Frontex, που —με το προωθούμενο «Σύμφωνο για τη Μετανάστευση και το Άσυλο»— θα ενταθεί;</w:t>
      </w:r>
    </w:p>
    <w:p>
      <w:pPr>
        <w:pStyle w:val="Normal12a"/>
      </w:pPr>
      <w:r>
        <w:t xml:space="preserve">Κατάθεση: </w:t>
      </w:r>
      <w:r>
        <w:t>10.3.2025</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PE771.486v01-00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PE771.486v01-00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PE771.486v01-00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Hanging12a">
    <w:name w:val="NormalHanging12a"/>
    <w:basedOn w:val="Normal"/>
    <w:pPr>
      <w:widowControl w:val="0"/>
      <w:overflowPunct/>
      <w:spacing w:after="240"/>
      <w:ind w:left="566" w:hanging="566"/>
    </w:pPr>
  </w:style>
  <w:style w:type="paragraph" w:customStyle="1" w:styleId="FootnoteTextForceStyle">
    <w:name w:val="Footnote Text ForceStyle"/>
    <w:pPr>
      <w:widowControl w:val="0"/>
      <w:tabs>
        <w:tab w:val="left" w:pos="284"/>
      </w:tabs>
      <w:overflowPunct/>
      <w:ind w:left="284" w:hanging="284"/>
    </w:pPr>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val="0"/>
      <w:spacing w:after="240"/>
    </w:pPr>
  </w:style>
  <w:style w:type="paragraph" w:customStyle="1" w:styleId="NormalBold">
    <w:name w:val="NormalBold"/>
    <w:basedOn w:val="Normal"/>
    <w:pPr>
      <w:widowControl w:val="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QuestionSubject">
    <w:name w:val="QuestionSubject"/>
    <w:basedOn w:val="Normal"/>
    <w:pPr>
      <w:widowControl w:val="0"/>
      <w:overflowPunct/>
      <w:spacing w:after="240"/>
      <w:ind w:left="1134" w:hanging="1134"/>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eading1Char">
    <w:name w:val="Heading 1 Char"/>
    <w:rPr>
      <w:rFonts w:ascii="Calibri Light" w:hAnsi="Calibri Light"/>
      <w:b/>
      <w:sz w:val="32"/>
    </w:rPr>
  </w:style>
  <w:style w:type="character" w:customStyle="1" w:styleId="HideTWBInt">
    <w:name w:val="HideTWBInt"/>
    <w:rPr>
      <w:rFonts w:ascii="Arial" w:eastAsia="Arial" w:hAnsi="Arial" w:cs="Arial"/>
      <w:vanish/>
      <w:color w:val="808080"/>
      <w:sz w:val="20"/>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val="0"/>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254</Words>
  <Characters>1462</Characters>
  <Application>Microsoft Office Word</Application>
  <DocSecurity>0</DocSecurity>
  <Lines>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148140</vt:lpwstr>
  </property>
  <property fmtid="{D5CDD505-2E9C-101B-9397-08002B2CF9AE}" pid="3" name="dmxml.render.traceId">
    <vt:lpwstr>67dae9e6a767b65bc81d40d3ea3a0ff8</vt:lpwstr>
  </property>
</Properties>
</file>