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p>
      <w:pPr>
        <w:pStyle w:val="NormalBold"/>
      </w:pPr>
      <w:r>
        <w:t>Question avec demande de réponse écrite</w:t>
      </w:r>
      <w:r>
        <w:t xml:space="preserve"> </w:t>
      </w:r>
      <w:r>
        <w:t>E-004366/2025</w:t>
      </w:r>
    </w:p>
    <w:p>
      <w:pPr>
        <w:pStyle w:val="NormalBold"/>
      </w:pPr>
      <w:r>
        <w:t xml:space="preserve">à la </w:t>
      </w:r>
      <w:r>
        <w:t>Commission</w:t>
      </w:r>
    </w:p>
    <w:p>
      <w:r>
        <w:t>Article 144 du règlement intérieur</w:t>
      </w:r>
    </w:p>
    <w:p>
      <w:r>
        <w:rPr>
          <w:b/>
        </w:rPr>
        <w:t>Ilaria Salis</w:t>
      </w:r>
      <w:r>
        <w:rPr>
          <w:b/>
        </w:rPr>
        <w:t xml:space="preserve"> (</w:t>
      </w:r>
      <w:r>
        <w:rPr>
          <w:b/>
        </w:rPr>
        <w:t>The Left</w:t>
      </w:r>
      <w:r>
        <w:rPr>
          <w:b/>
        </w:rPr>
        <w:t xml:space="preserve">), </w:t>
      </w:r>
      <w:r>
        <w:rPr>
          <w:b/>
        </w:rPr>
        <w:t>Mimmo Lucano</w:t>
      </w:r>
      <w:r>
        <w:rPr>
          <w:b/>
        </w:rPr>
        <w:t xml:space="preserve"> (</w:t>
      </w:r>
      <w:r>
        <w:rPr>
          <w:b/>
        </w:rPr>
        <w:t>The Left</w:t>
      </w:r>
      <w:r>
        <w:rPr>
          <w:b/>
        </w:rPr>
        <w:t xml:space="preserve">), </w:t>
      </w:r>
      <w:r>
        <w:rPr>
          <w:b/>
        </w:rPr>
        <w:t>Cristina Guarda</w:t>
      </w:r>
      <w:r>
        <w:rPr>
          <w:b/>
        </w:rPr>
        <w:t xml:space="preserve"> (</w:t>
      </w:r>
      <w:r>
        <w:rPr>
          <w:b/>
        </w:rPr>
        <w:t>Verts/ALE</w:t>
      </w:r>
      <w:r>
        <w:rPr>
          <w:b/>
        </w:rPr>
        <w:t xml:space="preserve">), </w:t>
      </w:r>
      <w:r>
        <w:rPr>
          <w:b/>
        </w:rPr>
        <w:t>Ignazio Roberto Marino</w:t>
      </w:r>
      <w:r>
        <w:rPr>
          <w:b/>
        </w:rPr>
        <w:t xml:space="preserve"> (</w:t>
      </w:r>
      <w:r>
        <w:rPr>
          <w:b/>
        </w:rPr>
        <w:t>Verts/ALE</w:t>
      </w:r>
      <w:r>
        <w:rPr>
          <w:b/>
        </w:rPr>
        <w:t xml:space="preserve">), </w:t>
      </w:r>
      <w:r>
        <w:rPr>
          <w:b/>
        </w:rPr>
        <w:t>Leoluca Orlando</w:t>
      </w:r>
      <w:r>
        <w:rPr>
          <w:b/>
        </w:rPr>
        <w:t xml:space="preserve"> (</w:t>
      </w:r>
      <w:r>
        <w:rPr>
          <w:b/>
        </w:rPr>
        <w:t>Verts/ALE</w:t>
      </w:r>
      <w:r>
        <w:rPr>
          <w:b/>
        </w:rPr>
        <w:t xml:space="preserve">), </w:t>
      </w:r>
      <w:r>
        <w:rPr>
          <w:b/>
        </w:rPr>
        <w:t>Benedetta Scuderi</w:t>
      </w:r>
      <w:r>
        <w:rPr>
          <w:b/>
        </w:rPr>
        <w:t xml:space="preserve"> (</w:t>
      </w:r>
      <w:r>
        <w:rPr>
          <w:b/>
        </w:rPr>
        <w:t>Verts/ALE</w:t>
      </w:r>
      <w:r>
        <w:rPr>
          <w:b/>
        </w:rPr>
        <w:t xml:space="preserve">), </w:t>
      </w:r>
      <w:r>
        <w:rPr>
          <w:b/>
        </w:rPr>
        <w:t>Danilo Della Valle</w:t>
      </w:r>
      <w:r>
        <w:rPr>
          <w:b/>
        </w:rPr>
        <w:t xml:space="preserve"> (</w:t>
      </w:r>
      <w:r>
        <w:rPr>
          <w:b/>
        </w:rPr>
        <w:t>The Left</w:t>
      </w:r>
      <w:r>
        <w:rPr>
          <w:b/>
        </w:rPr>
        <w:t xml:space="preserve">), </w:t>
      </w:r>
      <w:r>
        <w:rPr>
          <w:b/>
        </w:rPr>
        <w:t>Mario Furore</w:t>
      </w:r>
      <w:r>
        <w:rPr>
          <w:b/>
        </w:rPr>
        <w:t xml:space="preserve"> (</w:t>
      </w:r>
      <w:r>
        <w:rPr>
          <w:b/>
        </w:rPr>
        <w:t>The Left</w:t>
      </w:r>
      <w:r>
        <w:rPr>
          <w:b/>
        </w:rPr>
        <w:t xml:space="preserve">), </w:t>
      </w:r>
      <w:r>
        <w:rPr>
          <w:b/>
        </w:rPr>
        <w:t>Carolina Morace</w:t>
      </w:r>
      <w:r>
        <w:rPr>
          <w:b/>
        </w:rPr>
        <w:t xml:space="preserve"> (</w:t>
      </w:r>
      <w:r>
        <w:rPr>
          <w:b/>
        </w:rPr>
        <w:t>The Left</w:t>
      </w:r>
      <w:r>
        <w:rPr>
          <w:b/>
        </w:rPr>
        <w:t xml:space="preserve">), </w:t>
      </w:r>
      <w:r>
        <w:rPr>
          <w:b/>
        </w:rPr>
        <w:t>Valentina Palmisano</w:t>
      </w:r>
      <w:r>
        <w:rPr>
          <w:b/>
        </w:rPr>
        <w:t xml:space="preserve"> (</w:t>
      </w:r>
      <w:r>
        <w:rPr>
          <w:b/>
        </w:rPr>
        <w:t>The Left</w:t>
      </w:r>
      <w:r>
        <w:rPr>
          <w:b/>
        </w:rPr>
        <w:t xml:space="preserve">), </w:t>
      </w:r>
      <w:r>
        <w:rPr>
          <w:b/>
        </w:rPr>
        <w:t>Gaetano Pedulla'</w:t>
      </w:r>
      <w:r>
        <w:rPr>
          <w:b/>
        </w:rPr>
        <w:t xml:space="preserve"> (</w:t>
      </w:r>
      <w:r>
        <w:rPr>
          <w:b/>
        </w:rPr>
        <w:t>The Left</w:t>
      </w:r>
      <w:r>
        <w:rPr>
          <w:b/>
        </w:rPr>
        <w:t xml:space="preserve">), </w:t>
      </w:r>
      <w:r>
        <w:rPr>
          <w:b/>
        </w:rPr>
        <w:t>Dario Tamburrano</w:t>
      </w:r>
      <w:r>
        <w:rPr>
          <w:b/>
        </w:rPr>
        <w:t xml:space="preserve"> (</w:t>
      </w:r>
      <w:r>
        <w:rPr>
          <w:b/>
        </w:rPr>
        <w:t>The Left</w:t>
      </w:r>
      <w:r>
        <w:rPr>
          <w:b/>
        </w:rPr>
        <w:t xml:space="preserve">), </w:t>
      </w:r>
      <w:r>
        <w:rPr>
          <w:b/>
        </w:rPr>
        <w:t>Pasquale Tridico</w:t>
      </w:r>
      <w:r>
        <w:rPr>
          <w:b/>
        </w:rPr>
        <w:t xml:space="preserve"> (</w:t>
      </w:r>
      <w:r>
        <w:rPr>
          <w:b/>
        </w:rPr>
        <w:t>The Left</w:t>
      </w:r>
      <w:r>
        <w:rPr>
          <w:b/>
        </w:rPr>
        <w:t xml:space="preserve">), </w:t>
      </w:r>
      <w:r>
        <w:rPr>
          <w:b/>
        </w:rPr>
        <w:t>Nicola Zingaretti</w:t>
      </w:r>
      <w:r>
        <w:rPr>
          <w:b/>
        </w:rPr>
        <w:t xml:space="preserve"> (</w:t>
      </w:r>
      <w:r>
        <w:rPr>
          <w:b/>
        </w:rPr>
        <w:t>S&amp;D</w:t>
      </w:r>
      <w:r>
        <w:rPr>
          <w:b/>
        </w:rPr>
        <w:t xml:space="preserve">), </w:t>
      </w:r>
      <w:r>
        <w:rPr>
          <w:b/>
        </w:rPr>
        <w:t>Sandro Ruotolo</w:t>
      </w:r>
      <w:r>
        <w:rPr>
          <w:b/>
        </w:rPr>
        <w:t xml:space="preserve"> (</w:t>
      </w:r>
      <w:r>
        <w:rPr>
          <w:b/>
        </w:rPr>
        <w:t>S&amp;D</w:t>
      </w:r>
      <w:r>
        <w:rPr>
          <w:b/>
        </w:rPr>
        <w:t xml:space="preserve">), </w:t>
      </w:r>
      <w:r>
        <w:rPr>
          <w:b/>
        </w:rPr>
        <w:t>Alessandro Zan</w:t>
      </w:r>
      <w:r>
        <w:rPr>
          <w:b/>
        </w:rPr>
        <w:t xml:space="preserve"> (</w:t>
      </w:r>
      <w:r>
        <w:rPr>
          <w:b/>
        </w:rPr>
        <w:t>S&amp;D</w:t>
      </w:r>
      <w:r>
        <w:rPr>
          <w:b/>
        </w:rPr>
        <w:t xml:space="preserve">), </w:t>
      </w:r>
      <w:r>
        <w:rPr>
          <w:b/>
        </w:rPr>
        <w:t>Marco Tarquinio</w:t>
      </w:r>
      <w:r>
        <w:rPr>
          <w:b/>
        </w:rPr>
        <w:t xml:space="preserve"> (</w:t>
      </w:r>
      <w:r>
        <w:rPr>
          <w:b/>
        </w:rPr>
        <w:t>S&amp;D</w:t>
      </w:r>
      <w:r>
        <w:rPr>
          <w:b/>
        </w:rPr>
        <w:t xml:space="preserve">), </w:t>
      </w:r>
      <w:r>
        <w:rPr>
          <w:b/>
        </w:rPr>
        <w:t>Brando Benifei</w:t>
      </w:r>
      <w:r>
        <w:rPr>
          <w:b/>
        </w:rPr>
        <w:t xml:space="preserve"> (</w:t>
      </w:r>
      <w:r>
        <w:rPr>
          <w:b/>
        </w:rPr>
        <w:t>S&amp;D</w:t>
      </w:r>
      <w:r>
        <w:rPr>
          <w:b/>
        </w:rPr>
        <w:t xml:space="preserve">), </w:t>
      </w:r>
      <w:r>
        <w:rPr>
          <w:b/>
        </w:rPr>
        <w:t>Annalisa Corrado</w:t>
      </w:r>
      <w:r>
        <w:rPr>
          <w:b/>
        </w:rPr>
        <w:t xml:space="preserve"> (</w:t>
      </w:r>
      <w:r>
        <w:rPr>
          <w:b/>
        </w:rPr>
        <w:t>S&amp;D</w:t>
      </w:r>
      <w:r>
        <w:rPr>
          <w:b/>
        </w:rPr>
        <w:t xml:space="preserve">), </w:t>
      </w:r>
      <w:r>
        <w:rPr>
          <w:b/>
        </w:rPr>
        <w:t>Giuseppe Lupo</w:t>
      </w:r>
      <w:r>
        <w:rPr>
          <w:b/>
        </w:rPr>
        <w:t xml:space="preserve"> (</w:t>
      </w:r>
      <w:r>
        <w:rPr>
          <w:b/>
        </w:rPr>
        <w:t>S&amp;D</w:t>
      </w:r>
      <w:r>
        <w:rPr>
          <w:b/>
        </w:rPr>
        <w:t xml:space="preserve">), </w:t>
      </w:r>
      <w:r>
        <w:rPr>
          <w:b/>
        </w:rPr>
        <w:t>Cecilia Strada</w:t>
      </w:r>
      <w:r>
        <w:rPr>
          <w:b/>
        </w:rPr>
        <w:t xml:space="preserve"> (</w:t>
      </w:r>
      <w:r>
        <w:rPr>
          <w:b/>
        </w:rPr>
        <w:t>S&amp;D</w:t>
      </w:r>
      <w:r>
        <w:rPr>
          <w:b/>
        </w:rPr>
        <w:t xml:space="preserve">), </w:t>
      </w:r>
      <w:r>
        <w:rPr>
          <w:b/>
        </w:rPr>
        <w:t>Camilla Laureti</w:t>
      </w:r>
      <w:r>
        <w:rPr>
          <w:b/>
        </w:rPr>
        <w:t xml:space="preserve"> (</w:t>
      </w:r>
      <w:r>
        <w:rPr>
          <w:b/>
        </w:rPr>
        <w:t>S&amp;D</w:t>
      </w:r>
      <w:r>
        <w:rPr>
          <w:b/>
        </w:rPr>
        <w:t xml:space="preserve">), </w:t>
      </w:r>
      <w:r>
        <w:rPr>
          <w:b/>
        </w:rPr>
        <w:t>Damien Carême</w:t>
      </w:r>
      <w:r>
        <w:rPr>
          <w:b/>
        </w:rPr>
        <w:t xml:space="preserve"> (</w:t>
      </w:r>
      <w:r>
        <w:rPr>
          <w:b/>
        </w:rPr>
        <w:t>The Left</w:t>
      </w:r>
      <w:r>
        <w:rPr>
          <w:b/>
        </w:rPr>
        <w:t xml:space="preserve">), </w:t>
      </w:r>
      <w:r>
        <w:rPr>
          <w:b/>
        </w:rPr>
        <w:t>Per Clausen</w:t>
      </w:r>
      <w:r>
        <w:rPr>
          <w:b/>
        </w:rPr>
        <w:t xml:space="preserve"> (</w:t>
      </w:r>
      <w:r>
        <w:rPr>
          <w:b/>
        </w:rPr>
        <w:t>The Left</w:t>
      </w:r>
      <w:r>
        <w:rPr>
          <w:b/>
        </w:rPr>
        <w:t xml:space="preserve">), </w:t>
      </w:r>
      <w:r>
        <w:rPr>
          <w:b/>
        </w:rPr>
        <w:t>Estrella Galán</w:t>
      </w:r>
      <w:r>
        <w:rPr>
          <w:b/>
        </w:rPr>
        <w:t xml:space="preserve"> (</w:t>
      </w:r>
      <w:r>
        <w:rPr>
          <w:b/>
        </w:rPr>
        <w:t>The Left</w:t>
      </w:r>
      <w:r>
        <w:rPr>
          <w:b/>
        </w:rPr>
        <w:t xml:space="preserve">), </w:t>
      </w:r>
      <w:r>
        <w:rPr>
          <w:b/>
        </w:rPr>
        <w:t>Leila Chaibi</w:t>
      </w:r>
      <w:r>
        <w:rPr>
          <w:b/>
        </w:rPr>
        <w:t xml:space="preserve"> (</w:t>
      </w:r>
      <w:r>
        <w:rPr>
          <w:b/>
        </w:rPr>
        <w:t>The Left</w:t>
      </w:r>
      <w:r>
        <w:rPr>
          <w:b/>
        </w:rPr>
        <w:t xml:space="preserve">), </w:t>
      </w:r>
      <w:r>
        <w:rPr>
          <w:b/>
        </w:rPr>
        <w:t>Catarina Martins</w:t>
      </w:r>
      <w:r>
        <w:rPr>
          <w:b/>
        </w:rPr>
        <w:t xml:space="preserve"> (</w:t>
      </w:r>
      <w:r>
        <w:rPr>
          <w:b/>
        </w:rPr>
        <w:t>The Left</w:t>
      </w:r>
      <w:r>
        <w:rPr>
          <w:b/>
        </w:rPr>
        <w:t xml:space="preserve">), </w:t>
      </w:r>
      <w:r>
        <w:rPr>
          <w:b/>
        </w:rPr>
        <w:t>Rudi Kennes</w:t>
      </w:r>
      <w:r>
        <w:rPr>
          <w:b/>
        </w:rPr>
        <w:t xml:space="preserve"> (</w:t>
      </w:r>
      <w:r>
        <w:rPr>
          <w:b/>
        </w:rPr>
        <w:t>The Left</w:t>
      </w:r>
      <w:r>
        <w:rPr>
          <w:b/>
        </w:rPr>
        <w:t xml:space="preserve">), </w:t>
      </w:r>
      <w:r>
        <w:rPr>
          <w:b/>
        </w:rPr>
        <w:t>Anthony Smith</w:t>
      </w:r>
      <w:r>
        <w:rPr>
          <w:b/>
        </w:rPr>
        <w:t xml:space="preserve"> (</w:t>
      </w:r>
      <w:r>
        <w:rPr>
          <w:b/>
        </w:rPr>
        <w:t>The Left</w:t>
      </w:r>
      <w:r>
        <w:rPr>
          <w:b/>
        </w:rPr>
        <w:t xml:space="preserve">), </w:t>
      </w:r>
      <w:r>
        <w:rPr>
          <w:b/>
        </w:rPr>
        <w:t>Manon Aubry</w:t>
      </w:r>
      <w:r>
        <w:rPr>
          <w:b/>
        </w:rPr>
        <w:t xml:space="preserve"> (</w:t>
      </w:r>
      <w:r>
        <w:rPr>
          <w:b/>
        </w:rPr>
        <w:t>The Left</w:t>
      </w:r>
      <w:r>
        <w:rPr>
          <w:b/>
        </w:rPr>
        <w:t xml:space="preserve">), </w:t>
      </w:r>
      <w:r>
        <w:rPr>
          <w:b/>
        </w:rPr>
        <w:t>Pernando Barrena Arza</w:t>
      </w:r>
      <w:r>
        <w:rPr>
          <w:b/>
        </w:rPr>
        <w:t xml:space="preserve"> (</w:t>
      </w:r>
      <w:r>
        <w:rPr>
          <w:b/>
        </w:rPr>
        <w:t>The Left</w:t>
      </w:r>
      <w:r>
        <w:rPr>
          <w:b/>
        </w:rPr>
        <w:t xml:space="preserve">), </w:t>
      </w:r>
      <w:r>
        <w:rPr>
          <w:b/>
        </w:rPr>
        <w:t>Lynn Boylan</w:t>
      </w:r>
      <w:r>
        <w:rPr>
          <w:b/>
        </w:rPr>
        <w:t xml:space="preserve"> (</w:t>
      </w:r>
      <w:r>
        <w:rPr>
          <w:b/>
        </w:rPr>
        <w:t>The Left</w:t>
      </w:r>
      <w:r>
        <w:rPr>
          <w:b/>
        </w:rPr>
        <w:t xml:space="preserve">), </w:t>
      </w:r>
      <w:r>
        <w:rPr>
          <w:b/>
        </w:rPr>
        <w:t>Isabel Serra Sánchez</w:t>
      </w:r>
      <w:r>
        <w:rPr>
          <w:b/>
        </w:rPr>
        <w:t xml:space="preserve"> (</w:t>
      </w:r>
      <w:r>
        <w:rPr>
          <w:b/>
        </w:rPr>
        <w:t>The Left</w:t>
      </w:r>
      <w:r>
        <w:rPr>
          <w:b/>
        </w:rPr>
        <w:t xml:space="preserve">), </w:t>
      </w:r>
      <w:r>
        <w:rPr>
          <w:b/>
        </w:rPr>
        <w:t>Rima Hassan</w:t>
      </w:r>
      <w:r>
        <w:rPr>
          <w:b/>
        </w:rPr>
        <w:t xml:space="preserve"> (</w:t>
      </w:r>
      <w:r>
        <w:rPr>
          <w:b/>
        </w:rPr>
        <w:t>The Left</w:t>
      </w:r>
      <w:r>
        <w:rPr>
          <w:b/>
        </w:rPr>
        <w:t xml:space="preserve">), </w:t>
      </w:r>
      <w:r>
        <w:rPr>
          <w:b/>
        </w:rPr>
        <w:t>Majdouline Sbai</w:t>
      </w:r>
      <w:r>
        <w:rPr>
          <w:b/>
        </w:rPr>
        <w:t xml:space="preserve"> (</w:t>
      </w:r>
      <w:r>
        <w:rPr>
          <w:b/>
        </w:rPr>
        <w:t>Verts/ALE</w:t>
      </w:r>
      <w:r>
        <w:rPr>
          <w:b/>
        </w:rPr>
        <w:t xml:space="preserve">), </w:t>
      </w:r>
      <w:r>
        <w:rPr>
          <w:b/>
        </w:rPr>
        <w:t>Mounir Satouri</w:t>
      </w:r>
      <w:r>
        <w:rPr>
          <w:b/>
        </w:rPr>
        <w:t xml:space="preserve"> (</w:t>
      </w:r>
      <w:r>
        <w:rPr>
          <w:b/>
        </w:rPr>
        <w:t>Verts/ALE</w:t>
      </w:r>
      <w:r>
        <w:rPr>
          <w:b/>
        </w:rPr>
        <w:t xml:space="preserve">), </w:t>
      </w:r>
      <w:r>
        <w:rPr>
          <w:b/>
        </w:rPr>
        <w:t>Tineke Strik</w:t>
      </w:r>
      <w:r>
        <w:rPr>
          <w:b/>
        </w:rPr>
        <w:t xml:space="preserve"> (</w:t>
      </w:r>
      <w:r>
        <w:rPr>
          <w:b/>
        </w:rPr>
        <w:t>Verts/ALE</w:t>
      </w:r>
      <w:r>
        <w:rPr>
          <w:b/>
        </w:rPr>
        <w:t xml:space="preserve">), </w:t>
      </w:r>
      <w:r>
        <w:rPr>
          <w:b/>
        </w:rPr>
        <w:t>Erik Marquardt</w:t>
      </w:r>
      <w:r>
        <w:rPr>
          <w:b/>
        </w:rPr>
        <w:t xml:space="preserve"> (</w:t>
      </w:r>
      <w:r>
        <w:rPr>
          <w:b/>
        </w:rPr>
        <w:t>Verts/ALE</w:t>
      </w:r>
      <w:r>
        <w:rPr>
          <w:b/>
        </w:rPr>
        <w:t xml:space="preserve">), </w:t>
      </w:r>
      <w:r>
        <w:rPr>
          <w:b/>
        </w:rPr>
        <w:t>Lena Schilling</w:t>
      </w:r>
      <w:r>
        <w:rPr>
          <w:b/>
        </w:rPr>
        <w:t xml:space="preserve"> (</w:t>
      </w:r>
      <w:r>
        <w:rPr>
          <w:b/>
        </w:rPr>
        <w:t>Verts/ALE</w:t>
      </w:r>
      <w:r>
        <w:rPr>
          <w:b/>
        </w:rPr>
        <w:t>)</w:t>
      </w:r>
    </w:p>
    <w:p/>
    <w:p>
      <w:pPr>
        <w:pStyle w:val="QuestionSubject"/>
      </w:pPr>
      <w:r>
        <w:t>Objet:</w:t>
        <w:tab/>
      </w:r>
      <w:r>
        <w:t>La complicité de l’Union européenne dans les violations du protocole d’accord entre l’Italie et la Libye</w:t>
      </w:r>
    </w:p>
    <w:p>
      <w:pPr>
        <w:pStyle w:val="Normal12a"/>
      </w:pPr>
      <w:r>
        <w:t>Le protocole d’accord entre l’Italie et la Libye, signé en 2017 et dont la reconduction tacite est prévue le 2 novembre 2025, a permis des refoulements systématiques, des détentions arbitraires, des actes de torture, des violences sexuelles, du travail forcé et d’autres graves abus à l’encontre des migrants et des réfugiés en Libye.</w:t>
      </w:r>
    </w:p>
    <w:p>
      <w:pPr>
        <w:pStyle w:val="Normal12a"/>
      </w:pPr>
      <w:r>
        <w:t>Malgré les preuves abondantes fournies par les Nations unies et par de nombreuses ONG, y compris Refugees in Libya, montrant que les garde-côtes libyens formés par l’Union européenne et l’Italie ont commis de graves violations des droits de l’homme, la Commission continue de justifier cette coopération comme un moyen d’assurer le dialogue pour améliorer la situation</w:t>
      </w:r>
      <w:r>
        <w:rPr>
          <w:rStyle w:val="FootnoteReference"/>
        </w:rPr>
        <w:footnoteReference w:customMarkFollows="1" w:id="2"/>
        <w:t xml:space="preserve">1</w:t>
      </w:r>
      <w:r>
        <w:t>.</w:t>
      </w:r>
    </w:p>
    <w:p>
      <w:pPr>
        <w:pStyle w:val="Normal12a"/>
      </w:pPr>
      <w:r>
        <w:t>De récents incidents renforcent les préoccupations: le 12 octobre 2025, 140 personnes ont débarqué à Pozzallo, en Italie, après avoir été attaquées par des miliciens libyens utilisant des navires fournis par l’Italie. Une personne a été grièvement blessée et deux autres personnes ont été sérieusement blessées</w:t>
      </w:r>
      <w:r>
        <w:rPr>
          <w:rStyle w:val="FootnoteReference"/>
        </w:rPr>
        <w:footnoteReference w:customMarkFollows="1" w:id="3"/>
        <w:t xml:space="preserve">2</w:t>
      </w:r>
      <w:r>
        <w:t>.</w:t>
      </w:r>
    </w:p>
    <w:p>
      <w:pPr>
        <w:pStyle w:val="NormalHanging12a"/>
      </w:pPr>
      <w:r>
        <w:t>1.</w:t>
      </w:r>
      <w:r>
        <w:tab/>
      </w:r>
      <w:r>
        <w:t>Quelle est la position de la Commission en ce qui concerne le soutien continu apporté par l’Union aux autorités libyennes qui ont des obligations en vertu du droit international et du droit de l’Union, notamment des articles 18 et 19 de la charte des droits fondamentaux et du principe de non-refoulement?</w:t>
      </w:r>
    </w:p>
    <w:p>
      <w:pPr>
        <w:pStyle w:val="NormalHanging12a"/>
      </w:pPr>
      <w:r>
        <w:t>2.</w:t>
      </w:r>
      <w:r>
        <w:tab/>
      </w:r>
      <w:r>
        <w:t>Quelles mesures compte-t-elle prendre pour s’assurer que les fonds de l’Union ou des États membres ne contribuent pas à de telles violations?</w:t>
      </w:r>
    </w:p>
    <w:p>
      <w:pPr>
        <w:pStyle w:val="NormalHanging12a"/>
      </w:pPr>
      <w:r>
        <w:t>3.</w:t>
      </w:r>
      <w:r>
        <w:tab/>
      </w:r>
      <w:r>
        <w:t>Comment évalue-t-elle la poursuite de la mise en œuvre du protocole d’accord compte tenu de ses obligations au titre du droit de l’Union et du droit international, et estime-t-elle que des violations ont été commises?</w:t>
      </w:r>
    </w:p>
    <w:p>
      <w:pPr>
        <w:pStyle w:val="Normal12a"/>
      </w:pPr>
      <w:r>
        <w:t xml:space="preserve">Dépôt: </w:t>
      </w:r>
      <w:r>
        <w:t>5.11.2025</w:t>
      </w:r>
    </w:p>
    <w:sectPr>
      <w:footerReference w:type="even" r:id="rId5"/>
      <w:footerReference w:type="default" r:id="rId6"/>
      <w:footerReference w:type="first" r:id="rId7"/>
      <w:footnotePr>
        <w:numRestart w:val="eachSect"/>
      </w:footnotePr>
      <w:pgSz w:w="11909" w:h="16834"/>
      <w:pgMar w:top="1134" w:right="1417" w:bottom="1417" w:left="1417" w:header="1134" w:footer="567"/>
      <w:cols w:space="720"/>
      <w:titlePg w:val="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PE780.070v01-00</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PE780.070v01-00</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PE780.070v01-00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pPr>
      <w:r>
        <w:separator/>
      </w:r>
    </w:p>
  </w:footnote>
  <w:footnote w:type="continuationSeparator" w:id="1">
    <w:p>
      <w:pPr>
        <w:spacing w:after="0" w:line="240" w:lineRule="auto"/>
      </w:pPr>
      <w:r>
        <w:continuationSeparator/>
      </w:r>
    </w:p>
  </w:footnote>
  <w:footnote w:id="2">
    <w:p>
      <w:pPr>
        <w:pStyle w:val="FootnoteTextForceStyle"/>
      </w:pPr>
      <w:r>
        <w:rPr>
          <w:vertAlign w:val="superscript"/>
        </w:rPr>
        <w:t>1</w:t>
      </w:r>
      <w:r>
        <w:tab/>
      </w:r>
      <w:r>
        <w:t>https://www.hrw.org/news/2025/10/13/italy-end-border-control-pact-with-libya</w:t>
      </w:r>
    </w:p>
  </w:footnote>
  <w:footnote w:id="3">
    <w:p>
      <w:pPr>
        <w:pStyle w:val="FootnoteTextForceStyle"/>
      </w:pPr>
      <w:r>
        <w:rPr>
          <w:vertAlign w:val="superscript"/>
        </w:rPr>
        <w:t>2</w:t>
      </w:r>
      <w:r>
        <w:tab/>
      </w:r>
      <w:r>
        <w:t>https://mediterranearescue.org/it/news/dopo-gli-spari-libici-sbarcano-a-pozzallo-in-172-una-persona-in-fin-di-vita-e-due-altre-ferite-gravi</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noPunctuationKerning/>
  <w:characterSpacingControl w:val="doNotCompress"/>
  <w:footnotePr>
    <w:numRestart w:val="eachSect"/>
    <w:footnote w:id="0"/>
    <w:footnote w:id="1"/>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ideTWBExt">
    <w:name w:val="HideTWBExt"/>
    <w:rPr>
      <w:rFonts w:ascii="Arial" w:hAnsi="Arial"/>
      <w:vanish/>
      <w:color w:val="000080"/>
      <w:sz w:val="20"/>
    </w:rPr>
  </w:style>
  <w:style w:type="character" w:customStyle="1" w:styleId="HideTWBInt">
    <w:name w:val="HideTWBInt"/>
    <w:rPr>
      <w:rFonts w:ascii="Arial" w:eastAsia="Arial" w:hAnsi="Arial" w:cs="Arial"/>
      <w:vanish/>
      <w:color w:val="808080"/>
      <w:sz w:val="20"/>
    </w:rPr>
  </w:style>
  <w:style w:type="paragraph" w:customStyle="1" w:styleId="Normal12a">
    <w:name w:val="Normal12a"/>
    <w:basedOn w:val="Normal"/>
    <w:pPr>
      <w:widowControl/>
      <w:spacing w:after="240"/>
    </w:pPr>
  </w:style>
  <w:style w:type="paragraph" w:customStyle="1" w:styleId="NormalBold">
    <w:name w:val="NormalBold"/>
    <w:basedOn w:val="Normal"/>
    <w:pPr>
      <w:widowControl/>
    </w:pPr>
    <w:rPr>
      <w:b/>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paragraph" w:customStyle="1" w:styleId="NormalHanging12a">
    <w:name w:val="NormalHanging12a"/>
    <w:basedOn w:val="Normal"/>
    <w:pPr>
      <w:widowControl/>
      <w:overflowPunct/>
      <w:spacing w:after="240"/>
      <w:ind w:left="566" w:hanging="566"/>
    </w:pPr>
  </w:style>
  <w:style w:type="paragraph" w:customStyle="1" w:styleId="QuestionSubject">
    <w:name w:val="QuestionSubject"/>
    <w:basedOn w:val="Normal"/>
    <w:pPr>
      <w:widowControl/>
      <w:overflowPunct/>
      <w:spacing w:after="240"/>
      <w:ind w:left="1134" w:hanging="1134"/>
    </w:pPr>
  </w:style>
  <w:style w:type="paragraph" w:customStyle="1" w:styleId="EPFooter">
    <w:name w:val="EPFooter"/>
    <w:basedOn w:val="Normal"/>
    <w:pPr>
      <w:widowControl/>
      <w:tabs>
        <w:tab w:val="center" w:pos="4534"/>
        <w:tab w:val="right" w:pos="9070"/>
      </w:tabs>
      <w:spacing w:before="240" w:after="240"/>
    </w:pPr>
    <w:rPr>
      <w:sz w:val="22"/>
    </w:rPr>
  </w:style>
  <w:style w:type="paragraph" w:styleId="TOCHeading">
    <w:name w:val="TOC Heading"/>
    <w:basedOn w:val="Normal"/>
    <w:next w:val="Normal"/>
    <w:uiPriority w:val="39"/>
    <w:unhideWhenUsed/>
    <w:qFormat/>
    <w:rsid w:val="000200DD"/>
    <w:pPr>
      <w:keepLines/>
      <w:widowControl/>
      <w:spacing w:after="240"/>
      <w:outlineLvl w:val="9"/>
    </w:pPr>
    <w:rPr>
      <w:b/>
      <w:color w:val="2E74B5"/>
      <w:shd w:val="pct50" w:color="auto" w:fill="auto" w:themeColor="accent1" w:themeFill="accent1"/>
    </w:rPr>
  </w:style>
  <w:style w:type="paragraph" w:customStyle="1" w:styleId="FootnoteTextForceStyle">
    <w:name w:val="Footnote Text ForceStyle"/>
    <w:pPr>
      <w:widowControl/>
      <w:tabs>
        <w:tab w:val="left" w:pos="284"/>
      </w:tabs>
      <w:overflowPunct/>
      <w:ind w:left="284" w:hanging="284"/>
    </w:pPr>
  </w:style>
  <w:style w:type="character" w:customStyle="1" w:styleId="Heading1Char">
    <w:name w:val="Heading 1 Char"/>
    <w:rPr>
      <w:rFonts w:ascii="Calibri Light" w:hAnsi="Calibri Light"/>
      <w:b/>
      <w:sz w:val="32"/>
    </w:rPr>
  </w:style>
  <w:style w:type="character" w:customStyle="1" w:styleId="CMissingStyle">
    <w:name w:val="C_MissingStyle"/>
    <w:rPr>
      <w:color w:val="FFFFFF"/>
      <w:sz w:val="22"/>
      <w:shd w:val="clear" w:color="000000" w:fill="000000"/>
    </w:rPr>
  </w:style>
  <w:style w:type="paragraph" w:customStyle="1" w:styleId="PMissingStyle">
    <w:name w:val="P_MissingStyle"/>
    <w:basedOn w:val="Normal"/>
    <w:pPr>
      <w:widowControl/>
    </w:pPr>
    <w:rPr>
      <w:color w:val="FFFFFF"/>
      <w:shd w:val="clear" w:color="000000" w:fill="000000"/>
    </w:rPr>
  </w:style>
  <w:style w:type="character" w:styleId="FootnoteReference">
    <w:name w:val="footnote reference"/>
    <w:basedOn w:val="DefaultParagraphFont"/>
    <w:rsid w:val="00805BCE"/>
    <w:rPr>
      <w:vertAlign w:val="superscript"/>
    </w:rPr>
  </w:style>
  <w:style w:type="paragraph" w:styleId="Footer">
    <w:name w:val="footer"/>
    <w:basedOn w:val="Normal"/>
    <w:rsid w:val="00EF7B96"/>
    <w:pPr>
      <w:tabs>
        <w:tab w:val="center" w:pos="4677"/>
        <w:tab w:val="right" w:pos="9355"/>
      </w:tabs>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Pages>
  <Words>442</Words>
  <Characters>2524</Characters>
  <Application>Microsoft Office Word</Application>
  <DocSecurity>0</DocSecurity>
  <Lines>1</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xml.render.id">
    <vt:lpwstr>299878</vt:lpwstr>
  </property>
  <property fmtid="{D5CDD505-2E9C-101B-9397-08002B2CF9AE}" pid="3" name="dmxml.render.traceId">
    <vt:lpwstr>692ee5e5d2d673552c3c64a5e562e532</vt:lpwstr>
  </property>
  <property fmtid="{D5CDD505-2E9C-101B-9397-08002B2CF9AE}" pid="4" name="Model">
    <vt:lpwstr>QE</vt:lpwstr>
  </property>
  <property fmtid="{D5CDD505-2E9C-101B-9397-08002B2CF9AE}" pid="5" name="Type">
    <vt:lpwstr>QE</vt:lpwstr>
  </property>
</Properties>
</file>