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Anfrage zur schriftlichen Beantwortung</w:t>
      </w:r>
      <w:r>
        <w:t xml:space="preserve"> </w:t>
      </w:r>
      <w:r>
        <w:t>E-004585/2025</w:t>
      </w:r>
    </w:p>
    <w:p>
      <w:pPr>
        <w:pStyle w:val="NormalBold"/>
      </w:pPr>
      <w:r>
        <w:t xml:space="preserve">an die </w:t>
      </w:r>
      <w:r>
        <w:t>Kommission</w:t>
      </w:r>
    </w:p>
    <w:p>
      <w:r>
        <w:t>Artikel 144 der Geschäftsordnung</w:t>
      </w:r>
    </w:p>
    <w:p>
      <w:r>
        <w:rPr>
          <w:b/>
        </w:rPr>
        <w:t>Ralf Seekatz</w:t>
      </w:r>
      <w:r>
        <w:rPr>
          <w:b/>
        </w:rPr>
        <w:t xml:space="preserve"> (</w:t>
      </w:r>
      <w:r>
        <w:rPr>
          <w:b/>
        </w:rPr>
        <w:t>PPE</w:t>
      </w:r>
      <w:r>
        <w:rPr>
          <w:b/>
        </w:rPr>
        <w:t>)</w:t>
      </w:r>
    </w:p>
    <w:p/>
    <w:p>
      <w:pPr>
        <w:pStyle w:val="QuestionSubject"/>
      </w:pPr>
      <w:r>
        <w:t>Betrifft:</w:t>
        <w:tab/>
      </w:r>
      <w:r>
        <w:t>Wettbewerbsverzerrungen und mögliche Umgehung von EU-Sanktionsregelungen gegenüber Belarus und Russland</w:t>
      </w:r>
    </w:p>
    <w:p>
      <w:pPr>
        <w:pStyle w:val="Normal12a"/>
      </w:pPr>
      <w:r>
        <w:t>Mit verschiedenen Sanktionsverordnungen der EU, darunter der Verordnung (EU) 2024/1745 des Rates vom 24. Juni 2024, wurde die Ausfuhr bestimmter Industrieprodukte, etwa Komponenten für den Schienenverkehr, aus der EU nach Russland und Belarus untersagt. Ähnliche Bestimmungen finden sich in weiteren Rechtsakten.</w:t>
      </w:r>
    </w:p>
    <w:p>
      <w:pPr>
        <w:pStyle w:val="Normal12a"/>
      </w:pPr>
      <w:r>
        <w:t>Einem europäischen Hersteller zufolge führt dies zu Wettbewerbsverzerrungen: Unternehmen mit Sitz in Belarus oder mit belarussischer Beteiligung können vergleichbare Produkte weiterhin in den EU-Binnenmarkt einführen und vertreiben, auch wenn sie die gleichen oder ähnliche Produkte zugleich nach Russland ausführen, teils über EU-Tochtergesellschaften oder Gemeinschaftsunternehmen. Während EU-Hersteller ihre Absatzmärkte gänzlich verloren haben, bleiben solche Unternehmen aus Drittstaaten auf dem Binnenmarkt präsent. Dies wirft Fragen zur Kohärenz und Fairness der Sanktionsarchitektur auf.</w:t>
      </w:r>
    </w:p>
    <w:p>
      <w:pPr>
        <w:pStyle w:val="NormalHanging12a"/>
      </w:pPr>
      <w:r>
        <w:t>1.</w:t>
      </w:r>
      <w:r>
        <w:tab/>
      </w:r>
      <w:r>
        <w:t>Hält die Kommission es für mit Binnenmarktgrundsätzen und fairem Wettbewerb vereinbar, dass Unternehmen aus Belarus über EU-Niederlassungen Zugang haben, während EU-Unternehmen nicht nach Russland oder Belarus ausführen dürfen?</w:t>
      </w:r>
    </w:p>
    <w:p>
      <w:pPr>
        <w:pStyle w:val="NormalHanging12a"/>
      </w:pPr>
      <w:r>
        <w:t>2.</w:t>
      </w:r>
      <w:r>
        <w:tab/>
      </w:r>
      <w:r>
        <w:t>Welche Maßnahmen prüft die Kommission, um sicherzustellen, dass EU-Hersteller durch die Sanktionen im Vergleich zu Herstellern aus Drittstaaten, die über EU-Standorte agieren und zugleich in sanktionierte Märkte liefern, nicht strukturell benachteiligt werden?</w:t>
      </w:r>
    </w:p>
    <w:p>
      <w:pPr>
        <w:pStyle w:val="NormalHanging12a"/>
      </w:pPr>
      <w:r>
        <w:t>3.</w:t>
      </w:r>
      <w:r>
        <w:tab/>
      </w:r>
      <w:r>
        <w:t>Ist die Kommission bereit, einschlägige Sanktionsverordnungen wie die Verordnung (EU) 2024/1745, daraufhin zu überprüfen, ob Schlupflöcher durch EU-Tochtergesellschaften oder Gemeinschaftsunternehmen geschlossen werden sollten, um Wettbewerbsneutralität und Sanktionswirksamkeit sicherzustellen?</w:t>
      </w:r>
    </w:p>
    <w:p>
      <w:pPr>
        <w:pStyle w:val="Normal12a"/>
      </w:pPr>
      <w:r>
        <w:t xml:space="preserve">Eingang: </w:t>
      </w:r>
      <w:r>
        <w:t>18.11.2025</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PE780.340v01-00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PE780.340v01-00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PE780.340v01-00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230</Words>
  <Characters>1730</Characters>
  <Application>Microsoft Office Word</Application>
  <DocSecurity>0</DocSecurity>
  <Lines>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297972</vt:lpwstr>
  </property>
  <property fmtid="{D5CDD505-2E9C-101B-9397-08002B2CF9AE}" pid="3" name="dmxml.render.traceId">
    <vt:lpwstr>692d51ba4a59e1401343aa2b32949b12</vt:lpwstr>
  </property>
  <property fmtid="{D5CDD505-2E9C-101B-9397-08002B2CF9AE}" pid="4" name="Model">
    <vt:lpwstr>QE</vt:lpwstr>
  </property>
  <property fmtid="{D5CDD505-2E9C-101B-9397-08002B2CF9AE}" pid="5" name="Type">
    <vt:lpwstr>QE</vt:lpwstr>
  </property>
</Properties>
</file>